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oftware-test-plan-stp"/>
    <w:p>
      <w:pPr>
        <w:pStyle w:val="1"/>
      </w:pPr>
      <w:r>
        <w:t xml:space="preserve">Software Test Plan (STP)</w:t>
      </w:r>
    </w:p>
    <w:bookmarkStart w:id="9" w:name="X2f4321ca49cd4339da0c282b19bd869597de02b"/>
    <w:p>
      <w:pPr>
        <w:pStyle w:val="2"/>
      </w:pPr>
      <w:r>
        <w:t xml:space="preserve">MCP Code Intelligence — KSA-139: 2-Level Agent Tool Cache Registry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KSA-139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2-Level Agent Tool Cache Registry — KB-based tool discovery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BRD-v1-KSA-139.docx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FSD-v1-KSA-139.docx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TDD-v1-KSA-139.docx</w:t>
            </w:r>
          </w:p>
        </w:tc>
      </w:tr>
    </w:tbl>
    <w:bookmarkEnd w:id="10"/>
    <w:bookmarkStart w:id="13" w:name="introduction"/>
    <w:p>
      <w:pPr>
        <w:pStyle w:val="2"/>
      </w:pPr>
      <w:r>
        <w:t xml:space="preserve">1. Introduction</w:t>
      </w:r>
    </w:p>
    <w:bookmarkStart w:id="11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test plan defines the testing strategy, scope, schedule, and resources for the 2-Level Agent Tool Cache Registry feature (KSA-139).</w:t>
      </w:r>
    </w:p>
    <w:bookmarkEnd w:id="11"/>
    <w:bookmarkStart w:id="12" w:name="test-objectives"/>
    <w:p>
      <w:pPr>
        <w:pStyle w:val="3"/>
      </w:pPr>
      <w:r>
        <w:t xml:space="preserve">1.2 Test Objectives</w:t>
      </w:r>
    </w:p>
    <w:p>
      <w:pPr>
        <w:pStyle w:val="Compact"/>
        <w:numPr>
          <w:ilvl w:val="0"/>
          <w:numId w:val="1001"/>
        </w:numPr>
      </w:pPr>
      <w:r>
        <w:t xml:space="preserve">Verify the lookup cascade (L2 → L1 → find_tools) works correctly per FSD UC-01</w:t>
      </w:r>
    </w:p>
    <w:p>
      <w:pPr>
        <w:pStyle w:val="Compact"/>
        <w:numPr>
          <w:ilvl w:val="0"/>
          <w:numId w:val="1001"/>
        </w:numPr>
      </w:pPr>
      <w:r>
        <w:t xml:space="preserve">Validate automatic cache population on successful tool execution per UC-02</w:t>
      </w:r>
    </w:p>
    <w:p>
      <w:pPr>
        <w:pStyle w:val="Compact"/>
        <w:numPr>
          <w:ilvl w:val="0"/>
          <w:numId w:val="1001"/>
        </w:numPr>
      </w:pPr>
      <w:r>
        <w:t xml:space="preserve">Confirm cache invalidation on permanent failures while preserving cache on transient errors per UC-03</w:t>
      </w:r>
    </w:p>
    <w:p>
      <w:pPr>
        <w:pStyle w:val="Compact"/>
        <w:numPr>
          <w:ilvl w:val="0"/>
          <w:numId w:val="1001"/>
        </w:numPr>
      </w:pPr>
      <w:r>
        <w:t xml:space="preserve">Verify startup injection of top-N tools into sub-agent prompts per UC-04</w:t>
      </w:r>
    </w:p>
    <w:p>
      <w:pPr>
        <w:pStyle w:val="Compact"/>
        <w:numPr>
          <w:ilvl w:val="0"/>
          <w:numId w:val="1001"/>
        </w:numPr>
      </w:pPr>
      <w:r>
        <w:t xml:space="preserve">Validate configuration management with hot-reload per UC-05</w:t>
      </w:r>
    </w:p>
    <w:p>
      <w:pPr>
        <w:pStyle w:val="Compact"/>
        <w:numPr>
          <w:ilvl w:val="0"/>
          <w:numId w:val="1001"/>
        </w:numPr>
      </w:pPr>
      <w:r>
        <w:t xml:space="preserve">Ensure all 23 business rules (BR-01 to BR-23) are enforced</w:t>
      </w:r>
    </w:p>
    <w:p>
      <w:pPr>
        <w:pStyle w:val="Compact"/>
        <w:numPr>
          <w:ilvl w:val="0"/>
          <w:numId w:val="1001"/>
        </w:numPr>
      </w:pPr>
      <w:r>
        <w:t xml:space="preserve">Verify non-functional requirements: KB lookup &lt; 100ms, non-blocking writes, persistence across restarts</w:t>
      </w:r>
    </w:p>
    <w:bookmarkEnd w:id="12"/>
    <w:bookmarkEnd w:id="13"/>
    <w:bookmarkStart w:id="16" w:name="test-strategy"/>
    <w:p>
      <w:pPr>
        <w:pStyle w:val="2"/>
      </w:pPr>
      <w:r>
        <w:t xml:space="preserve">2. Test Strategy</w:t>
      </w:r>
    </w:p>
    <w:bookmarkStart w:id="14" w:name="test-levels"/>
    <w:p>
      <w:pPr>
        <w:pStyle w:val="3"/>
      </w:pPr>
      <w:r>
        <w:t xml:space="preserve">2.1 Test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Correctness properties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pytest + hypothesis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Unit/edge case tests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pytest + pytest-asyncio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Integration tests with real KB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pytest + 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Full server E2E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pytest + httpx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Manual exploratory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Python REPL</w:t>
            </w:r>
          </w:p>
        </w:tc>
      </w:tr>
    </w:tbl>
    <w:bookmarkEnd w:id="14"/>
    <w:bookmarkStart w:id="15" w:name="test-cases-summary"/>
    <w:p>
      <w:pPr>
        <w:pStyle w:val="3"/>
      </w:pPr>
      <w:r>
        <w:t xml:space="preserve">2.2 Test Cases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 (91%)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(9%)</w:t>
            </w:r>
          </w:p>
        </w:tc>
      </w:tr>
    </w:tbl>
    <w:bookmarkEnd w:id="15"/>
    <w:bookmarkEnd w:id="16"/>
    <w:bookmarkStart w:id="18" w:name="test-scope"/>
    <w:p>
      <w:pPr>
        <w:pStyle w:val="2"/>
      </w:pPr>
      <w:r>
        <w:t xml:space="preserve">3. Test Scope</w:t>
      </w:r>
    </w:p>
    <w:bookmarkStart w:id="17" w:name="features-in-scope"/>
    <w:p>
      <w:pPr>
        <w:pStyle w:val="3"/>
      </w:pPr>
      <w:r>
        <w:t xml:space="preserve">3.1 Features In 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FSD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Lookup Cascade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UC-01, BR-01 to BR-05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Auto Cache Population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UC-02, BR-06 to BR-10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Cache Invalidation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UC-03, BR-11 to BR-14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Startup Injection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UC-04, BR-15 to BR-19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UC-05, BR-20 to BR-23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Story 7, AC6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BR-05, FSD 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BR-04, FSD 8</w:t>
            </w:r>
          </w:p>
        </w:tc>
      </w:tr>
    </w:tbl>
    <w:bookmarkEnd w:id="17"/>
    <w:bookmarkEnd w:id="18"/>
    <w:bookmarkStart w:id="19" w:name="test-environment"/>
    <w:p>
      <w:pPr>
        <w:pStyle w:val="2"/>
      </w:pPr>
      <w:r>
        <w:t xml:space="preserve">4. Test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Dev</w:t>
            </w:r>
          </w:p>
        </w:tc>
        <w:tc>
          <w:tcPr/>
          <w:p>
            <w:pPr>
              <w:pStyle w:val="Compact"/>
            </w:pPr>
            <w:r>
              <w:t xml:space="preserve">Python 3.11+, FastMCP, SQLite</w:t>
            </w:r>
          </w:p>
        </w:tc>
        <w:tc>
          <w:tcPr/>
          <w:p>
            <w:pPr>
              <w:pStyle w:val="Compact"/>
            </w:pPr>
            <w:r>
              <w:t xml:space="preserve">UT, IT, PBT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Server</w:t>
            </w:r>
          </w:p>
        </w:tc>
        <w:tc>
          <w:tcPr/>
          <w:p>
            <w:pPr>
              <w:pStyle w:val="Compact"/>
            </w:pPr>
            <w:r>
              <w:t xml:space="preserve">Full MCP stack, SQLite</w:t>
            </w:r>
          </w:p>
        </w:tc>
        <w:tc>
          <w:tcPr/>
          <w:p>
            <w:pPr>
              <w:pStyle w:val="Compact"/>
            </w:pPr>
            <w:r>
              <w:t xml:space="preserve">E2E-API, SIT</w:t>
            </w:r>
          </w:p>
        </w:tc>
      </w:tr>
    </w:tbl>
    <w:bookmarkEnd w:id="19"/>
    <w:bookmarkStart w:id="20" w:name="risk-mitigation"/>
    <w:p>
      <w:pPr>
        <w:pStyle w:val="2"/>
      </w:pPr>
      <w:r>
        <w:t xml:space="preserve">5. Risk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638"/>
        <w:gridCol w:w="2184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KB latency &gt; 100ms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Local SQLite, benchmark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Async writes hard to verify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Await option for test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Mock servers mismatch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 tests with real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Race conditions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Test with asyncio.gather()</w:t>
            </w:r>
          </w:p>
        </w:tc>
      </w:tr>
    </w:tbl>
    <w:bookmarkEnd w:id="20"/>
    <w:bookmarkStart w:id="21" w:name="defect-management"/>
    <w:p>
      <w:pPr>
        <w:pStyle w:val="2"/>
      </w:pPr>
      <w:r>
        <w:t xml:space="preserve">6. Defect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System crash, data corruption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Feature not working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Non-critical issue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Cosmetic</w:t>
            </w:r>
          </w:p>
        </w:tc>
        <w:tc>
          <w:tcPr/>
          <w:p>
            <w:pPr>
              <w:pStyle w:val="Compact"/>
            </w:pPr>
            <w:r>
              <w:t xml:space="preserve">Next release</w:t>
            </w:r>
          </w:p>
        </w:tc>
      </w:tr>
    </w:tbl>
    <w:bookmarkEnd w:id="21"/>
    <w:bookmarkEnd w:id="22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2026-05-23T04:12:27Z</dcterms:created>
  <dcterms:modified xsi:type="dcterms:W3CDTF">2026-05-23T04:12:27Z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