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oftware-test-plan-stp"/>
    <w:p>
      <w:pPr>
        <w:pStyle w:val="1"/>
      </w:pPr>
      <w:r>
        <w:t xml:space="preserve">Software Test Plan (STP)</w:t>
      </w:r>
    </w:p>
    <w:bookmarkStart w:id="9" w:name="X0bd8944f0be9592ad56005361daa317b2dc0700"/>
    <w:p>
      <w:pPr>
        <w:pStyle w:val="2"/>
      </w:pPr>
      <w:r>
        <w:t xml:space="preserve">FEC Code Intelligence — KSA-296: KB Sensitive Data Masking - Read-time PII/Business Logic Redaction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KB Sensitive Data Masking -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2025-01-28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BRD-v1-KSA-296.docx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FSD-v1-KSA-296.docx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TDD-v1-KSA-296.docx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2025-01-28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Initial test plan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resources, and schedule for the KB Sensitive Data Masking feature (KSA-296). The feature implements a read-time middleware that detects and redacts PII, credentials, and business-sensitive content before returning KB responses based on requester roles.</w:t>
      </w:r>
    </w:p>
    <w:bookmarkEnd w:id="12"/>
    <w:bookmarkStart w:id="13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all PII detection patterns (email, phone, IP, credit card, SSN) work correctly</w:t>
      </w:r>
    </w:p>
    <w:p>
      <w:pPr>
        <w:pStyle w:val="Compact"/>
        <w:numPr>
          <w:ilvl w:val="0"/>
          <w:numId w:val="1001"/>
        </w:numPr>
      </w:pPr>
      <w:r>
        <w:t xml:space="preserve">Validate credential masking is always-on regardless of user role</w:t>
      </w:r>
    </w:p>
    <w:p>
      <w:pPr>
        <w:pStyle w:val="Compact"/>
        <w:numPr>
          <w:ilvl w:val="0"/>
          <w:numId w:val="1001"/>
        </w:numPr>
      </w:pPr>
      <w:r>
        <w:t xml:space="preserve">Confirm role-based access control for sensitivity levels (PUBLIC/INTERNAL/CONFIDENTIAL/RESTRICTED)</w:t>
      </w:r>
    </w:p>
    <w:p>
      <w:pPr>
        <w:pStyle w:val="Compact"/>
        <w:numPr>
          <w:ilvl w:val="0"/>
          <w:numId w:val="1001"/>
        </w:numPr>
      </w:pPr>
      <w:r>
        <w:t xml:space="preserve">Verify auto-classification accuracy &gt; 80%</w:t>
      </w:r>
    </w:p>
    <w:p>
      <w:pPr>
        <w:pStyle w:val="Compact"/>
        <w:numPr>
          <w:ilvl w:val="0"/>
          <w:numId w:val="1001"/>
        </w:numPr>
      </w:pPr>
      <w:r>
        <w:t xml:space="preserve">Validate admin configuration UI (CRUD for rules, allowlists, classifications)</w:t>
      </w:r>
    </w:p>
    <w:p>
      <w:pPr>
        <w:pStyle w:val="Compact"/>
        <w:numPr>
          <w:ilvl w:val="0"/>
          <w:numId w:val="1001"/>
        </w:numPr>
      </w:pPr>
      <w:r>
        <w:t xml:space="preserve">Confirm audit trail logs all masking events</w:t>
      </w:r>
    </w:p>
    <w:p>
      <w:pPr>
        <w:pStyle w:val="Compact"/>
        <w:numPr>
          <w:ilvl w:val="0"/>
          <w:numId w:val="1001"/>
        </w:numPr>
      </w:pPr>
      <w:r>
        <w:t xml:space="preserve">Verify performance overhead &lt; 5ms (p95) for entries &lt; 10KB</w:t>
      </w:r>
    </w:p>
    <w:p>
      <w:pPr>
        <w:pStyle w:val="Compact"/>
        <w:numPr>
          <w:ilvl w:val="0"/>
          <w:numId w:val="1001"/>
        </w:numPr>
      </w:pPr>
      <w:r>
        <w:t xml:space="preserve">Validate allowlist correctly bypasses masking</w:t>
      </w:r>
    </w:p>
    <w:p>
      <w:pPr>
        <w:pStyle w:val="Compact"/>
        <w:numPr>
          <w:ilvl w:val="0"/>
          <w:numId w:val="1001"/>
        </w:numPr>
      </w:pPr>
      <w:r>
        <w:t xml:space="preserve">Verify fail-open (PII) and fail-closed (credentials) error handling</w:t>
      </w:r>
    </w:p>
    <w:bookmarkEnd w:id="13"/>
    <w:bookmarkStart w:id="14" w:name="references"/>
    <w:p>
      <w:pPr>
        <w:pStyle w:val="3"/>
      </w:pPr>
      <w:r>
        <w:t xml:space="preserve">1.3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BRD-v1-KSA-296.docx</w:t>
            </w:r>
          </w:p>
        </w:tc>
        <w:tc>
          <w:tcPr/>
          <w:p>
            <w:pPr>
              <w:pStyle w:val="Compact"/>
            </w:pPr>
            <w:r>
              <w:t xml:space="preserve">Business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FSD-v1-KSA-296.docx</w:t>
            </w:r>
          </w:p>
        </w:tc>
        <w:tc>
          <w:tcPr/>
          <w:p>
            <w:pPr>
              <w:pStyle w:val="Compact"/>
            </w:pPr>
            <w:r>
              <w:t xml:space="preserve">Functional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TDD-v1-KSA-296.docx</w:t>
            </w:r>
          </w:p>
        </w:tc>
        <w:tc>
          <w:tcPr/>
          <w:p>
            <w:pPr>
              <w:pStyle w:val="Compact"/>
            </w:pPr>
            <w:r>
              <w:t xml:space="preserve">Technical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test-strategy"/>
    <w:p>
      <w:pPr>
        <w:pStyle w:val="2"/>
      </w:pPr>
      <w:r>
        <w:t xml:space="preserve">2. Test Strategy</w:t>
      </w:r>
    </w:p>
    <w:bookmarkStart w:id="16" w:name="test-levels"/>
    <w:p>
      <w:pPr>
        <w:pStyle w:val="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Random input generation for regex detectors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fast-check (vitest)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 tests for detectors, maskers, services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tests with real SQLite DB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better-sqlite3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REST endpoint E2E against running server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fetch/supertest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 for admin config page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/ visual verification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</w:tr>
    </w:tbl>
    <w:bookmarkEnd w:id="16"/>
    <w:bookmarkStart w:id="17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Verify masking rules, detection patterns, role-based access</w:t>
            </w:r>
          </w:p>
        </w:tc>
        <w:tc>
          <w:tcPr/>
          <w:p>
            <w:pPr>
              <w:pStyle w:val="Compact"/>
            </w:pPr>
            <w:r>
              <w:t xml:space="preserve">PBT, UT,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Credential never exposed, role bypass attempts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Masking overhead &lt; 5ms, concurrent reads</w:t>
            </w:r>
          </w:p>
        </w:tc>
        <w:tc>
          <w:tcPr/>
          <w:p>
            <w:pPr>
              <w:pStyle w:val="Compact"/>
            </w:pPr>
            <w:r>
              <w:t xml:space="preserve">IT (benchmark)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Existing KB read operations unaffected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Admin UI configuration workflow</w:t>
            </w:r>
          </w:p>
        </w:tc>
        <w:tc>
          <w:tcPr/>
          <w:p>
            <w:pPr>
              <w:pStyle w:val="Compact"/>
            </w:pPr>
            <w:r>
              <w:t xml:space="preserve">E2E-UI, SIT</w:t>
            </w:r>
          </w:p>
        </w:tc>
      </w:tr>
    </w:tbl>
    <w:bookmarkEnd w:id="17"/>
    <w:bookmarkStart w:id="18" w:name="entryexit-criteria"/>
    <w:p>
      <w:pPr>
        <w:pStyle w:val="3"/>
      </w:pPr>
      <w:r>
        <w:t xml:space="preserve">2.3 Entry/Exit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321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Detector classes implemented</w:t>
            </w:r>
          </w:p>
        </w:tc>
        <w:tc>
          <w:tcPr/>
          <w:p>
            <w:pPr>
              <w:pStyle w:val="Compact"/>
            </w:pPr>
            <w:r>
              <w:t xml:space="preserve">All properties hold for 1000 random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Module code complete</w:t>
            </w:r>
          </w:p>
        </w:tc>
        <w:tc>
          <w:tcPr/>
          <w:p>
            <w:pPr>
              <w:pStyle w:val="Compact"/>
            </w:pPr>
            <w:r>
              <w:t xml:space="preserve">&gt;= 90% branch coverage on detectors/maskers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DB migrations applied, middleware integrated</w:t>
            </w:r>
          </w:p>
        </w:tc>
        <w:tc>
          <w:tcPr/>
          <w:p>
            <w:pPr>
              <w:pStyle w:val="Compact"/>
            </w:pPr>
            <w:r>
              <w:t xml:space="preserve">All integration scenarios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Server running with masking enabled</w:t>
            </w:r>
          </w:p>
        </w:tc>
        <w:tc>
          <w:tcPr/>
          <w:p>
            <w:pPr>
              <w:pStyle w:val="Compact"/>
            </w:pPr>
            <w:r>
              <w:t xml:space="preserve">All API test cases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Admin UI page deployed</w:t>
            </w:r>
          </w:p>
        </w:tc>
        <w:tc>
          <w:tcPr/>
          <w:p>
            <w:pPr>
              <w:pStyle w:val="Compact"/>
            </w:pPr>
            <w:r>
              <w:t xml:space="preserve">All UI flows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E2E-UI pass, staging ready</w:t>
            </w:r>
          </w:p>
        </w:tc>
        <w:tc>
          <w:tcPr/>
          <w:p>
            <w:pPr>
              <w:pStyle w:val="Compact"/>
            </w:pPr>
            <w:r>
              <w:t xml:space="preserve">No Critical/Major defects open</w:t>
            </w:r>
          </w:p>
        </w:tc>
      </w:tr>
    </w:tbl>
    <w:bookmarkEnd w:id="18"/>
    <w:bookmarkStart w:id="19" w:name="test-cases-summary"/>
    <w:p>
      <w:pPr>
        <w:pStyle w:val="3"/>
      </w:pPr>
      <w:r>
        <w:t xml:space="preserve">2.4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 (94%)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(6%)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test-scope"/>
    <w:p>
      <w:pPr>
        <w:pStyle w:val="2"/>
      </w:pPr>
      <w:r>
        <w:t xml:space="preserve">3. Test Scope</w:t>
      </w:r>
    </w:p>
    <w:bookmarkStart w:id="21" w:name="in-scope"/>
    <w:p>
      <w:pPr>
        <w:pStyle w:val="3"/>
      </w:pPr>
      <w:r>
        <w:t xml:space="preserve">3.1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2554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PII Detection and Masking (email, phone, IP, CC, SSN)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Credential Masking (always-on)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Business Logic Sensitivity Classification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Auto-Classification with Admin Confirmation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Story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 Configuration UI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Audit Trail Logging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Allowlist 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Story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Performance (&lt; 5ms overhead)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Role-Based Masking Rules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BR-01 to BR-04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Fail-open/Fail-closed Error Handling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Code Block Preservation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BR-07, BR-08</w:t>
            </w:r>
          </w:p>
        </w:tc>
      </w:tr>
    </w:tbl>
    <w:bookmarkEnd w:id="21"/>
    <w:bookmarkStart w:id="22" w:name="out-of-scope"/>
    <w:p>
      <w:pPr>
        <w:pStyle w:val="3"/>
      </w:pPr>
      <w:r>
        <w:t xml:space="preserve">3.2 Out of Scope</w:t>
      </w:r>
    </w:p>
    <w:p>
      <w:pPr>
        <w:pStyle w:val="Compact"/>
        <w:numPr>
          <w:ilvl w:val="0"/>
          <w:numId w:val="1002"/>
        </w:numPr>
      </w:pPr>
      <w:r>
        <w:t xml:space="preserve">Write-time encryption testing</w:t>
      </w:r>
    </w:p>
    <w:p>
      <w:pPr>
        <w:pStyle w:val="Compact"/>
        <w:numPr>
          <w:ilvl w:val="0"/>
          <w:numId w:val="1002"/>
        </w:numPr>
      </w:pPr>
      <w:r>
        <w:t xml:space="preserve">Database-level encryption</w:t>
      </w:r>
    </w:p>
    <w:p>
      <w:pPr>
        <w:pStyle w:val="Compact"/>
        <w:numPr>
          <w:ilvl w:val="0"/>
          <w:numId w:val="1002"/>
        </w:numPr>
      </w:pPr>
      <w:r>
        <w:t xml:space="preserve">External DLP service integration</w:t>
      </w:r>
    </w:p>
    <w:p>
      <w:pPr>
        <w:pStyle w:val="Compact"/>
        <w:numPr>
          <w:ilvl w:val="0"/>
          <w:numId w:val="1002"/>
        </w:numPr>
      </w:pPr>
      <w:r>
        <w:t xml:space="preserve">Non-KB module masking (analytics, code-intelligence)</w:t>
      </w:r>
    </w:p>
    <w:p>
      <w:pPr>
        <w:pStyle w:val="Compact"/>
        <w:numPr>
          <w:ilvl w:val="0"/>
          <w:numId w:val="1002"/>
        </w:numPr>
      </w:pPr>
      <w:r>
        <w:t xml:space="preserve">Multi-tenant isolation (handled by existing scope system)</w:t>
      </w:r>
    </w:p>
    <w:p>
      <w:pPr>
        <w:pStyle w:val="Compact"/>
        <w:numPr>
          <w:ilvl w:val="0"/>
          <w:numId w:val="1002"/>
        </w:numPr>
      </w:pPr>
      <w:r>
        <w:t xml:space="preserve">Load testing beyond 100 concurrent users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est-environment"/>
    <w:p>
      <w:pPr>
        <w:pStyle w:val="2"/>
      </w:pPr>
      <w:r>
        <w:t xml:space="preserve">4. Test Environment</w:t>
      </w:r>
    </w:p>
    <w:bookmarkStart w:id="24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(same as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Backend dev server (localhost:4572)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 latest (E2E-UI)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/ Linux</w:t>
            </w:r>
          </w:p>
        </w:tc>
      </w:tr>
    </w:tbl>
    <w:bookmarkEnd w:id="24"/>
    <w:bookmarkStart w:id="25" w:name="test-data-requirements"/>
    <w:p>
      <w:pPr>
        <w:pStyle w:val="3"/>
      </w:pPr>
      <w:r>
        <w:t xml:space="preserve">4.2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samples</w:t>
            </w:r>
          </w:p>
        </w:tc>
        <w:tc>
          <w:tcPr/>
          <w:p>
            <w:pPr>
              <w:pStyle w:val="Compact"/>
            </w:pPr>
            <w:r>
              <w:t xml:space="preserve">Emails, phones, IPs, credit cards, SSNs</w:t>
            </w:r>
          </w:p>
        </w:tc>
        <w:tc>
          <w:tcPr/>
          <w:p>
            <w:pPr>
              <w:pStyle w:val="Compact"/>
            </w:pPr>
            <w:r>
              <w:t xml:space="preserve">Detection accuracy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samples</w:t>
            </w:r>
          </w:p>
        </w:tc>
        <w:tc>
          <w:tcPr/>
          <w:p>
            <w:pPr>
              <w:pStyle w:val="Compact"/>
            </w:pPr>
            <w:r>
              <w:t xml:space="preserve">API keys (sk-</w:t>
            </w:r>
            <w:r>
              <w:rPr>
                <w:i/>
                <w:iCs/>
              </w:rPr>
              <w:t xml:space="preserve">, ghp_</w:t>
            </w:r>
            <w:r>
              <w:t xml:space="preserve">), JWT tokens, connection strings</w:t>
            </w:r>
          </w:p>
        </w:tc>
        <w:tc>
          <w:tcPr/>
          <w:p>
            <w:pPr>
              <w:pStyle w:val="Compact"/>
            </w:pPr>
            <w:r>
              <w:t xml:space="preserve">Credential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content</w:t>
            </w:r>
          </w:p>
        </w:tc>
        <w:tc>
          <w:tcPr/>
          <w:p>
            <w:pPr>
              <w:pStyle w:val="Compact"/>
            </w:pPr>
            <w:r>
              <w:t xml:space="preserve">Plain text, code blocks, markdown</w:t>
            </w:r>
          </w:p>
        </w:tc>
        <w:tc>
          <w:tcPr/>
          <w:p>
            <w:pPr>
              <w:pStyle w:val="Compact"/>
            </w:pPr>
            <w:r>
              <w:t xml:space="preserve">False positive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content</w:t>
            </w:r>
          </w:p>
        </w:tc>
        <w:tc>
          <w:tcPr/>
          <w:p>
            <w:pPr>
              <w:pStyle w:val="Compact"/>
            </w:pPr>
            <w:r>
              <w:t xml:space="preserve">PII embedded in code, credentials in config blocks</w:t>
            </w:r>
          </w:p>
        </w:tc>
        <w:tc>
          <w:tcPr/>
          <w:p>
            <w:pPr>
              <w:pStyle w:val="Compact"/>
            </w:pPr>
            <w:r>
              <w:t xml:space="preserve">Code block 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content</w:t>
            </w:r>
          </w:p>
        </w:tc>
        <w:tc>
          <w:tcPr/>
          <w:p>
            <w:pPr>
              <w:pStyle w:val="Compact"/>
            </w:pPr>
            <w:r>
              <w:t xml:space="preserve">50KB+ entries</w:t>
            </w:r>
          </w:p>
        </w:tc>
        <w:tc>
          <w:tcPr/>
          <w:p>
            <w:pPr>
              <w:pStyle w:val="Compact"/>
            </w:pPr>
            <w:r>
              <w:t xml:space="preserve">Performance boundary testing</w:t>
            </w:r>
          </w:p>
        </w:tc>
      </w:tr>
    </w:tbl>
    <w:bookmarkEnd w:id="25"/>
    <w:bookmarkStart w:id="26" w:name="external-dependencies"/>
    <w:p>
      <w:pPr>
        <w:pStyle w:val="3"/>
      </w:pPr>
      <w:r>
        <w:t xml:space="preserve">4.3 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 (MemoryEngine)</w:t>
            </w:r>
          </w:p>
        </w:tc>
        <w:tc>
          <w:tcPr/>
          <w:p>
            <w:pPr>
              <w:pStyle w:val="Compact"/>
            </w:pPr>
            <w:r>
              <w:t xml:space="preserve">Real integration (same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System</w:t>
            </w:r>
          </w:p>
        </w:tc>
        <w:tc>
          <w:tcPr/>
          <w:p>
            <w:pPr>
              <w:pStyle w:val="Compact"/>
            </w:pPr>
            <w:r>
              <w:t xml:space="preserve">Real integration (role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Real database (test instance)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</w:pPr>
            <w:r>
              <w:t xml:space="preserve">Real server (dev mode)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test-schedule"/>
    <w:p>
      <w:pPr>
        <w:pStyle w:val="2"/>
      </w:pPr>
      <w:r>
        <w:t xml:space="preserve">5. Test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Preparation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Set up test data, configure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Execution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Run property-based and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Execution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Integration tests with full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Execution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API endpoint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Execution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Admin UI workflow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Manual exploratory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Fixing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Fix found issues, re-test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 days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sources-and-responsibilities"/>
    <w:p>
      <w:pPr>
        <w:pStyle w:val="2"/>
      </w:pPr>
      <w:r>
        <w:t xml:space="preserve">6. Resources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Create test plan, test cases, execute automated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Fix defects, provide test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Clarify requirements, UAT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Coordinate, track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isk-and-mitigation"/>
    <w:p>
      <w:pPr>
        <w:pStyle w:val="2"/>
      </w:pPr>
      <w:r>
        <w:t xml:space="preserve">7. Risk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patterns too aggressive (false positives)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PBT with random inputs, diverse test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 under load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Dedicated performance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UI flaky in E2E tests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Retry mechanism, stable selectors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insufficient for edge cases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Comprehensive CSV test data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locking under concurrent tests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Separate test DB instances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defect-management"/>
    <w:p>
      <w:pPr>
        <w:pStyle w:val="2"/>
      </w:pPr>
      <w:r>
        <w:t xml:space="preserve">8. Defect Management</w:t>
      </w:r>
    </w:p>
    <w:bookmarkStart w:id="31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Credentials exposed / security breach</w:t>
            </w:r>
          </w:p>
        </w:tc>
        <w:tc>
          <w:tcPr/>
          <w:p>
            <w:pPr>
              <w:pStyle w:val="Compact"/>
            </w:pPr>
            <w:r>
              <w:t xml:space="preserve">Credential not masked for any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PII visible to unauthorized user</w:t>
            </w:r>
          </w:p>
        </w:tc>
        <w:tc>
          <w:tcPr/>
          <w:p>
            <w:pPr>
              <w:pStyle w:val="Compact"/>
            </w:pPr>
            <w:r>
              <w:t xml:space="preserve">Email shown to external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Masking format incorrect</w:t>
            </w:r>
          </w:p>
        </w:tc>
        <w:tc>
          <w:tcPr/>
          <w:p>
            <w:pPr>
              <w:pStyle w:val="Compact"/>
            </w:pPr>
            <w:r>
              <w:t xml:space="preserve">Email masked but wrong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UI cosmetic issue</w:t>
            </w:r>
          </w:p>
        </w:tc>
        <w:tc>
          <w:tcPr/>
          <w:p>
            <w:pPr>
              <w:pStyle w:val="Compact"/>
            </w:pPr>
            <w:r>
              <w:t xml:space="preserve">Alignment off in admin page</w:t>
            </w:r>
          </w:p>
        </w:tc>
      </w:tr>
    </w:tbl>
    <w:bookmarkEnd w:id="31"/>
    <w:bookmarkStart w:id="32" w:name="priority-and-sla"/>
    <w:p>
      <w:pPr>
        <w:pStyle w:val="3"/>
      </w:pPr>
      <w:r>
        <w:t xml:space="preserve">8.2 Priority and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Fix SLA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Same day</w:t>
            </w:r>
          </w:p>
        </w:tc>
        <w:tc>
          <w:tcPr/>
          <w:p>
            <w:pPr>
              <w:pStyle w:val="Compact"/>
            </w:pPr>
            <w:r>
              <w:t xml:space="preserve">Security/credential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Functional masking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Minor format/UI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Cosmetic, nice-to-have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test-metrics"/>
    <w:p>
      <w:pPr>
        <w:pStyle w:val="2"/>
      </w:pPr>
      <w:r>
        <w:t xml:space="preserve">9. Test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100% of planned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&gt;=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&lt; 5 defects per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 at release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coverage</w:t>
            </w:r>
          </w:p>
        </w:tc>
        <w:tc>
          <w:tcPr/>
          <w:p>
            <w:pPr>
              <w:pStyle w:val="Compact"/>
            </w:pPr>
            <w:r>
              <w:t xml:space="preserve">&gt;=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detection accuracy</w:t>
            </w:r>
          </w:p>
        </w:tc>
        <w:tc>
          <w:tcPr/>
          <w:p>
            <w:pPr>
              <w:pStyle w:val="Compact"/>
            </w:pPr>
            <w:r>
              <w:t xml:space="preserve">&gt; 95% (PBT 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masking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quirements-traceability-matrix-rtm"/>
    <w:p>
      <w:pPr>
        <w:pStyle w:val="2"/>
      </w:pPr>
      <w:r>
        <w:t xml:space="preserve">10. Requirements Traceability Matrix (RTM)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1348"/>
        <w:gridCol w:w="1853"/>
        <w:gridCol w:w="1179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email masking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  <w:tc>
          <w:tcPr/>
          <w:p>
            <w:pPr>
              <w:pStyle w:val="Compact"/>
            </w:pPr>
            <w:r>
              <w:t xml:space="preserve">TC-001, TC-002, TC-003, PBT-001</w:t>
            </w:r>
          </w:p>
        </w:tc>
        <w:tc>
          <w:tcPr/>
          <w:p>
            <w:pPr>
              <w:pStyle w:val="Compact"/>
            </w:pPr>
            <w:r>
              <w:t xml:space="preserve">UT, IT, PBT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phone masking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  <w:tc>
          <w:tcPr/>
          <w:p>
            <w:pPr>
              <w:pStyle w:val="Compact"/>
            </w:pPr>
            <w:r>
              <w:t xml:space="preserve">TC-004, TC-005, PBT-002</w:t>
            </w:r>
          </w:p>
        </w:tc>
        <w:tc>
          <w:tcPr/>
          <w:p>
            <w:pPr>
              <w:pStyle w:val="Compact"/>
            </w:pPr>
            <w:r>
              <w:t xml:space="preserve">UT, IT, PBT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IP masking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  <w:tc>
          <w:tcPr/>
          <w:p>
            <w:pPr>
              <w:pStyle w:val="Compact"/>
            </w:pPr>
            <w:r>
              <w:t xml:space="preserve">TC-006, TC-007, PBT-003</w:t>
            </w:r>
          </w:p>
        </w:tc>
        <w:tc>
          <w:tcPr/>
          <w:p>
            <w:pPr>
              <w:pStyle w:val="Compact"/>
            </w:pPr>
            <w:r>
              <w:t xml:space="preserve">UT, IT, PBT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credit card masking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  <w:tc>
          <w:tcPr/>
          <w:p>
            <w:pPr>
              <w:pStyle w:val="Compact"/>
            </w:pPr>
            <w:r>
              <w:t xml:space="preserve">TC-008, TC-009, PBT-004</w:t>
            </w:r>
          </w:p>
        </w:tc>
        <w:tc>
          <w:tcPr/>
          <w:p>
            <w:pPr>
              <w:pStyle w:val="Compact"/>
            </w:pPr>
            <w:r>
              <w:t xml:space="preserve">UT, IT, PBT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SSN masking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  <w:tc>
          <w:tcPr/>
          <w:p>
            <w:pPr>
              <w:pStyle w:val="Compact"/>
            </w:pPr>
            <w:r>
              <w:t xml:space="preserve">TC-010, TC-011, PBT-005</w:t>
            </w:r>
          </w:p>
        </w:tc>
        <w:tc>
          <w:tcPr/>
          <w:p>
            <w:pPr>
              <w:pStyle w:val="Compact"/>
            </w:pPr>
            <w:r>
              <w:t xml:space="preserve">UT, IT, PBT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always masked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  <w:tc>
          <w:tcPr/>
          <w:p>
            <w:pPr>
              <w:pStyle w:val="Compact"/>
            </w:pPr>
            <w:r>
              <w:t xml:space="preserve">TC-012 to TC-018</w:t>
            </w:r>
          </w:p>
        </w:tc>
        <w:tc>
          <w:tcPr/>
          <w:p>
            <w:pPr>
              <w:pStyle w:val="Compact"/>
            </w:pPr>
            <w:r>
              <w:t xml:space="preserve">UT, IT, E2E-API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reveal with audit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TC-019, TC-020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classification</w:t>
            </w:r>
          </w:p>
        </w:tc>
        <w:tc>
          <w:tcPr/>
          <w:p>
            <w:pPr>
              <w:pStyle w:val="Compact"/>
            </w:pPr>
            <w:r>
              <w:t xml:space="preserve">Story 3, BR-03, BR-04</w:t>
            </w:r>
          </w:p>
        </w:tc>
        <w:tc>
          <w:tcPr/>
          <w:p>
            <w:pPr>
              <w:pStyle w:val="Compact"/>
            </w:pPr>
            <w:r>
              <w:t xml:space="preserve">TC-021 to TC-025</w:t>
            </w:r>
          </w:p>
        </w:tc>
        <w:tc>
          <w:tcPr/>
          <w:p>
            <w:pPr>
              <w:pStyle w:val="Compact"/>
            </w:pPr>
            <w:r>
              <w:t xml:space="preserve">UT, IT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Auto-classification &gt;80%</w:t>
            </w:r>
          </w:p>
        </w:tc>
        <w:tc>
          <w:tcPr/>
          <w:p>
            <w:pPr>
              <w:pStyle w:val="Compact"/>
            </w:pPr>
            <w:r>
              <w:t xml:space="preserve">Story 4</w:t>
            </w:r>
          </w:p>
        </w:tc>
        <w:tc>
          <w:tcPr/>
          <w:p>
            <w:pPr>
              <w:pStyle w:val="Compact"/>
            </w:pPr>
            <w:r>
              <w:t xml:space="preserve">TC-026, TC-027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config UI</w:t>
            </w:r>
          </w:p>
        </w:tc>
        <w:tc>
          <w:tcPr/>
          <w:p>
            <w:pPr>
              <w:pStyle w:val="Compact"/>
            </w:pPr>
            <w:r>
              <w:t xml:space="preserve">Story 5, UC-03</w:t>
            </w:r>
          </w:p>
        </w:tc>
        <w:tc>
          <w:tcPr/>
          <w:p>
            <w:pPr>
              <w:pStyle w:val="Compact"/>
            </w:pPr>
            <w:r>
              <w:t xml:space="preserve">TC-028 to TC-035</w:t>
            </w:r>
          </w:p>
        </w:tc>
        <w:tc>
          <w:tcPr/>
          <w:p>
            <w:pPr>
              <w:pStyle w:val="Compact"/>
            </w:pPr>
            <w:r>
              <w:t xml:space="preserve">E2E-API, E2E-UI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 management</w:t>
            </w:r>
          </w:p>
        </w:tc>
        <w:tc>
          <w:tcPr/>
          <w:p>
            <w:pPr>
              <w:pStyle w:val="Compact"/>
            </w:pPr>
            <w:r>
              <w:t xml:space="preserve">Story 7, UC-04</w:t>
            </w:r>
          </w:p>
        </w:tc>
        <w:tc>
          <w:tcPr/>
          <w:p>
            <w:pPr>
              <w:pStyle w:val="Compact"/>
            </w:pPr>
            <w:r>
              <w:t xml:space="preserve">TC-036 to TC-040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Story 6, BR-10</w:t>
            </w:r>
          </w:p>
        </w:tc>
        <w:tc>
          <w:tcPr/>
          <w:p>
            <w:pPr>
              <w:pStyle w:val="Compact"/>
            </w:pPr>
            <w:r>
              <w:t xml:space="preserve">TC-041 to TC-045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&lt; 5ms</w:t>
            </w:r>
          </w:p>
        </w:tc>
        <w:tc>
          <w:tcPr/>
          <w:p>
            <w:pPr>
              <w:pStyle w:val="Compact"/>
            </w:pPr>
            <w:r>
              <w:t xml:space="preserve">Story 8, BR-12</w:t>
            </w:r>
          </w:p>
        </w:tc>
        <w:tc>
          <w:tcPr/>
          <w:p>
            <w:pPr>
              <w:pStyle w:val="Compact"/>
            </w:pPr>
            <w:r>
              <w:t xml:space="preserve">TC-046, TC-047</w:t>
            </w:r>
          </w:p>
        </w:tc>
        <w:tc>
          <w:tcPr/>
          <w:p>
            <w:pPr>
              <w:pStyle w:val="Compact"/>
            </w:pPr>
            <w:r>
              <w:t xml:space="preserve">IT (bench)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block preservation</w:t>
            </w:r>
          </w:p>
        </w:tc>
        <w:tc>
          <w:tcPr/>
          <w:p>
            <w:pPr>
              <w:pStyle w:val="Compact"/>
            </w:pPr>
            <w:r>
              <w:t xml:space="preserve">BR-07, BR-08</w:t>
            </w:r>
          </w:p>
        </w:tc>
        <w:tc>
          <w:tcPr/>
          <w:p>
            <w:pPr>
              <w:pStyle w:val="Compact"/>
            </w:pPr>
            <w:r>
              <w:t xml:space="preserve">TC-048, TC-049</w:t>
            </w:r>
          </w:p>
        </w:tc>
        <w:tc>
          <w:tcPr/>
          <w:p>
            <w:pPr>
              <w:pStyle w:val="Compact"/>
            </w:pPr>
            <w:r>
              <w:t xml:space="preserve">UT, IT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Fail-open/fail-closed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TC-050, TC-051</w:t>
            </w:r>
          </w:p>
        </w:tc>
        <w:tc>
          <w:tcPr/>
          <w:p>
            <w:pPr>
              <w:pStyle w:val="Compact"/>
            </w:pPr>
            <w:r>
              <w:t xml:space="preserve">UT, IT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BR-02, BR-03, BR-04</w:t>
            </w:r>
          </w:p>
        </w:tc>
        <w:tc>
          <w:tcPr/>
          <w:p>
            <w:pPr>
              <w:pStyle w:val="Compact"/>
            </w:pPr>
            <w:r>
              <w:t xml:space="preserve">TC-052 to TC-058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immediate effect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TC-059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preservation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TC-060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random inputs</w:t>
            </w:r>
          </w:p>
        </w:tc>
        <w:tc>
          <w:tcPr/>
          <w:p>
            <w:pPr>
              <w:pStyle w:val="Compact"/>
            </w:pPr>
            <w:r>
              <w:t xml:space="preserve">All patterns</w:t>
            </w:r>
          </w:p>
        </w:tc>
        <w:tc>
          <w:tcPr/>
          <w:p>
            <w:pPr>
              <w:pStyle w:val="Compact"/>
            </w:pPr>
            <w:r>
              <w:t xml:space="preserve">PBT-001 to PBT-006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1" w:name="appendix"/>
    <w:p>
      <w:pPr>
        <w:pStyle w:val="2"/>
      </w:pPr>
      <w:r>
        <w:t xml:space="preserve">Appendix</w:t>
      </w:r>
    </w:p>
    <w:bookmarkStart w:id="4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Overview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40"/>
    <w:bookmarkEnd w:id="41"/>
    <w:bookmarkEnd w:id="4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diagrams/test-coverage.drawio" TargetMode="External" /><Relationship Type="http://schemas.openxmlformats.org/officeDocument/2006/relationships/hyperlink" Id="rId36" Target="diagrams/test-coverage.png" TargetMode="External" /><Relationship Type="http://schemas.openxmlformats.org/officeDocument/2006/relationships/hyperlink" Id="rId39" Target="diagrams/test-execution-flow.drawio" TargetMode="External" /><Relationship Type="http://schemas.openxmlformats.org/officeDocument/2006/relationships/hyperlink" Id="rId38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iagrams/test-coverage.drawio" TargetMode="External" /><Relationship Type="http://schemas.openxmlformats.org/officeDocument/2006/relationships/hyperlink" Id="rId36" Target="diagrams/test-coverage.png" TargetMode="External" /><Relationship Type="http://schemas.openxmlformats.org/officeDocument/2006/relationships/hyperlink" Id="rId39" Target="diagrams/test-execution-flow.drawio" TargetMode="External" /><Relationship Type="http://schemas.openxmlformats.org/officeDocument/2006/relationships/hyperlink" Id="rId38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2026-07-02T15:54:09Z</dcterms:created>
  <dcterms:modified xsi:type="dcterms:W3CDTF">2026-07-02T15:54:09Z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