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b6491f2465ae3dac1e4500af8e4bf25974e6a43"/>
    <w:p>
      <w:pPr>
        <w:pStyle w:val="Heading2"/>
      </w:pPr>
      <w:r>
        <w:t xml:space="preserve">MCP Code Intelligence — KSA-165: [Security] Injection Detection (20 patterns)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[Security] Injection Detection (20 patterns)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BRD-v1-KSA-165.docx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use-cases"/>
    <w:p>
      <w:pPr>
        <w:pStyle w:val="Heading2"/>
      </w:pPr>
      <w:r>
        <w:t xml:space="preserve">1. Use Cases</w:t>
      </w:r>
    </w:p>
    <w:bookmarkStart w:id="22" w:name="Xbfb8dcf4da4136d203f7405f8692ba9e3f4ff21"/>
    <w:p>
      <w:pPr>
        <w:pStyle w:val="Heading3"/>
      </w:pPr>
      <w:r>
        <w:t xml:space="preserve">UC-165-01: Scan File for Injection Vulnerabilities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AI Agent / Security Engineer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detect_injections</w:t>
      </w:r>
      <w:r>
        <w:t xml:space="preserve"> </w:t>
      </w:r>
      <w:r>
        <w:t xml:space="preserve">with file_path</w:t>
      </w:r>
      <w:r>
        <w:t xml:space="preserve"> </w:t>
      </w:r>
      <w:r>
        <w:t xml:space="preserve">2. System identifies all functions in file</w:t>
      </w:r>
      <w:r>
        <w:t xml:space="preserve"> </w:t>
      </w:r>
      <w:r>
        <w:t xml:space="preserve">3. For each function: run taint_trace (KSA-164)</w:t>
      </w:r>
      <w:r>
        <w:t xml:space="preserve"> </w:t>
      </w:r>
      <w:r>
        <w:t xml:space="preserve">4. For each taint path found: match against 20 injection patterns</w:t>
      </w:r>
      <w:r>
        <w:t xml:space="preserve"> </w:t>
      </w:r>
      <w:r>
        <w:t xml:space="preserve">5. Classify finding: CWE, severity, category</w:t>
      </w:r>
      <w:r>
        <w:t xml:space="preserve"> </w:t>
      </w:r>
      <w:r>
        <w:t xml:space="preserve">6. Check for suppression markers on source/sink lines</w:t>
      </w:r>
      <w:r>
        <w:t xml:space="preserve"> </w:t>
      </w:r>
      <w:r>
        <w:t xml:space="preserve">7. Return findings with remediation suggestions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- 3a. Function has no taint sources → skip (no injection possible)</w:t>
      </w:r>
      <w:r>
        <w:t xml:space="preserve"> </w:t>
      </w:r>
      <w:r>
        <w:t xml:space="preserve">- 4a. Taint path has sanitizer → mark as sanitized, exclude by default</w:t>
      </w:r>
      <w:r>
        <w:t xml:space="preserve"> </w:t>
      </w:r>
      <w:r>
        <w:t xml:space="preserve">- 6a. Suppression marker found → mark finding as suppressed</w:t>
      </w:r>
    </w:p>
    <w:bookmarkEnd w:id="22"/>
    <w:bookmarkStart w:id="23" w:name="uc-165-02-scan-with-category-filter"/>
    <w:p>
      <w:pPr>
        <w:pStyle w:val="Heading3"/>
      </w:pPr>
      <w:r>
        <w:t xml:space="preserve">UC-165-02: Scan with Category Filter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Security Engineer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detect_injections</w:t>
      </w:r>
      <w:r>
        <w:t xml:space="preserve"> </w:t>
      </w:r>
      <w:r>
        <w:t xml:space="preserve">with category=</w:t>
      </w:r>
      <w:r>
        <w:t xml:space="preserve">“</w:t>
      </w:r>
      <w:r>
        <w:t xml:space="preserve">sql</w:t>
      </w:r>
      <w:r>
        <w:t xml:space="preserve">”</w:t>
      </w:r>
      <w:r>
        <w:t xml:space="preserve"> </w:t>
      </w:r>
      <w:r>
        <w:t xml:space="preserve">2. System only checks SQL-related patterns (patterns 1-4)</w:t>
      </w:r>
      <w:r>
        <w:t xml:space="preserve"> </w:t>
      </w:r>
      <w:r>
        <w:t xml:space="preserve">3. Returns only SQL injection findings</w:t>
      </w:r>
    </w:p>
    <w:bookmarkEnd w:id="23"/>
    <w:bookmarkStart w:id="24" w:name="uc-165-03-generate-sarif-report"/>
    <w:p>
      <w:pPr>
        <w:pStyle w:val="Heading3"/>
      </w:pPr>
      <w:r>
        <w:t xml:space="preserve">UC-165-03: Generate SARIF Report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CI/CD Pipeline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detect_injections</w:t>
      </w:r>
      <w:r>
        <w:t xml:space="preserve"> </w:t>
      </w:r>
      <w:r>
        <w:t xml:space="preserve">with output_format=</w:t>
      </w:r>
      <w:r>
        <w:t xml:space="preserve">“</w:t>
      </w:r>
      <w:r>
        <w:t xml:space="preserve">sarif</w:t>
      </w:r>
      <w:r>
        <w:t xml:space="preserve">”</w:t>
      </w:r>
      <w:r>
        <w:t xml:space="preserve"> </w:t>
      </w:r>
      <w:r>
        <w:t xml:space="preserve">2. System performs full scan</w:t>
      </w:r>
      <w:r>
        <w:t xml:space="preserve"> </w:t>
      </w:r>
      <w:r>
        <w:t xml:space="preserve">3. System formats results as SARIF v2.1.0</w:t>
      </w:r>
      <w:r>
        <w:t xml:space="preserve"> </w:t>
      </w:r>
      <w:r>
        <w:t xml:space="preserve">4. Return SARIF JSON (compatible with GitHub Code Scanning)</w:t>
      </w:r>
    </w:p>
    <w:bookmarkEnd w:id="24"/>
    <w:bookmarkStart w:id="25" w:name="uc-165-04-workspace-wide-security-scan"/>
    <w:p>
      <w:pPr>
        <w:pStyle w:val="Heading3"/>
      </w:pPr>
      <w:r>
        <w:t xml:space="preserve">UC-165-04: Workspace-wide Security Scan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Tech Lead / AI Agent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detect_injections</w:t>
      </w:r>
      <w:r>
        <w:t xml:space="preserve"> </w:t>
      </w:r>
      <w:r>
        <w:t xml:space="preserve">without file_path (workspace scan)</w:t>
      </w:r>
      <w:r>
        <w:t xml:space="preserve"> </w:t>
      </w:r>
      <w:r>
        <w:t xml:space="preserve">2. System identifies all entry points (from KSA-162)</w:t>
      </w:r>
      <w:r>
        <w:t xml:space="preserve"> </w:t>
      </w:r>
      <w:r>
        <w:t xml:space="preserve">3. For each entry point handler: run injection detection</w:t>
      </w:r>
      <w:r>
        <w:t xml:space="preserve"> </w:t>
      </w:r>
      <w:r>
        <w:t xml:space="preserve">4. Aggregate results across all files</w:t>
      </w:r>
      <w:r>
        <w:t xml:space="preserve"> </w:t>
      </w:r>
      <w:r>
        <w:t xml:space="preserve">5. Return findings + workspace security summary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usiness-rules"/>
    <w:p>
      <w:pPr>
        <w:pStyle w:val="Heading2"/>
      </w:pPr>
      <w:r>
        <w:t xml:space="preserve">2.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08"/>
        <w:gridCol w:w="2262"/>
        <w:gridCol w:w="4148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BR-165-01</w:t>
            </w:r>
          </w:p>
        </w:tc>
        <w:tc>
          <w:p>
            <w:pPr>
              <w:pStyle w:val="Compact"/>
              <w:jc w:val="left"/>
            </w:pPr>
            <w:r>
              <w:t xml:space="preserve">String concatenation in SQL context = Critical severity</w:t>
            </w:r>
          </w:p>
        </w:tc>
        <w:tc>
          <w:p>
            <w:pPr>
              <w:pStyle w:val="Compact"/>
              <w:jc w:val="left"/>
            </w:pPr>
            <w:r>
              <w:t xml:space="preserve">Direct injection vector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BR-165-02</w:t>
            </w:r>
          </w:p>
        </w:tc>
        <w:tc>
          <w:p>
            <w:pPr>
              <w:pStyle w:val="Compact"/>
              <w:jc w:val="left"/>
            </w:pPr>
            <w:r>
              <w:t xml:space="preserve">Parameterized queries are NOT flagged (safe pattern)</w:t>
            </w:r>
          </w:p>
        </w:tc>
        <w:tc>
          <w:p>
            <w:pPr>
              <w:pStyle w:val="Compact"/>
              <w:jc w:val="left"/>
            </w:pPr>
            <w:r>
              <w:t xml:space="preserve">Industry standard safe practice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BR-165-03</w:t>
            </w:r>
          </w:p>
        </w:tc>
        <w:tc>
          <w:p>
            <w:pPr>
              <w:pStyle w:val="Compact"/>
              <w:jc w:val="left"/>
            </w:pPr>
            <w:r>
              <w:t xml:space="preserve">Template literals with user data in SQL = same as concat</w:t>
            </w:r>
          </w:p>
        </w:tc>
        <w:tc>
          <w:p>
            <w:pPr>
              <w:pStyle w:val="Compact"/>
              <w:jc w:val="left"/>
            </w:pPr>
            <w:r>
              <w:t xml:space="preserve">Same vulnerability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BR-165-04</w:t>
            </w:r>
          </w:p>
        </w:tc>
        <w:tc>
          <w:p>
            <w:pPr>
              <w:pStyle w:val="Compact"/>
              <w:jc w:val="left"/>
            </w:pPr>
            <w:r>
              <w:t xml:space="preserve">eval() with any user-reachable data = Critical</w:t>
            </w:r>
          </w:p>
        </w:tc>
        <w:tc>
          <w:p>
            <w:pPr>
              <w:pStyle w:val="Compact"/>
              <w:jc w:val="left"/>
            </w:pPr>
            <w:r>
              <w:t xml:space="preserve">Code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BR-165-05</w:t>
            </w:r>
          </w:p>
        </w:tc>
        <w:tc>
          <w:p>
            <w:pPr>
              <w:pStyle w:val="Compact"/>
              <w:jc w:val="left"/>
            </w:pPr>
            <w:r>
              <w:t xml:space="preserve">Suppressed findings still counted in summary</w:t>
            </w:r>
          </w:p>
        </w:tc>
        <w:tc>
          <w:p>
            <w:pPr>
              <w:pStyle w:val="Compact"/>
              <w:jc w:val="left"/>
            </w:pPr>
            <w:r>
              <w:t xml:space="preserve">Audit trail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BR-165-06</w:t>
            </w:r>
          </w:p>
        </w:tc>
        <w:tc>
          <w:p>
            <w:pPr>
              <w:pStyle w:val="Compact"/>
              <w:jc w:val="left"/>
            </w:pPr>
            <w:r>
              <w:t xml:space="preserve">Confidence: High if direct source→sink, Medium if through intermediary</w:t>
            </w:r>
          </w:p>
        </w:tc>
        <w:tc>
          <w:p>
            <w:pPr>
              <w:pStyle w:val="Compact"/>
              <w:jc w:val="left"/>
            </w:pPr>
            <w:r>
              <w:t xml:space="preserve">Accuracy indicator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BR-165-07</w:t>
            </w:r>
          </w:p>
        </w:tc>
        <w:tc>
          <w:p>
            <w:pPr>
              <w:pStyle w:val="Compact"/>
              <w:jc w:val="left"/>
            </w:pPr>
            <w:r>
              <w:t xml:space="preserve">Each finding gets exactly one CWE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Standard compliance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BR-165-08</w:t>
            </w:r>
          </w:p>
        </w:tc>
        <w:tc>
          <w:p>
            <w:pPr>
              <w:pStyle w:val="Compact"/>
              <w:jc w:val="left"/>
            </w:pPr>
            <w:r>
              <w:t xml:space="preserve">Remediation suggestion always provided</w:t>
            </w:r>
          </w:p>
        </w:tc>
        <w:tc>
          <w:p>
            <w:pPr>
              <w:pStyle w:val="Compact"/>
              <w:jc w:val="left"/>
            </w:pPr>
            <w:r>
              <w:t xml:space="preserve">Actionable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BR-165-09</w:t>
            </w:r>
          </w:p>
        </w:tc>
        <w:tc>
          <w:p>
            <w:pPr>
              <w:pStyle w:val="Compact"/>
              <w:jc w:val="left"/>
            </w:pPr>
            <w:r>
              <w:t xml:space="preserve">SARIF output includes rule definitions + results</w:t>
            </w:r>
          </w:p>
        </w:tc>
        <w:tc>
          <w:p>
            <w:pPr>
              <w:pStyle w:val="Compact"/>
              <w:jc w:val="left"/>
            </w:pPr>
            <w:r>
              <w:t xml:space="preserve">GitHub/GitLab compatible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BR-165-10</w:t>
            </w:r>
          </w:p>
        </w:tc>
        <w:tc>
          <w:p>
            <w:pPr>
              <w:pStyle w:val="Compact"/>
              <w:jc w:val="left"/>
            </w:pPr>
            <w:r>
              <w:t xml:space="preserve">Scan excludes test files by default</w:t>
            </w:r>
          </w:p>
        </w:tc>
        <w:tc>
          <w:p>
            <w:pPr>
              <w:pStyle w:val="Compact"/>
              <w:jc w:val="left"/>
            </w:pPr>
            <w:r>
              <w:t xml:space="preserve">Tests often have intentional</w:t>
            </w:r>
            <w:r>
              <w:t xml:space="preserve"> </w:t>
            </w:r>
            <w:r>
              <w:t xml:space="preserve">“</w:t>
            </w:r>
            <w:r>
              <w:t xml:space="preserve">vulnerable</w:t>
            </w:r>
            <w:r>
              <w:t xml:space="preserve">”</w:t>
            </w:r>
            <w:r>
              <w:t xml:space="preserve"> </w:t>
            </w:r>
            <w:r>
              <w:t xml:space="preserve">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41" w:name="functional-specifications"/>
    <w:p>
      <w:pPr>
        <w:pStyle w:val="Heading2"/>
      </w:pPr>
      <w:r>
        <w:t xml:space="preserve">3. Functional Specifications</w:t>
      </w:r>
    </w:p>
    <w:bookmarkStart w:id="30" w:name="mcp-tool-detect_injections"/>
    <w:p>
      <w:pPr>
        <w:pStyle w:val="Heading3"/>
      </w:pPr>
      <w:r>
        <w:t xml:space="preserve">3.1 MCP Tool:</w:t>
      </w:r>
      <w:r>
        <w:t xml:space="preserve"> </w:t>
      </w:r>
      <w:r>
        <w:rPr>
          <w:rStyle w:val="VerbatimChar"/>
        </w:rPr>
        <w:t xml:space="preserve">detect_injections</w:t>
      </w:r>
    </w:p>
    <w:bookmarkStart w:id="28" w:name="input-schema"/>
    <w:p>
      <w:pPr>
        <w:pStyle w:val="Heading4"/>
      </w:pPr>
      <w:r>
        <w:t xml:space="preserve">Input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"detect_injections"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 injection vulnerabilities using taint analysis and pattern matching"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 specific file (omit for workspace scan)"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 specific function"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"path_traversal"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"deserialization"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"ldap_xml"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"min_severity"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"Critical"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"include_suppressed"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"include_sanitized"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"output_format"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"sarif"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"exclude_tests"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output-schema-json-format"/>
    <w:p>
      <w:pPr>
        <w:pStyle w:val="Heading4"/>
      </w:pPr>
      <w:r>
        <w:t xml:space="preserve">Output Schema (JSON format)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"INJ-001"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"pattern_id"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"pattern_name"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concatenation in SQL"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"sql_injection"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"cwe"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"CWE-89"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"src/api/users.py"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"request.args.get('id')"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"src/api/users.py"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"cursor.execute(query)"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"taint_path"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"'SELECT * FROM users WHERE id=' + user_id"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"remediation"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parameterized query: cursor.execute('SELECT * FROM users WHERE id = %s', [user_id])"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"suppressed"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"suppression_marker"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"files_scanned"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"functions_analyzed"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"by_severity"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"Critical"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"sql_injection"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"command_injection"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"path_traversal"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"suppressed_count"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"scan_duration_ms"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End w:id="30"/>
    <w:bookmarkStart w:id="37" w:name="pattern-registry-20-patterns"/>
    <w:p>
      <w:pPr>
        <w:pStyle w:val="Heading3"/>
      </w:pPr>
      <w:r>
        <w:t xml:space="preserve">3.2 Pattern Registry (20 Patterns)</w:t>
      </w:r>
    </w:p>
    <w:bookmarkStart w:id="31" w:name="category-sql-injection-cwe-89"/>
    <w:p>
      <w:pPr>
        <w:pStyle w:val="Heading4"/>
      </w:pPr>
      <w:r>
        <w:t xml:space="preserve">Category: SQL Injection (CWE-89)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2"/>
        <w:gridCol w:w="1827"/>
        <w:gridCol w:w="3249"/>
        <w:gridCol w:w="203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Detection Logic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String concat in SQL</w:t>
            </w:r>
          </w:p>
        </w:tc>
        <w:tc>
          <w:p>
            <w:pPr>
              <w:pStyle w:val="Compact"/>
              <w:jc w:val="left"/>
            </w:pPr>
            <w:r>
              <w:t xml:space="preserve">taint_path has concat node before sql_sink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f-string/template in SQL</w:t>
            </w:r>
          </w:p>
        </w:tc>
        <w:tc>
          <w:p>
            <w:pPr>
              <w:pStyle w:val="Compact"/>
              <w:jc w:val="left"/>
            </w:pPr>
            <w:r>
              <w:t xml:space="preserve">taint_path has template_literal before sql_sink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ORM raw query interpolation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*.raw(*)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*.objects.raw(*)</w:t>
            </w:r>
            <w:r>
              <w:t xml:space="preserve"> </w:t>
            </w:r>
            <w:r>
              <w:t xml:space="preserve">with tainted arg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Stored proc with concat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EXEC(*)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sp_executesql</w:t>
            </w:r>
            <w:r>
              <w:t xml:space="preserve"> </w:t>
            </w:r>
            <w:r>
              <w:t xml:space="preserve">with concat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31"/>
    <w:bookmarkStart w:id="32" w:name="category-xss-cwe-79"/>
    <w:p>
      <w:pPr>
        <w:pStyle w:val="Heading4"/>
      </w:pPr>
      <w:r>
        <w:t xml:space="preserve">Category: XSS (CWE-79)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2"/>
        <w:gridCol w:w="1827"/>
        <w:gridCol w:w="3249"/>
        <w:gridCol w:w="203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Detection Logic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innerHTML assignment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*.innerHTML = tainted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Template render unescaped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render_template_string(tainted)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|safe</w:t>
            </w:r>
            <w:r>
              <w:t xml:space="preserve"> </w:t>
            </w:r>
            <w:r>
              <w:t xml:space="preserve">filter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Response body concat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res.send(concat_with_tainted)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Response(tainted)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dangerouslySetInnerHTML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dangerouslySetInnerHTML={{__html: tainted}}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2"/>
    <w:bookmarkStart w:id="33" w:name="X0666a26f4d982cd84ddfa820cd1393cdfe572a3"/>
    <w:p>
      <w:pPr>
        <w:pStyle w:val="Heading4"/>
      </w:pPr>
      <w:r>
        <w:t xml:space="preserve">Category: Command Injection (CWE-78, CWE-94, CWE-1336)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2"/>
        <w:gridCol w:w="1827"/>
        <w:gridCol w:w="3249"/>
        <w:gridCol w:w="203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Detection Logic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Shell exec with concat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exec/system/popen(concat_with_tainted)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subprocess shell=True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subprocess.*(shell=True)</w:t>
            </w:r>
            <w:r>
              <w:t xml:space="preserve"> </w:t>
            </w:r>
            <w:r>
              <w:t xml:space="preserve">with tainted cmd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eval/Function with user data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eval(tainted)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Function(tainted)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Template injection (SSTI)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render_template_string(tainted)</w:t>
            </w:r>
            <w:r>
              <w:t xml:space="preserve"> </w:t>
            </w:r>
            <w:r>
              <w:t xml:space="preserve">without sandbox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33"/>
    <w:bookmarkStart w:id="34" w:name="category-path-traversal-cwe-22-cwe-73"/>
    <w:p>
      <w:pPr>
        <w:pStyle w:val="Heading4"/>
      </w:pPr>
      <w:r>
        <w:t xml:space="preserve">Category: Path Traversal (CWE-22, CWE-73)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2"/>
        <w:gridCol w:w="1827"/>
        <w:gridCol w:w="3249"/>
        <w:gridCol w:w="203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Detection Logic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File path from user input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open(tainted)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readFile(tainted)</w:t>
            </w:r>
            <w:r>
              <w:t xml:space="preserve"> </w:t>
            </w:r>
            <w:r>
              <w:t xml:space="preserve">without path validation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File write with user path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writeFile(tainted_path, *)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Archive extraction (zip slip)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extractall(tainted)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tar.extract(tainted)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34"/>
    <w:bookmarkStart w:id="35" w:name="category-deserialization-cwe-502"/>
    <w:p>
      <w:pPr>
        <w:pStyle w:val="Heading4"/>
      </w:pPr>
      <w:r>
        <w:t xml:space="preserve">Category: Deserialization (CWE-502)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2"/>
        <w:gridCol w:w="1827"/>
        <w:gridCol w:w="3249"/>
        <w:gridCol w:w="203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Detection Logic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Unsafe deserialize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deserialize(tainted)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unserialize(tainted)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pickle.loads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pickle.loads(tainted)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pickle.load(tainted_file)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YAML unsafe load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yaml.load(tainted)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Loader=SafeLoader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35"/>
    <w:bookmarkStart w:id="36" w:name="category-ldapxml-cwe-90-cwe-611"/>
    <w:p>
      <w:pPr>
        <w:pStyle w:val="Heading4"/>
      </w:pPr>
      <w:r>
        <w:t xml:space="preserve">Category: LDAP/XML (CWE-90, CWE-611)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2"/>
        <w:gridCol w:w="1827"/>
        <w:gridCol w:w="3249"/>
        <w:gridCol w:w="203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Detection Logic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LDAP query injection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ldap.search(filter=tainted)</w:t>
            </w:r>
            <w:r>
              <w:t xml:space="preserve"> </w:t>
            </w:r>
            <w:r>
              <w:t xml:space="preserve">without escaping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XXE (XML External Entity)</w:t>
            </w:r>
          </w:p>
        </w:tc>
        <w:tc>
          <w:p>
            <w:pPr>
              <w:pStyle w:val="Compact"/>
              <w:jc w:val="left"/>
            </w:pPr>
            <w:r>
              <w:t xml:space="preserve">sink matches</w:t>
            </w:r>
            <w:r>
              <w:t xml:space="preserve"> </w:t>
            </w:r>
            <w:r>
              <w:rPr>
                <w:rStyle w:val="VerbatimChar"/>
              </w:rPr>
              <w:t xml:space="preserve">parse(tainted_xml)</w:t>
            </w:r>
            <w:r>
              <w:t xml:space="preserve"> </w:t>
            </w:r>
            <w:r>
              <w:t xml:space="preserve">without disabling external entities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36"/>
    <w:bookmarkEnd w:id="37"/>
    <w:bookmarkStart w:id="38" w:name="suppression-markers"/>
    <w:p>
      <w:pPr>
        <w:pStyle w:val="Heading3"/>
      </w:pPr>
      <w:r>
        <w:t xml:space="preserve">3.3 Suppression Markers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Marker</w:t>
            </w:r>
          </w:p>
        </w:tc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nosec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nosec B{NNN}</w:t>
            </w:r>
          </w:p>
        </w:tc>
        <w:tc>
          <w:p>
            <w:pPr>
              <w:pStyle w:val="Compact"/>
              <w:jc w:val="left"/>
            </w:pPr>
            <w:r>
              <w:t xml:space="preserve">Python/Bandit</w:t>
            </w:r>
          </w:p>
        </w:tc>
        <w:tc>
          <w:p>
            <w:pPr>
              <w:pStyle w:val="Compact"/>
              <w:jc w:val="left"/>
            </w:pPr>
            <w:r>
              <w:t xml:space="preserve">Line, specific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NOLINT</w:t>
            </w:r>
          </w:p>
        </w:tc>
        <w:tc>
          <w:p>
            <w:pPr>
              <w:pStyle w:val="Compact"/>
              <w:jc w:val="left"/>
            </w:pPr>
            <w:r>
              <w:t xml:space="preserve">Go/C++</w:t>
            </w:r>
          </w:p>
        </w:tc>
        <w:tc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noinspection</w:t>
            </w:r>
          </w:p>
        </w:tc>
        <w:tc>
          <w:p>
            <w:pPr>
              <w:pStyle w:val="Compact"/>
              <w:jc w:val="left"/>
            </w:pPr>
            <w:r>
              <w:t xml:space="preserve">Java/Kotlin</w:t>
            </w:r>
          </w:p>
        </w:tc>
        <w:tc>
          <w:p>
            <w:pPr>
              <w:pStyle w:val="Compact"/>
              <w:jc w:val="left"/>
            </w:pPr>
            <w:r>
              <w:t xml:space="preserve">Line/Block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@SuppressWarnings("security")</w:t>
            </w:r>
          </w:p>
        </w:tc>
        <w:tc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p>
            <w:pPr>
              <w:pStyle w:val="Compact"/>
              <w:jc w:val="left"/>
            </w:pPr>
            <w:r>
              <w:t xml:space="preserve">Method/Class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/* eslint-disable security/* */</w:t>
            </w:r>
          </w:p>
        </w:tc>
        <w:tc>
          <w:p>
            <w:pPr>
              <w:pStyle w:val="Compact"/>
              <w:jc w:val="left"/>
            </w:pPr>
            <w:r>
              <w:t xml:space="preserve">JS/TS</w:t>
            </w:r>
          </w:p>
        </w:tc>
        <w:tc>
          <w:p>
            <w:pPr>
              <w:pStyle w:val="Compact"/>
              <w:jc w:val="left"/>
            </w:pPr>
            <w:r>
              <w:t xml:space="preserve">Block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eslint-disable-next-line</w:t>
            </w:r>
          </w:p>
        </w:tc>
        <w:tc>
          <w:p>
            <w:pPr>
              <w:pStyle w:val="Compact"/>
              <w:jc w:val="left"/>
            </w:pPr>
            <w:r>
              <w:t xml:space="preserve">JS/TS</w:t>
            </w:r>
          </w:p>
        </w:tc>
        <w:tc>
          <w:p>
            <w:pPr>
              <w:pStyle w:val="Compact"/>
              <w:jc w:val="left"/>
            </w:pPr>
            <w:r>
              <w:t xml:space="preserve">Next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type: ignore[security]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NOSONAR</w:t>
            </w:r>
          </w:p>
        </w:tc>
        <w:tc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// skipcq</w:t>
            </w:r>
          </w:p>
        </w:tc>
        <w:tc>
          <w:p>
            <w:pPr>
              <w:pStyle w:val="Compact"/>
              <w:jc w:val="left"/>
            </w:pPr>
            <w:r>
              <w:t xml:space="preserve">Any (DeepSource)</w:t>
            </w:r>
          </w:p>
        </w:tc>
        <w:tc>
          <w:p>
            <w:pPr>
              <w:pStyle w:val="Compact"/>
              <w:jc w:val="left"/>
            </w:pPr>
            <w:r>
              <w:t xml:space="preserve">Line</w:t>
            </w:r>
          </w:p>
        </w:tc>
      </w:tr>
    </w:tbl>
    <w:bookmarkEnd w:id="38"/>
    <w:bookmarkStart w:id="39" w:name="sarif-output-format"/>
    <w:p>
      <w:pPr>
        <w:pStyle w:val="Heading3"/>
      </w:pPr>
      <w:r>
        <w:t xml:space="preserve">3.4 SARIF Output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"https://raw.githubusercontent.com/oasis-tcs/sarif-spec/master/Schemata/sarif-schema-2.1.0.json"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"mcp-code-intelligence"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"INJ-SQL-001"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"SQLInjectionConcat"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"shortDescription"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 Injection via string concatenation"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"defaultConfiguration"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"security"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"sql-injection"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"CWE-89"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"INJ-SQL-001"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"Tainted data from request.args flows to cursor.execute() via string concatenation"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"physicalLocation"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"artifactLocation"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"src/api/users.py"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"startLine"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}}}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"codeFlows"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"threadFlows"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"physicalLocation"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"artifactLocation"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"src/api/users.py"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"startLine"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}},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"Taint source: request.args.get('id')"</w:t>
      </w:r>
      <w:r>
        <w:rPr>
          <w:rStyle w:val="FunctionTok"/>
        </w:rPr>
        <w:t xml:space="preserve">}}}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"physicalLocation"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"artifactLocation"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"src/api/users.py"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"startLine"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}},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"Taint sink: cursor.execute(query)"</w:t>
      </w:r>
      <w:r>
        <w:rPr>
          <w:rStyle w:val="FunctionTok"/>
        </w:rPr>
        <w:t xml:space="preserve">}}}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remediation-templates"/>
    <w:p>
      <w:pPr>
        <w:pStyle w:val="Heading3"/>
      </w:pPr>
      <w:r>
        <w:t xml:space="preserve">3.5 Remediation Templates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76"/>
        <w:gridCol w:w="5544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Remediation Template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concat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 parameterized query:</w:t>
            </w:r>
            <w:r>
              <w:t xml:space="preserve"> </w:t>
            </w:r>
            <w:r>
              <w:rPr>
                <w:rStyle w:val="VerbatimChar"/>
              </w:rPr>
              <w:t xml:space="preserve">{safe_example}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XSS innerHTML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 textContent instead, or sanitize with DOMPurify:</w:t>
            </w:r>
            <w:r>
              <w:t xml:space="preserve"> </w:t>
            </w:r>
            <w:r>
              <w:rPr>
                <w:rStyle w:val="VerbatimChar"/>
              </w:rPr>
              <w:t xml:space="preserve">element.textContent = data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exec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 array form:</w:t>
            </w:r>
            <w:r>
              <w:t xml:space="preserve"> </w:t>
            </w:r>
            <w:r>
              <w:rPr>
                <w:rStyle w:val="VerbatimChar"/>
              </w:rPr>
              <w:t xml:space="preserve">subprocess.run(['cmd', arg])</w:t>
            </w:r>
            <w:r>
              <w:t xml:space="preserve"> </w:t>
            </w:r>
            <w:r>
              <w:t xml:space="preserve">instead of shell string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traversal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Validate path with</w:t>
            </w:r>
            <w:r>
              <w:t xml:space="preserve"> </w:t>
            </w:r>
            <w:r>
              <w:rPr>
                <w:rStyle w:val="VerbatimChar"/>
              </w:rPr>
              <w:t xml:space="preserve">os.path.realpath()</w:t>
            </w:r>
            <w:r>
              <w:t xml:space="preserve"> </w:t>
            </w:r>
            <w:r>
              <w:t xml:space="preserve">and check it’s within allowed directory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Deserialization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 safe alternatives:</w:t>
            </w:r>
            <w:r>
              <w:t xml:space="preserve"> </w:t>
            </w:r>
            <w:r>
              <w:rPr>
                <w:rStyle w:val="VerbatimChar"/>
              </w:rPr>
              <w:t xml:space="preserve">json.loads()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pickle.loads()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YAML unsafe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yaml.safe_load()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yaml.load()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XXE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Disable external entities: set</w:t>
            </w:r>
            <w:r>
              <w:t xml:space="preserve"> </w:t>
            </w:r>
            <w:r>
              <w:rPr>
                <w:rStyle w:val="VerbatimChar"/>
              </w:rPr>
              <w:t xml:space="preserve">resolve_entities=False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integration-requirements"/>
    <w:p>
      <w:pPr>
        <w:pStyle w:val="Heading2"/>
      </w:pPr>
      <w:r>
        <w:t xml:space="preserve">4. Integration Requirements</w:t>
      </w:r>
    </w:p>
    <w:bookmarkStart w:id="42" w:name="integration-with-ksa-164-cfgdfgtaint"/>
    <w:p>
      <w:pPr>
        <w:pStyle w:val="Heading3"/>
      </w:pPr>
      <w:r>
        <w:t xml:space="preserve">4.1 Integration with KSA-164 (CFG/DFG/Taint)</w:t>
      </w:r>
    </w:p>
    <w:p>
      <w:pPr>
        <w:numPr>
          <w:ilvl w:val="0"/>
          <w:numId w:val="1001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taint_trace</w:t>
      </w:r>
      <w:r>
        <w:t xml:space="preserve"> </w:t>
      </w:r>
      <w:r>
        <w:t xml:space="preserve">results as input for pattern matching</w:t>
      </w:r>
    </w:p>
    <w:p>
      <w:pPr>
        <w:numPr>
          <w:ilvl w:val="0"/>
          <w:numId w:val="1001"/>
        </w:numPr>
        <w:pStyle w:val="Compact"/>
      </w:pPr>
      <w:r>
        <w:t xml:space="preserve">Each taint path is checked against all applicable patterns</w:t>
      </w:r>
    </w:p>
    <w:p>
      <w:pPr>
        <w:numPr>
          <w:ilvl w:val="0"/>
          <w:numId w:val="1001"/>
        </w:numPr>
        <w:pStyle w:val="Compact"/>
      </w:pPr>
      <w:r>
        <w:t xml:space="preserve">Reuses taint source/sink registry</w:t>
      </w:r>
    </w:p>
    <w:bookmarkEnd w:id="42"/>
    <w:bookmarkStart w:id="43" w:name="integration-with-ksa-162-entry-points"/>
    <w:p>
      <w:pPr>
        <w:pStyle w:val="Heading3"/>
      </w:pPr>
      <w:r>
        <w:t xml:space="preserve">4.2 Integration with KSA-162 (Entry Points)</w:t>
      </w:r>
    </w:p>
    <w:p>
      <w:pPr>
        <w:numPr>
          <w:ilvl w:val="0"/>
          <w:numId w:val="1002"/>
        </w:numPr>
        <w:pStyle w:val="Compact"/>
      </w:pPr>
      <w:r>
        <w:t xml:space="preserve">HTTP handlers are primary scan targets</w:t>
      </w:r>
    </w:p>
    <w:p>
      <w:pPr>
        <w:numPr>
          <w:ilvl w:val="0"/>
          <w:numId w:val="1002"/>
        </w:numPr>
        <w:pStyle w:val="Compact"/>
      </w:pPr>
      <w:r>
        <w:t xml:space="preserve">Entry point metadata (framework, route) enriches findings</w:t>
      </w:r>
    </w:p>
    <w:bookmarkEnd w:id="43"/>
    <w:bookmarkStart w:id="44" w:name="cicd-integration"/>
    <w:p>
      <w:pPr>
        <w:pStyle w:val="Heading3"/>
      </w:pPr>
      <w:r>
        <w:t xml:space="preserve">4.3 CI/CD Integration</w:t>
      </w:r>
    </w:p>
    <w:p>
      <w:pPr>
        <w:numPr>
          <w:ilvl w:val="0"/>
          <w:numId w:val="1003"/>
        </w:numPr>
        <w:pStyle w:val="Compact"/>
      </w:pPr>
      <w:r>
        <w:t xml:space="preserve">SARIF output uploadable to GitHub Code Scanning</w:t>
      </w:r>
    </w:p>
    <w:p>
      <w:pPr>
        <w:numPr>
          <w:ilvl w:val="0"/>
          <w:numId w:val="1003"/>
        </w:numPr>
        <w:pStyle w:val="Compact"/>
      </w:pPr>
      <w:r>
        <w:t xml:space="preserve">Exit code: 0 (no Critical/High), 1 (Critical/High found)</w:t>
      </w:r>
    </w:p>
    <w:p>
      <w:pPr>
        <w:numPr>
          <w:ilvl w:val="0"/>
          <w:numId w:val="1003"/>
        </w:numPr>
        <w:pStyle w:val="Compact"/>
      </w:pPr>
      <w:r>
        <w:t xml:space="preserve">Incremental scan: only check changed files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non-functional-requirements"/>
    <w:p>
      <w:pPr>
        <w:pStyle w:val="Heading2"/>
      </w:pPr>
      <w:r>
        <w:t xml:space="preserve">5.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Single file scan (all 20 patterns)</w:t>
            </w:r>
          </w:p>
        </w:tc>
        <w:tc>
          <w:p>
            <w:pPr>
              <w:pStyle w:val="Compact"/>
              <w:jc w:val="left"/>
            </w:pPr>
            <w:r>
              <w:t xml:space="preserve">&lt; 2s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Workspace scan (100 files)</w:t>
            </w:r>
          </w:p>
        </w:tc>
        <w:tc>
          <w:p>
            <w:pPr>
              <w:pStyle w:val="Compact"/>
              <w:jc w:val="left"/>
            </w:pPr>
            <w:r>
              <w:t xml:space="preserve">&lt; 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True positive rate</w:t>
            </w:r>
          </w:p>
        </w:tc>
        <w:tc>
          <w:p>
            <w:pPr>
              <w:pStyle w:val="Compact"/>
              <w:jc w:val="left"/>
            </w:pPr>
            <w:r>
              <w:t xml:space="preserve">&gt;= 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False positive rate</w:t>
            </w:r>
          </w:p>
        </w:tc>
        <w:tc>
          <w:p>
            <w:pPr>
              <w:pStyle w:val="Compact"/>
              <w:jc w:val="left"/>
            </w:pPr>
            <w:r>
              <w:t xml:space="preserve">&lt; 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p>
            <w:pPr>
              <w:pStyle w:val="Compact"/>
              <w:jc w:val="left"/>
            </w:pPr>
            <w:r>
              <w:t xml:space="preserve">All 20 patterns implemented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SARIF v2.1.0 compliance</w:t>
            </w:r>
          </w:p>
        </w:tc>
        <w:tc>
          <w:p>
            <w:pPr>
              <w:pStyle w:val="Compact"/>
              <w:jc w:val="left"/>
            </w:pPr>
            <w:r>
              <w:t xml:space="preserve">Valid schema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NFR-07</w:t>
            </w:r>
          </w:p>
        </w:tc>
        <w:tc>
          <w:p>
            <w:pPr>
              <w:pStyle w:val="Compact"/>
              <w:jc w:val="left"/>
            </w:pPr>
            <w:r>
              <w:t xml:space="preserve">Extensibility</w:t>
            </w:r>
          </w:p>
        </w:tc>
        <w:tc>
          <w:p>
            <w:pPr>
              <w:pStyle w:val="Compact"/>
              <w:jc w:val="left"/>
            </w:pPr>
            <w:r>
              <w:t xml:space="preserve">New patterns via config</w:t>
            </w:r>
          </w:p>
        </w:tc>
        <w:tc>
          <w:p>
            <w:pPr>
              <w:pStyle w:val="Compact"/>
              <w:jc w:val="left"/>
            </w:pPr>
            <w:r>
              <w:t xml:space="preserve">No code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open-issues"/>
    <w:p>
      <w:pPr>
        <w:pStyle w:val="Heading2"/>
      </w:pPr>
      <w:r>
        <w:t xml:space="preserve">6. Open Issues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80"/>
        <w:gridCol w:w="2053"/>
        <w:gridCol w:w="498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Decision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we scan test files for injection?</w:t>
            </w:r>
          </w:p>
        </w:tc>
        <w:tc>
          <w:p>
            <w:pPr>
              <w:pStyle w:val="Compact"/>
              <w:jc w:val="left"/>
            </w:pPr>
            <w:r>
              <w:t xml:space="preserve">Default: No (tests have intentional vulnerable code)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How to handle framework-specific safe patterns?</w:t>
            </w:r>
          </w:p>
        </w:tc>
        <w:tc>
          <w:p>
            <w:pPr>
              <w:pStyle w:val="Compact"/>
              <w:jc w:val="left"/>
            </w:pPr>
            <w:r>
              <w:t xml:space="preserve">Configurable sanitizer registry per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Should findings be persisted in DB?</w:t>
            </w:r>
          </w:p>
        </w:tc>
        <w:tc>
          <w:p>
            <w:pPr>
              <w:pStyle w:val="Compact"/>
              <w:jc w:val="left"/>
            </w:pPr>
            <w:r>
              <w:t xml:space="preserve">Recommend: No (compute on demand, SARIF for persistence)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Inter-procedural taint for cross-function injection?</w:t>
            </w:r>
          </w:p>
        </w:tc>
        <w:tc>
          <w:p>
            <w:pPr>
              <w:pStyle w:val="Compact"/>
              <w:jc w:val="left"/>
            </w:pPr>
            <w:r>
              <w:t xml:space="preserve">Defer to v2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5" w:name="appendix"/>
    <w:p>
      <w:pPr>
        <w:pStyle w:val="Heading2"/>
      </w:pPr>
      <w:r>
        <w:t xml:space="preserve">Appendix</w:t>
      </w:r>
    </w:p>
    <w:bookmarkStart w:id="54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 — Injection Scan</w:t>
            </w:r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sequence-injection.png</w:t>
              </w:r>
            </w:hyperlink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sequence-injection.drawio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State — Finding Lifecycle</w:t>
            </w:r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state-finding.png</w:t>
              </w:r>
            </w:hyperlink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state-finding.drawio</w:t>
              </w:r>
            </w:hyperlink>
          </w:p>
        </w:tc>
      </w:tr>
    </w:tbl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diagrams/sequence-injection.drawio" TargetMode="External" /><Relationship Type="http://schemas.openxmlformats.org/officeDocument/2006/relationships/hyperlink" Id="rId50" Target="diagrams/sequence-injection.png" TargetMode="External" /><Relationship Type="http://schemas.openxmlformats.org/officeDocument/2006/relationships/hyperlink" Id="rId53" Target="diagrams/state-finding.drawio" TargetMode="External" /><Relationship Type="http://schemas.openxmlformats.org/officeDocument/2006/relationships/hyperlink" Id="rId52" Target="diagrams/state-finding.png" TargetMode="External" /><Relationship Type="http://schemas.openxmlformats.org/officeDocument/2006/relationships/hyperlink" Id="rId49" Target="diagrams/system-context.drawio" TargetMode="External" /><Relationship Type="http://schemas.openxmlformats.org/officeDocument/2006/relationships/hyperlink" Id="rId48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diagrams/sequence-injection.drawio" TargetMode="External" /><Relationship Type="http://schemas.openxmlformats.org/officeDocument/2006/relationships/hyperlink" Id="rId50" Target="diagrams/sequence-injection.png" TargetMode="External" /><Relationship Type="http://schemas.openxmlformats.org/officeDocument/2006/relationships/hyperlink" Id="rId53" Target="diagrams/state-finding.drawio" TargetMode="External" /><Relationship Type="http://schemas.openxmlformats.org/officeDocument/2006/relationships/hyperlink" Id="rId52" Target="diagrams/state-finding.png" TargetMode="External" /><Relationship Type="http://schemas.openxmlformats.org/officeDocument/2006/relationships/hyperlink" Id="rId49" Target="diagrams/system-context.drawio" TargetMode="External" /><Relationship Type="http://schemas.openxmlformats.org/officeDocument/2006/relationships/hyperlink" Id="rId48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2026-05-25T01:46:36Z</dcterms:created>
  <dcterms:modified xsi:type="dcterms:W3CDTF">2026-05-25T01:46:36Z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