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oftware-test-plan-stp"/>
    <w:p>
      <w:pPr>
        <w:pStyle w:val="1"/>
      </w:pPr>
      <w:r>
        <w:t xml:space="preserve">Software Test Plan (STP)</w:t>
      </w:r>
    </w:p>
    <w:bookmarkStart w:id="9" w:name="Xb91a97fe956bc9e25c14ec8e1fc1aad7272bd81"/>
    <w:p>
      <w:pPr>
        <w:pStyle w:val="2"/>
      </w:pPr>
      <w:r>
        <w:t xml:space="preserve">SDLC Agents 4 Enterprise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BA review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(v1.2, SA-DISCREPANCY-ALIGNED)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documents/SA4E-360/TDD.md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documents/SA4E-360/SECURITY-REVIEW.md (v1.0 — PASS WITH NOTES)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baseline</w:t>
            </w:r>
          </w:p>
        </w:tc>
        <w:tc>
          <w:tcPr/>
          <w:p>
            <w:pPr>
              <w:pStyle w:val="Compact"/>
            </w:pPr>
            <w:r>
              <w:t xml:space="preserve">documents/SA4E-355/TDD.md (v1.3 §13 — 3-point budget gate, UNTOUCHED)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Business-coverage review (Review Gate)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 v1.1 (5 stories, BR-360-01..05, M1–M6), FSD v1.2 (UC-360-01..05, C-360-* contracts, 12 error scenarios, §10.1 test scenarios TC-360-01..22), TDD v1.1 (T1–T9 checklist, 8 new skeleton modules + 2 backend tools), and SECURITY-REVIEW v1.0 (SEC-360-01..08). 6 test levels (PBT/UT/IT/E2E-API/E2E-UI/SIT), 78 test cases, 11 test data CSVs.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SM review fix (Step 4b — CSV test data coverage gap): 6 STC IDs (PBT-08, UT-11, IT-02, IT-07, IT-11, E2E-API-12) were referenced only inside composite</w:t>
            </w:r>
            <w:r>
              <w:t xml:space="preserve"> </w:t>
            </w:r>
            <w:r>
              <w:rPr>
                <w:rStyle w:val="VerbatimChar"/>
              </w:rPr>
              <w:t xml:space="preserve">A;B</w:t>
            </w:r>
            <w:r>
              <w:t xml:space="preserve"> </w:t>
            </w:r>
            <w:r>
              <w:t xml:space="preserve">test_case_id values, so the CSV coverage script counted them as uncovered. Added 5 dedicated test data CSVs (16 total) giving each of the 78 STC IDs an exact-ID row; extended FIX-01 signature to 133 chars to satisfy the</w:t>
            </w:r>
            <w:r>
              <w:t xml:space="preserve"> </w:t>
            </w:r>
            <w:r>
              <w:t xml:space="preserve">“&gt;120-char fixture”</w:t>
            </w:r>
            <w:r>
              <w:t xml:space="preserve"> </w:t>
            </w:r>
            <w:r>
              <w:t xml:space="preserve">precondition. Coverage re-verified: 78/78 (script: Import-Csv → unique test_case_id vs STC</w:t>
            </w:r>
            <w:r>
              <w:t xml:space="preserve"> </w:t>
            </w:r>
            <w:r>
              <w:rPr>
                <w:rStyle w:val="VerbatimChar"/>
              </w:rPr>
              <w:t xml:space="preserve">### LEVEL-xx</w:t>
            </w:r>
            <w:r>
              <w:t xml:space="preserve"> </w:t>
            </w:r>
            <w:r>
              <w:t xml:space="preserve">sections).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(STP) defines the test strategy, scope, environment, schedule, and defect management for</w:t>
      </w:r>
      <w:r>
        <w:t xml:space="preserve"> </w:t>
      </w:r>
      <w:r>
        <w:rPr>
          <w:b/>
          <w:bCs/>
        </w:rPr>
        <w:t xml:space="preserve">SA4E-360</w:t>
      </w:r>
      <w:r>
        <w:t xml:space="preserve"> </w:t>
      </w:r>
      <w:r>
        <w:t xml:space="preserve">— wiring the dormant multi-resolution context supply foundation into the Pi Harness chat path so that whole-workspace review on local LLMs (qwen 32k/65k) fits inside the model context window without overflow.</w:t>
      </w:r>
    </w:p>
    <w:p>
      <w:pPr>
        <w:pStyle w:val="BodyText"/>
      </w:pPr>
      <w:r>
        <w:t xml:space="preserve">SA4E-360 is a</w:t>
      </w:r>
      <w:r>
        <w:t xml:space="preserve"> </w:t>
      </w:r>
      <w:r>
        <w:rPr>
          <w:b/>
          <w:bCs/>
        </w:rPr>
        <w:t xml:space="preserve">wire-only</w:t>
      </w:r>
      <w:r>
        <w:t xml:space="preserve"> </w:t>
      </w:r>
      <w:r>
        <w:t xml:space="preserve">ticket (BR-11): it composes existing mechanisms (governance plane SA4E-355 + dormant content modules) and adds 8 new skeleton modules (extension/src/pi-workflow/skeleton/) plus 2 thin backend MCP tools (</w:t>
      </w:r>
      <w:r>
        <w:rPr>
          <w:rStyle w:val="VerbatimChar"/>
        </w:rPr>
        <w:t xml:space="preserve">code_symbol_locate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). The test plan therefore emphasizes: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non-regression</w:t>
      </w:r>
      <w:r>
        <w:t xml:space="preserve"> </w:t>
      </w:r>
      <w:r>
        <w:t xml:space="preserve">— the 3-point budget gate (SA4E-355) must remain byte-for-byte effective (UC-360-05).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arithmetic exactness</w:t>
      </w:r>
      <w:r>
        <w:t xml:space="preserve"> </w:t>
      </w:r>
      <w:r>
        <w:t xml:space="preserve">— resolver-true values are binding test oracles (</w:t>
      </w:r>
      <w:r>
        <w:t xml:space="preserve">@32k</w:t>
      </w:r>
      <w:r>
        <w:t xml:space="preserve">: margin 2,622 / usable 28,098 / staticBudget 19,668 / skeleton cap 13,767;</w:t>
      </w:r>
      <w:r>
        <w:t xml:space="preserve"> </w:t>
      </w:r>
      <w:r>
        <w:t xml:space="preserve">@65k</w:t>
      </w:r>
      <w:r>
        <w:t xml:space="preserve">: 5,243 / 58,245 / 40,771 / 28,539 — DISC-7 resolver-authoritative).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remediation verification</w:t>
      </w:r>
      <w:r>
        <w:t xml:space="preserve"> </w:t>
      </w:r>
      <w:r>
        <w:t xml:space="preserve">— SEC-360-01 (secret redaction), SEC-360-02 (global budget bound), SEC-360-03 (rate limit / reindex cooldown), SEC-360-04 (backend path-containment twin — 4 vectors), SEC-360-05 (LIKE sanitization), SEC-360-06 (MAX_SLICE cap) are treated as DEV requirements with dedicated test cases.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Metrics M1–M6</w:t>
      </w:r>
      <w:r>
        <w:t xml:space="preserve"> </w:t>
      </w:r>
      <w:r>
        <w:t xml:space="preserve">— each quantitative acceptance target has a designated measurement test case.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2"/>
        </w:numPr>
      </w:pPr>
      <w:r>
        <w:t xml:space="preserve">Verify all 5 user stories (BRD §2.3) and their acceptance criteria are implemented per FSD UC-360-01..05.</w:t>
      </w:r>
    </w:p>
    <w:p>
      <w:pPr>
        <w:pStyle w:val="Compact"/>
        <w:numPr>
          <w:ilvl w:val="0"/>
          <w:numId w:val="1002"/>
        </w:numPr>
      </w:pPr>
      <w:r>
        <w:t xml:space="preserve">Exercise every new business rule BR-360-01..05 and inherited rules BR-01/BR-02/BR-09/BR-11 in their SA4E-360 context.</w:t>
      </w:r>
    </w:p>
    <w:p>
      <w:pPr>
        <w:pStyle w:val="Compact"/>
        <w:numPr>
          <w:ilvl w:val="0"/>
          <w:numId w:val="1002"/>
        </w:numPr>
      </w:pPr>
      <w:r>
        <w:t xml:space="preserve">Validate the API contracts C-360-S1..S3, C-360-R1/R2, C-360-M1/M2, C-360-F1 (FSD §3.x.5 — binding for DEV).</w:t>
      </w:r>
    </w:p>
    <w:p>
      <w:pPr>
        <w:pStyle w:val="Compact"/>
        <w:numPr>
          <w:ilvl w:val="0"/>
          <w:numId w:val="1002"/>
        </w:numPr>
      </w:pPr>
      <w:r>
        <w:t xml:space="preserve">Prove the 12 error scenarios (FSD §9.1) degrade gracefully — the turn/session NEVER crashes, and the provider is NEVER called oversized (BR-09).</w:t>
      </w:r>
    </w:p>
    <w:p>
      <w:pPr>
        <w:pStyle w:val="Compact"/>
        <w:numPr>
          <w:ilvl w:val="0"/>
          <w:numId w:val="1002"/>
        </w:numPr>
      </w:pPr>
      <w:r>
        <w:t xml:space="preserve">Verify the 12 FSD §10.1 test scenarios (TC-360-01..22) with reproducible steps and concrete expected results.</w:t>
      </w:r>
    </w:p>
    <w:p>
      <w:pPr>
        <w:pStyle w:val="Compact"/>
        <w:numPr>
          <w:ilvl w:val="0"/>
          <w:numId w:val="1002"/>
        </w:numPr>
      </w:pPr>
      <w:r>
        <w:t xml:space="preserve">Verify security requirements SEC-360-01..08 from the Security Design Review, including redaction and path-containment 4-vector coverage.</w:t>
      </w:r>
    </w:p>
    <w:p>
      <w:pPr>
        <w:pStyle w:val="Compact"/>
        <w:numPr>
          <w:ilvl w:val="0"/>
          <w:numId w:val="1002"/>
        </w:numPr>
      </w:pPr>
      <w:r>
        <w:t xml:space="preserve">Measure the 6 success metrics M1–M6 (coverage ≥ 95%, hit-rate ≥ 80% top-5, findings parity ≥ 80%, p95 ≤ 300 ms FTS5, 0 × exceed_context_size_error, skeleton ≤ 70% staticBudget).</w:t>
      </w:r>
    </w:p>
    <w:p>
      <w:pPr>
        <w:pStyle w:val="Compact"/>
        <w:numPr>
          <w:ilvl w:val="0"/>
          <w:numId w:val="1002"/>
        </w:numPr>
      </w:pPr>
      <w:r>
        <w:t xml:space="preserve">Prove zero regression to the SA4E-355 governance baseline (285 test files / 2,748 tests green) after every task.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v1.1</w:t>
            </w:r>
          </w:p>
        </w:tc>
        <w:tc>
          <w:tcPr/>
          <w:p>
            <w:pPr>
              <w:pStyle w:val="Compact"/>
            </w:pPr>
            <w:r>
              <w:t xml:space="preserve">documents/SA4E-360/BRD.md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v1.2 (TA-enriched, DISC-1..7 applied)</w:t>
            </w:r>
          </w:p>
        </w:tc>
        <w:tc>
          <w:tcPr/>
          <w:p>
            <w:pPr>
              <w:pStyle w:val="Compact"/>
            </w:pPr>
            <w:r>
              <w:t xml:space="preserve">documents/SA4E-360/FSD.md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v1.1 (§12 implementation checklist T1–T9)</w:t>
            </w:r>
          </w:p>
        </w:tc>
        <w:tc>
          <w:tcPr/>
          <w:p>
            <w:pPr>
              <w:pStyle w:val="Compact"/>
            </w:pPr>
            <w:r>
              <w:t xml:space="preserve">documents/SA4E-360/TDD.md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 Review v1.0 (SEC-360-01..08)</w:t>
            </w:r>
          </w:p>
        </w:tc>
        <w:tc>
          <w:tcPr/>
          <w:p>
            <w:pPr>
              <w:pStyle w:val="Compact"/>
            </w:pPr>
            <w:r>
              <w:t xml:space="preserve">documents/SA4E-360/SECURITY-REVIEW.md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§13 (governance baseline)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§3.8 (inherited BR-01/02/09/11)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(STC)</w:t>
            </w:r>
          </w:p>
        </w:tc>
        <w:tc>
          <w:tcPr/>
          <w:p>
            <w:pPr>
              <w:pStyle w:val="Compact"/>
            </w:pPr>
            <w:r>
              <w:t xml:space="preserve">documents/SA4E-360/STC.md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documents/SA4E-360/testdata/*.csv (16 files)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9" w:name="test-strategy"/>
    <w:p>
      <w:pPr>
        <w:pStyle w:val="2"/>
      </w:pPr>
      <w:r>
        <w:t xml:space="preserve">2. Test Strategy</w:t>
      </w:r>
    </w:p>
    <w:bookmarkStart w:id="18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289"/>
        <w:gridCol w:w="2210"/>
        <w:gridCol w:w="1289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Property-based: budget arithmetic invariants (resolver-true values), truncation loop invariants (strict-shrink, termination), skeleton sizing ≤ 70% staticBudget, signature normalization, redaction completeness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fast-check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/*.property.test.ts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Unit: SkeletonProvider, SkeletonTruncator, IndexFreshnessChecker, ReadMethodTool (envelopes + disambiguation), FunctionalMapProvider, redactSecretLike (SEC-360-01)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/, backend/src/engine/tools/</w:t>
            </w:r>
            <w:r>
              <w:rPr>
                <w:b/>
                <w:bCs/>
              </w:rPr>
              <w:t xml:space="preserve">tests</w:t>
            </w: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Integration: createHost wiring (gate #2 measure==inject byte-identical), read_method → code_symbol_locate chain (in-process Hono), gate #3 interaction (read_method results compactable), TurnBudgetGuard interplay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Hono in-process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/skeleton-wiring.integration.test.ts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REST/MCP endpoint E2E on real backend server: code_symbol_locate + code_extract_signatures over real QueryLayer (SQLite + PostgreSQL dual-engine), loopback wrapper timeout/retry, rate limit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fetch (real server)</w:t>
            </w:r>
          </w:p>
        </w:tc>
        <w:tc>
          <w:tcPr/>
          <w:p>
            <w:pPr>
              <w:pStyle w:val="Compact"/>
            </w:pPr>
            <w:r>
              <w:t xml:space="preserve">backend/tests/e2e/sa4e-360-tools.e2e.test.ts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Browser/extension UI E2E — minimal by design (</w:t>
            </w:r>
            <w:r>
              <w:t xml:space="preserve">“no UI changes”</w:t>
            </w:r>
            <w:r>
              <w:t xml:space="preserve"> </w:t>
            </w:r>
            <w:r>
              <w:t xml:space="preserve">invariant): usage indicators regression + transcript tool-activity rendering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tests/e2e/sa4e-360-ui.e2e.test.ts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exploratory: skeleton injection visible in system context, functional map in get_workspace_info, degraded mode (index stale), multi-turn review session on qwen 32k, REJECT surface, findings parity (M3)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  <w:tc>
          <w:tcPr/>
          <w:p>
            <w:pPr>
              <w:pStyle w:val="Compact"/>
            </w:pPr>
            <w:r>
              <w:t xml:space="preserve">VS Code + llama-server + browser checklist</w:t>
            </w:r>
          </w:p>
        </w:tc>
        <w:tc>
          <w:tcPr/>
          <w:p>
            <w:pPr>
              <w:pStyle w:val="Compact"/>
            </w:pPr>
            <w:r>
              <w:t xml:space="preserve">documents/SA4E-360/testdata/sit-checklist-testdata.csv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STP Test Cases Summary (consistent with STC v1.0):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(89.7%)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(10.3%)</w:t>
            </w:r>
          </w:p>
        </w:tc>
      </w:tr>
    </w:tbl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UC-360-01..05 main/alternative/exception flows per FSD §3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SA4E-355 governance suites green (context-governance, context-budget, budget-gate, session-tier, transcript-compaction) + E2E-UI indicators</w:t>
            </w:r>
          </w:p>
        </w:tc>
        <w:tc>
          <w:tcPr/>
          <w:p>
            <w:pPr>
              <w:pStyle w:val="Compact"/>
            </w:pPr>
            <w:r>
              <w:t xml:space="preserve">Yes — gate after every task (TDD 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p95 latency M4 ≤ 300 ms, skeleton build ≤ 2 s p95, map build ≤ 500 ms p95, budget resolution &lt; 50 ms</w:t>
            </w:r>
          </w:p>
        </w:tc>
        <w:tc>
          <w:tcPr/>
          <w:p>
            <w:pPr>
              <w:pStyle w:val="Compact"/>
            </w:pPr>
            <w:r>
              <w:t xml:space="preserve">Yes (measurable ACs in FSD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SEC-360-01..08: redaction, containment 4 vectors, rate limit, LIKE sanitization, MAX_SLICE cap, ReDoS guard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Manual SIT — reviewer UX with skeleton + functional map on qwen 32k</w:t>
            </w:r>
          </w:p>
        </w:tc>
        <w:tc>
          <w:tcPr/>
          <w:p>
            <w:pPr>
              <w:pStyle w:val="Compact"/>
            </w:pPr>
            <w:r>
              <w:t xml:space="preserve">Yes (SIT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Dual-engine index (SQLite + PostgreSQL) parity</w:t>
            </w:r>
          </w:p>
        </w:tc>
        <w:tc>
          <w:tcPr/>
          <w:p>
            <w:pPr>
              <w:pStyle w:val="Compact"/>
            </w:pPr>
            <w:r>
              <w:t xml:space="preserve">Yes (E2E-API-04)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Risk-based, wire-first.</w:t>
      </w:r>
      <w:r>
        <w:t xml:space="preserve"> </w:t>
      </w:r>
      <w:r>
        <w:t xml:space="preserve">The highest-risk areas are (a) gate interaction — any wiring defect that skips/weaken a gate is Critical; (b) budget arithmetic — resolver-true values are the single source of truth (DISC-7); (c) fail-safe dominance — REJECT must be provable with the provider never called. These get the deepest coverage (PBT + IT + E2E-API + SIT).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Redundancy avoidance between levels.</w:t>
      </w:r>
      <w:r>
        <w:t xml:space="preserve"> </w:t>
      </w:r>
      <w:r>
        <w:t xml:space="preserve">Each property/behavior is asserted at exactly ONE primary level; lower levels cover construction mechanics, higher levels cover composition:</w:t>
      </w:r>
    </w:p>
    <w:p>
      <w:pPr>
        <w:pStyle w:val="Compact"/>
        <w:numPr>
          <w:ilvl w:val="1"/>
          <w:numId w:val="1004"/>
        </w:numPr>
      </w:pPr>
      <w:r>
        <w:t xml:space="preserve">Budget arithmetic FORMULA → PBT (PBT-01..03); its USE in gate ordering → IT-02; its TELEMETRY → SIT-01. No duplicated arithmetic asserts in UT.</w:t>
      </w:r>
    </w:p>
    <w:p>
      <w:pPr>
        <w:pStyle w:val="Compact"/>
        <w:numPr>
          <w:ilvl w:val="1"/>
          <w:numId w:val="1004"/>
        </w:numPr>
      </w:pPr>
      <w:r>
        <w:t xml:space="preserve">Truncation MECHANICS (cap, priority, re-measure) → UT-01..05; loop INVARIANTS (shrink, termination, global bound) → PBT-04..07/10; forced-overflow END-TO-END → IT-03 + SIT-05.</w:t>
      </w:r>
    </w:p>
    <w:p>
      <w:pPr>
        <w:pStyle w:val="Compact"/>
        <w:numPr>
          <w:ilvl w:val="1"/>
          <w:numId w:val="1004"/>
        </w:numPr>
      </w:pPr>
      <w:r>
        <w:t xml:space="preserve">Symbol resolution SQL semantics → E2E-API (real engine); envelope/steering logic → UT; full chain (extension tool → loopback → backend) → IT-04. E2E-API never re-asserts envelope shapes already covered by 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dependencies over mocks (IT/E2E-API quality gate).</w:t>
      </w:r>
      <w:r>
        <w:t xml:space="preserve"> </w:t>
      </w:r>
      <w:r>
        <w:t xml:space="preserve">IT uses the real createHost, real gates, real compaction, in-process Hono app for the backend chain — only the LLM provider is a scripted fake (a real llama-server is unavailable in CI). E2E-API runs against a REAL backend server with real SQLite/PostgreSQL QueryLayer — no mock-all. Local infrastructure (SQLite, Postgres, HTTP server, filesystem) MUST be real; mocking them classifies the test as UT and is a defect per the test-implementation review rule.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Test-first alignment with TDD §12.</w:t>
      </w:r>
      <w:r>
        <w:t xml:space="preserve"> </w:t>
      </w:r>
      <w:r>
        <w:t xml:space="preserve">Test IDs are grouped to the T1–T9 task checklist so DEV can implement tests first per task and keep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green after each task (ticket constraint).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remediations are first-class requirements.</w:t>
      </w:r>
      <w:r>
        <w:t xml:space="preserve"> </w:t>
      </w:r>
      <w:r>
        <w:t xml:space="preserve">SEC-360-01/02 (Medium) and SEC-360-03..06 (Low) each have designated test cases (RTM §10); the Security Review’s STP-recommended tests (secret-in-source → [REDACTED]; 200-file RAW_HEAD wall-clock; multi-root isolation) are included.</w:t>
      </w:r>
    </w:p>
    <w:bookmarkEnd w:id="20"/>
    <w:bookmarkStart w:id="21" w:name="X99120149f3b7952f6ae7dfe9ad7877befba963e"/>
    <w:p>
      <w:pPr>
        <w:pStyle w:val="3"/>
      </w:pPr>
      <w:r>
        <w:t xml:space="preserve">2.4 E2E Automation Coverage (SIT → E2E classification)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33"/>
        <w:gridCol w:w="2184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 (candidate SIT)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arithmetic oracle 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</w:t>
            </w:r>
            <w:r>
              <w:t xml:space="preserve"> </w:t>
            </w:r>
            <w:r>
              <w:t xml:space="preserve">(PBT-01..03)</w:t>
            </w:r>
          </w:p>
        </w:tc>
        <w:tc>
          <w:tcPr/>
          <w:p>
            <w:pPr>
              <w:pStyle w:val="Compact"/>
            </w:pPr>
            <w:r>
              <w:t xml:space="preserve">Pure functions — deterministic, property-expressible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loop invariants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</w:t>
            </w:r>
            <w:r>
              <w:t xml:space="preserve"> </w:t>
            </w:r>
            <w:r>
              <w:t xml:space="preserve">(PBT-04..07, PBT-10)</w:t>
            </w:r>
          </w:p>
        </w:tc>
        <w:tc>
          <w:tcPr/>
          <w:p>
            <w:pPr>
              <w:pStyle w:val="Compact"/>
            </w:pPr>
            <w:r>
              <w:t xml:space="preserve">Random-input invariants; manual testing cannot enumerate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tool envelopes, validation, steering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</w:t>
            </w:r>
            <w:r>
              <w:t xml:space="preserve"> </w:t>
            </w:r>
            <w:r>
              <w:t xml:space="preserve">(UT-17..25)</w:t>
            </w:r>
          </w:p>
        </w:tc>
        <w:tc>
          <w:tcPr/>
          <w:p>
            <w:pPr>
              <w:pStyle w:val="Compact"/>
            </w:pPr>
            <w:r>
              <w:t xml:space="preserve">Pure logic with injected fakes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createHost wiring + measure==inject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  <w:r>
              <w:t xml:space="preserve"> </w:t>
            </w:r>
            <w:r>
              <w:t xml:space="preserve">(IT-01..02)</w:t>
            </w:r>
          </w:p>
        </w:tc>
        <w:tc>
          <w:tcPr/>
          <w:p>
            <w:pPr>
              <w:pStyle w:val="Compact"/>
            </w:pPr>
            <w:r>
              <w:t xml:space="preserve">In-process,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oversized skeleton → REJECT, provider never called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  <w:r>
              <w:t xml:space="preserve"> </w:t>
            </w:r>
            <w:r>
              <w:t xml:space="preserve">(IT-03)</w:t>
            </w:r>
          </w:p>
        </w:tc>
        <w:tc>
          <w:tcPr/>
          <w:p>
            <w:pPr>
              <w:pStyle w:val="Compact"/>
            </w:pPr>
            <w:r>
              <w:t xml:space="preserve">Deterministic with scripted fake provider; SIT-05 keeps only the user-visible chat:error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 → backend 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  <w:r>
              <w:t xml:space="preserve"> </w:t>
            </w:r>
            <w:r>
              <w:t xml:space="preserve">(IT-04) for chain +</w:t>
            </w:r>
            <w:r>
              <w:t xml:space="preserve"> </w:t>
            </w:r>
            <w:r>
              <w:rPr>
                <w:b/>
                <w:bCs/>
              </w:rPr>
              <w:t xml:space="preserve">E2E-API</w:t>
            </w:r>
            <w:r>
              <w:t xml:space="preserve"> </w:t>
            </w:r>
            <w:r>
              <w:t xml:space="preserve">(E2E-API-02..04) for real-engine SQL semantics</w:t>
            </w:r>
          </w:p>
        </w:tc>
        <w:tc>
          <w:tcPr/>
          <w:p>
            <w:pPr>
              <w:pStyle w:val="Compact"/>
            </w:pPr>
            <w:r>
              <w:t xml:space="preserve">Splits chain wiring vs engine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#3 compaction absorption of read_method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  <w:r>
              <w:t xml:space="preserve"> </w:t>
            </w:r>
            <w:r>
              <w:t xml:space="preserve">(IT-05)</w:t>
            </w:r>
          </w:p>
        </w:tc>
        <w:tc>
          <w:tcPr/>
          <w:p>
            <w:pPr>
              <w:pStyle w:val="Compact"/>
            </w:pPr>
            <w:r>
              <w:t xml:space="preserve">Deterministic transcript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Locate latency p95 ≤ 300 ms (M4)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Measurable on real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Golden-set hit-rate (M2)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IT-11</w:t>
            </w:r>
          </w:p>
        </w:tc>
        <w:tc>
          <w:tcPr/>
          <w:p>
            <w:pPr>
              <w:pStyle w:val="Compact"/>
            </w:pPr>
            <w:r>
              <w:t xml:space="preserve">Drives real tool over fixture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indicators / transcript rendering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E2E-UI</w:t>
            </w:r>
            <w:r>
              <w:t xml:space="preserve"> </w:t>
            </w:r>
            <w:r>
              <w:t xml:space="preserve">(E2E-UI-01..02)</w:t>
            </w:r>
          </w:p>
        </w:tc>
        <w:tc>
          <w:tcPr/>
          <w:p>
            <w:pPr>
              <w:pStyle w:val="Compact"/>
            </w:pPr>
            <w:r>
              <w:t xml:space="preserve">DOM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visible in system context; reviewer 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</w:t>
            </w:r>
            <w:r>
              <w:t xml:space="preserve"> </w:t>
            </w:r>
            <w:r>
              <w:t xml:space="preserve">(SIT-01, SIT-04)</w:t>
            </w:r>
          </w:p>
        </w:tc>
        <w:tc>
          <w:tcPr/>
          <w:p>
            <w:pPr>
              <w:pStyle w:val="Compact"/>
            </w:pPr>
            <w:r>
              <w:t xml:space="preserve">Requires real LLM quality 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 mode (stale index recovery UX)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</w:t>
            </w:r>
            <w:r>
              <w:t xml:space="preserve"> </w:t>
            </w:r>
            <w:r>
              <w:t xml:space="preserve">(SIT-03) — mechanics automated in UT-06..10/IT-09</w:t>
            </w:r>
          </w:p>
        </w:tc>
        <w:tc>
          <w:tcPr/>
          <w:p>
            <w:pPr>
              <w:pStyle w:val="Compact"/>
            </w:pPr>
            <w:r>
              <w:t xml:space="preserve">End-to-end recovery demo needs live workspace 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chat:error surface + provider-never-called proof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</w:t>
            </w:r>
            <w:r>
              <w:t xml:space="preserve"> </w:t>
            </w:r>
            <w:r>
              <w:t xml:space="preserve">(SIT-05)</w:t>
            </w:r>
          </w:p>
        </w:tc>
        <w:tc>
          <w:tcPr/>
          <w:p>
            <w:pPr>
              <w:pStyle w:val="Compact"/>
            </w:pPr>
            <w:r>
              <w:t xml:space="preserve">Cross-process log inspection (llama-server)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parity (M3)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</w:t>
            </w:r>
            <w:r>
              <w:t xml:space="preserve"> </w:t>
            </w:r>
            <w:r>
              <w:t xml:space="preserve">(SIT-06)</w:t>
            </w:r>
          </w:p>
        </w:tc>
        <w:tc>
          <w:tcPr/>
          <w:p>
            <w:pPr>
              <w:pStyle w:val="Compact"/>
            </w:pPr>
            <w:r>
              <w:t xml:space="preserve">Human review-quality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standards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SIT-08</w:t>
            </w:r>
          </w:p>
        </w:tc>
        <w:tc>
          <w:tcPr/>
          <w:p>
            <w:pPr>
              <w:pStyle w:val="Compact"/>
            </w:pPr>
            <w:r>
              <w:t xml:space="preserve">Line-count/TSDoc spot-check (CI-assisted)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70/78 (89.7%) automated; only 8 manual SIT cases remain, all requiring human judgment, a real LLM, or cross-process evidence.</w:t>
      </w:r>
    </w:p>
    <w:bookmarkEnd w:id="21"/>
    <w:bookmarkStart w:id="22" w:name="entry-criteria"/>
    <w:p>
      <w:pPr>
        <w:pStyle w:val="3"/>
      </w:pPr>
      <w:r>
        <w:t xml:space="preserve">2.5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skeleton-types.ts + truncator/resolver interfaces merged (T1 contracts); fast-check available in devDependencies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Module under test exists per TDD §6.1; fixture CSVs loaded (documents/SA4E-360/testdata/); baseline suite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T1–T7 merged; createHost wire points implemented (T8); in-process Hono backend test harness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Backend server boots on loopback with SQLite AND PostgreSQL adapters; 2 new tools registered (T3/T5 done)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Extension builds (esbuild); SA4E-355 UI indicators present; Playwright harness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automated levels green; llama-server running with qwen 32k (n_ctx 32,768 / maxOutput 2,048); code-intel backend indexed on the test workspace; STC SIT checklist printed</w:t>
            </w:r>
          </w:p>
        </w:tc>
      </w:tr>
    </w:tbl>
    <w:bookmarkEnd w:id="22"/>
    <w:bookmarkStart w:id="23" w:name="exit-criteria"/>
    <w:p>
      <w:pPr>
        <w:pStyle w:val="3"/>
      </w:pPr>
      <w:r>
        <w:t xml:space="preserve">2.6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10/10 pass; no shrinking counterexamples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34/34 pass; every error envelope asserted (INVALID_ARGS/NOT_FOUND/AMBIGUOUS/INDEX_STALE/FILE_UNREADABLE/INDEX_UNAVAILABLE)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12/12 pass; measure==inject byte-identical proven; REJECT path proves provider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12/12 pass on BOTH engines (where applicable); containment 4-vector rejection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2/2 pass; zero diff in SA4E-355 indicator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8/8 executed with evidence screenshots/log excerpts; M1–M6 values recorded; 0 Critical / 0 Major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Full suite green (baseline 285 files / 2,748 tests + ~78 new); RTM 100%; STP/STC signed off</w:t>
            </w:r>
          </w:p>
        </w:tc>
      </w:tr>
    </w:tbl>
    <w:bookmarkEnd w:id="23"/>
    <w:bookmarkStart w:id="28" w:name="test-execution-flow"/>
    <w:p>
      <w:pPr>
        <w:pStyle w:val="3"/>
      </w:pPr>
      <w:r>
        <w:t xml:space="preserve">2.7 Test Execution Flow</w:t>
      </w:r>
    </w:p>
    <w:p>
      <w:pPr>
        <w:pStyle w:val="FirstParagraph"/>
      </w:pPr>
      <w:r>
        <w:drawing>
          <wp:inline>
            <wp:extent cx="5270500" cy="4630959"/>
            <wp:effectExtent b="0" l="0" r="0" t="0"/>
            <wp:docPr descr="Test Execution Flow" title="" id="25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test-execution-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3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test-scope"/>
    <w:p>
      <w:pPr>
        <w:pStyle w:val="2"/>
      </w:pPr>
      <w:r>
        <w:t xml:space="preserve">3. Test Scope</w:t>
      </w:r>
    </w:p>
    <w:bookmarkStart w:id="30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207"/>
        <w:gridCol w:w="1298"/>
        <w:gridCol w:w="1947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Levels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UC-360-01 Budget-aware code skeleton injection (gate #2, ≤ 70% cap, truncation, REJECT, DEGRADED)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PBT, UT, IT,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UC-360-02 read_method tool (resolve, disambiguation, envelopes, bounds, containment)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§3.2</w:t>
            </w:r>
          </w:p>
        </w:tc>
        <w:tc>
          <w:tcPr/>
          <w:p>
            <w:pPr>
              <w:pStyle w:val="Compact"/>
            </w:pPr>
            <w:r>
              <w:t xml:space="preserve">UT, IT, E2E-API, E2E-UI,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UC-360-03 Functional map in get_workspace_info (caps, cache, EF-1/EF-2)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§3.3</w:t>
            </w:r>
          </w:p>
        </w:tc>
        <w:tc>
          <w:tcPr/>
          <w:p>
            <w:pPr>
              <w:pStyle w:val="Compact"/>
            </w:pPr>
            <w:r>
              <w:t xml:space="preserve">UT, IT, E2E-UI,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UC-360-04 Regex signature fallback (backend code_extract_signatures, RAW_HEAD, SKIPPED)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§3.4</w:t>
            </w:r>
          </w:p>
        </w:tc>
        <w:tc>
          <w:tcPr/>
          <w:p>
            <w:pPr>
              <w:pStyle w:val="Compact"/>
            </w:pPr>
            <w:r>
              <w:t xml:space="preserve">UT,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UC-360-05 Governance regression safety (3 gates untouched, compaction, TurnBudgetGuard)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§3.5</w:t>
            </w:r>
          </w:p>
        </w:tc>
        <w:tc>
          <w:tcPr/>
          <w:p>
            <w:pPr>
              <w:pStyle w:val="Compact"/>
            </w:pPr>
            <w:r>
              <w:t xml:space="preserve">IT,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SEC-360-01 Secret redaction (redactSecretLike + secret-file exclusion)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§SEC-360-01</w:t>
            </w:r>
          </w:p>
        </w:tc>
        <w:tc>
          <w:tcPr/>
          <w:p>
            <w:pPr>
              <w:pStyle w:val="Compact"/>
            </w:pPr>
            <w:r>
              <w:t xml:space="preserve">PBT,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SEC-360-02 Global budget bound + O(parts) truncator + termination cap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§SEC-360-02</w:t>
            </w:r>
          </w:p>
        </w:tc>
        <w:tc>
          <w:tcPr/>
          <w:p>
            <w:pPr>
              <w:pStyle w:val="Compact"/>
            </w:pPr>
            <w:r>
              <w:t xml:space="preserve">PBT,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SEC-360-03 Rate limit /mcp + reindex cooldown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SECURITY-REVIEW §SEC-360-03</w:t>
            </w:r>
          </w:p>
        </w:tc>
        <w:tc>
          <w:tcPr/>
          <w:p>
            <w:pPr>
              <w:pStyle w:val="Compact"/>
            </w:pPr>
            <w:r>
              <w:t xml:space="preserve">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SEC-360-04 Backend path-containment twin (4 vectors: null-byte / UNC / dotdot / symlink)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§SEC-360-04</w:t>
            </w:r>
          </w:p>
        </w:tc>
        <w:tc>
          <w:tcPr/>
          <w:p>
            <w:pPr>
              <w:pStyle w:val="Compact"/>
            </w:pPr>
            <w:r>
              <w:t xml:space="preserve">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SEC-360-05 LIKE wildcard sanitization (findSymbols)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SECURITY-REVIEW §SEC-360-05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SEC-360-06 MAX_SLICE cap for read_method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SECURITY-REVIEW §SEC-360-06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SEC-360-07 Control-character strip (defense-in-depth)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SECURITY-REVIEW §SEC-360-07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SEC-360-08 Inherited controls verified (containment, loopback-only, 1 MB cap, telemetry counts-only)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SECURITY-REVIEW §SEC-360-08</w:t>
            </w:r>
          </w:p>
        </w:tc>
        <w:tc>
          <w:tcPr/>
          <w:p>
            <w:pPr>
              <w:pStyle w:val="Compact"/>
            </w:pPr>
            <w:r>
              <w:t xml:space="preserve">UT, IT, E2E-API (re-verification)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Metrics M1–M6 (coverage, hit-rate, parity, latency, zero-overflow, 70% share)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§2.5</w:t>
            </w:r>
          </w:p>
        </w:tc>
        <w:tc>
          <w:tcPr/>
          <w:p>
            <w:pPr>
              <w:pStyle w:val="Compact"/>
            </w:pPr>
            <w:r>
              <w:t xml:space="preserve">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Contracts C-360-S1..S3 / R1/R2 / M1/M2 / F1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§3.x.5</w:t>
            </w:r>
          </w:p>
        </w:tc>
        <w:tc>
          <w:tcPr/>
          <w:p>
            <w:pPr>
              <w:pStyle w:val="Compact"/>
            </w:pPr>
            <w:r>
              <w:t xml:space="preserve">UT, 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Dual-engine index parity (SQLite symbols_fts / PostgreSQL ILIKE)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§1.3, TDD P-8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FSD §10.1 scenarios TC-360-01..22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Mapped in STC Appendix B</w:t>
            </w:r>
          </w:p>
        </w:tc>
      </w:tr>
    </w:tbl>
    <w:bookmarkEnd w:id="30"/>
    <w:bookmarkStart w:id="31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 Contextual RAG wire (ContextRetriever, RRF merger)</w:t>
            </w:r>
          </w:p>
        </w:tc>
        <w:tc>
          <w:tcPr/>
          <w:p>
            <w:pPr>
              <w:pStyle w:val="Compact"/>
            </w:pPr>
            <w:r>
              <w:t xml:space="preserve">BRD §1.2 — future ticket; P1 validates skeleton + targeted reads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P3 Map-Reduce wire (MapReduceOrchestrator)</w:t>
            </w:r>
          </w:p>
        </w:tc>
        <w:tc>
          <w:tcPr/>
          <w:p>
            <w:pPr>
              <w:pStyle w:val="Compact"/>
            </w:pPr>
            <w:r>
              <w:t xml:space="preserve">BRD §1.2 — escape hatch reserved; trigger condition (skeleton &gt; staticBudget) is REJECT territory in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P4 Call-graph pruning</w:t>
            </w:r>
          </w:p>
        </w:tc>
        <w:tc>
          <w:tcPr/>
          <w:p>
            <w:pPr>
              <w:pStyle w:val="Compact"/>
            </w:pPr>
            <w:r>
              <w:t xml:space="preserve">Deferred (TA roadmap T6)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Hybrid retrieval latency (≤ 1.5 s target)</w:t>
            </w:r>
          </w:p>
        </w:tc>
        <w:tc>
          <w:tcPr/>
          <w:p>
            <w:pPr>
              <w:pStyle w:val="Compact"/>
            </w:pPr>
            <w:r>
              <w:t xml:space="preserve">M4 hybrid half validated only when P2 wires the hybrid path (BRD §2.5)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New UI screens/controls</w:t>
            </w:r>
          </w:p>
        </w:tc>
        <w:tc>
          <w:tcPr/>
          <w:p>
            <w:pPr>
              <w:pStyle w:val="Compact"/>
            </w:pPr>
            <w:r>
              <w:t xml:space="preserve">FSD §3.x.6 —</w:t>
            </w:r>
            <w:r>
              <w:t xml:space="preserve"> </w:t>
            </w:r>
            <w:r>
              <w:t xml:space="preserve">“No UI changes”</w:t>
            </w:r>
            <w:r>
              <w:t xml:space="preserve">; only regression verification of SA4E-355 indicators (E2E-UI)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Rate limiting of /api/admin/</w:t>
            </w:r>
            <w:r>
              <w:rPr>
                <w:i/>
                <w:iCs/>
              </w:rPr>
              <w:t xml:space="preserve">, /api/v1/pega/</w:t>
            </w:r>
          </w:p>
        </w:tc>
        <w:tc>
          <w:tcPr/>
          <w:p>
            <w:pPr>
              <w:pStyle w:val="Compact"/>
            </w:pPr>
            <w:r>
              <w:t xml:space="preserve">Pre-existing surfaces, unchanged by SA4E-360 (SEC-360-03 covers /mcp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SA4E-355 gate internals re-design</w:t>
            </w:r>
          </w:p>
        </w:tc>
        <w:tc>
          <w:tcPr/>
          <w:p>
            <w:pPr>
              <w:pStyle w:val="Compact"/>
            </w:pPr>
            <w:r>
              <w:t xml:space="preserve">Governance plane is UNTOUCHED — only interaction/regression is tested (UC-360-05)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M2 hit-rate on fallback-extracted (non-indexed) symbols</w:t>
            </w:r>
          </w:p>
        </w:tc>
        <w:tc>
          <w:tcPr/>
          <w:p>
            <w:pPr>
              <w:pStyle w:val="Compact"/>
            </w:pPr>
            <w:r>
              <w:t xml:space="preserve">OI-4 — fallback symbols are TRANSIENT; M2 scoped to indexed 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Multi-root merged skeleton</w:t>
            </w:r>
          </w:p>
        </w:tc>
        <w:tc>
          <w:tcPr/>
          <w:p>
            <w:pPr>
              <w:pStyle w:val="Compact"/>
            </w:pPr>
            <w:r>
              <w:t xml:space="preserve">OI-3 — P1 ships single-active-root; only per-root isolation is tested (IT-08)</w:t>
            </w:r>
          </w:p>
        </w:tc>
      </w:tr>
    </w:tbl>
    <w:bookmarkEnd w:id="31"/>
    <w:bookmarkStart w:id="36" w:name="test-coverage-overview"/>
    <w:p>
      <w:pPr>
        <w:pStyle w:val="3"/>
      </w:pPr>
      <w:r>
        <w:t xml:space="preserve">3.3 Test Coverage Overview</w:t>
      </w:r>
    </w:p>
    <w:p>
      <w:pPr>
        <w:pStyle w:val="FirstParagraph"/>
      </w:pPr>
      <w:r>
        <w:drawing>
          <wp:inline>
            <wp:extent cx="5270500" cy="3457043"/>
            <wp:effectExtent b="0" l="0" r="0" t="0"/>
            <wp:docPr descr="Test Coverage" title="" id="33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test-cover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5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est-environment"/>
    <w:p>
      <w:pPr>
        <w:pStyle w:val="2"/>
      </w:pPr>
      <w:r>
        <w:t xml:space="preserve">4. Test Environment</w:t>
      </w:r>
    </w:p>
    <w:bookmarkStart w:id="38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30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DEV-CI (PBT/UT/IT)</w:t>
            </w:r>
          </w:p>
        </w:tc>
        <w:tc>
          <w:tcPr/>
          <w:p>
            <w:pPr>
              <w:pStyle w:val="Compact"/>
            </w:pPr>
            <w:r>
              <w:t xml:space="preserve">Node LTS, vitest, fast-check; extension + backend packages; in-process Hono app; temp fixture workspaces</w:t>
            </w:r>
          </w:p>
        </w:tc>
        <w:tc>
          <w:tcPr/>
          <w:p>
            <w:pPr>
              <w:pStyle w:val="Compact"/>
            </w:pPr>
            <w:r>
              <w:t xml:space="preserve">Automated levels 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Real backend MCP server on loopback (JSON-RPC POST /mcp); SQLite (SCHEMA_V1 + symbols_fts) AND PostgreSQL adapters; fixture workspace indexed</w:t>
            </w:r>
          </w:p>
        </w:tc>
        <w:tc>
          <w:tcPr/>
          <w:p>
            <w:pPr>
              <w:pStyle w:val="Compact"/>
            </w:pPr>
            <w:r>
              <w:t xml:space="preserve">Levels 4 — real QueryLayer, no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VS Code extension dev host (or webview harness) + Playwright Chromium</w:t>
            </w:r>
          </w:p>
        </w:tc>
        <w:tc>
          <w:tcPr/>
          <w:p>
            <w:pPr>
              <w:pStyle w:val="Compact"/>
            </w:pPr>
            <w:r>
              <w:t xml:space="preserve">Level 5 — DOM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Windows dev machine: VS Code + SA4E extension build; llama-server qwen 32k (contextWindow 32,768 / maxOutput 2,048); code-intel backend indexed on a representative workspace (≥ 200 files incl. Svelte/grammar-less)</w:t>
            </w:r>
          </w:p>
        </w:tc>
        <w:tc>
          <w:tcPr/>
          <w:p>
            <w:pPr>
              <w:pStyle w:val="Compact"/>
            </w:pPr>
            <w:r>
              <w:t xml:space="preserve">Level 6 — end-to-end human-verified</w:t>
            </w:r>
          </w:p>
        </w:tc>
      </w:tr>
    </w:tbl>
    <w:bookmarkEnd w:id="38"/>
    <w:bookmarkStart w:id="39" w:name="tooling"/>
    <w:p>
      <w:pPr>
        <w:pStyle w:val="3"/>
      </w:pPr>
      <w:r>
        <w:t xml:space="preserve">4.2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PBT/UT/IT runner (extension +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fast-check</w:t>
            </w:r>
          </w:p>
        </w:tc>
        <w:tc>
          <w:tcPr/>
          <w:p>
            <w:pPr>
              <w:pStyle w:val="Compact"/>
            </w:pPr>
            <w:r>
              <w:t xml:space="preserve">Property-based tests (PBT)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 in-process (</w:t>
            </w:r>
            <w:r>
              <w:rPr>
                <w:rStyle w:val="VerbatimChar"/>
              </w:rPr>
              <w:t xml:space="preserve">app.request()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IT for /mcp backend chain without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against real loopback server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E2E-UI + SIT browser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llama-server (qwen 32k/65k)</w:t>
            </w:r>
          </w:p>
        </w:tc>
        <w:tc>
          <w:tcPr/>
          <w:p>
            <w:pPr>
              <w:pStyle w:val="Compact"/>
            </w:pPr>
            <w:r>
              <w:t xml:space="preserve">SIT reviewer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 log</w:t>
            </w:r>
          </w:p>
        </w:tc>
        <w:tc>
          <w:tcPr/>
          <w:p>
            <w:pPr>
              <w:pStyle w:val="Compact"/>
            </w:pPr>
            <w:r>
              <w:t xml:space="preserve">Telemetry evidence (PI_SKELETON_*, PI_GATE_DECISION, PI_READ_METHOD_RESULT)</w:t>
            </w:r>
          </w:p>
        </w:tc>
      </w:tr>
    </w:tbl>
    <w:bookmarkEnd w:id="39"/>
    <w:bookmarkStart w:id="40" w:name="test-data-requirements"/>
    <w:p>
      <w:pPr>
        <w:pStyle w:val="3"/>
      </w:pPr>
      <w:r>
        <w:t xml:space="preserve">4.3 Test Data Requirements</w:t>
      </w:r>
    </w:p>
    <w:p>
      <w:pPr>
        <w:pStyle w:val="FirstParagraph"/>
      </w:pPr>
      <w:r>
        <w:t xml:space="preserve">All test data is versioned as CSV under</w:t>
      </w:r>
      <w:r>
        <w:t xml:space="preserve"> </w:t>
      </w:r>
      <w:r>
        <w:rPr>
          <w:rStyle w:val="VerbatimChar"/>
        </w:rPr>
        <w:t xml:space="preserve">documents/SA4E-360/testdata/</w:t>
      </w:r>
      <w:r>
        <w:t xml:space="preserve"> </w:t>
      </w:r>
      <w:r>
        <w:t xml:space="preserve">— every STC test case ID appears in at least one CSV as an exact</w:t>
      </w:r>
      <w:r>
        <w:t xml:space="preserve"> </w:t>
      </w:r>
      <w:r>
        <w:rPr>
          <w:rStyle w:val="VerbatimChar"/>
        </w:rPr>
        <w:t xml:space="preserve">test_case_id</w:t>
      </w:r>
      <w:r>
        <w:t xml:space="preserve"> </w:t>
      </w:r>
      <w:r>
        <w:t xml:space="preserve">value (78/78, verified by the coverage script:</w:t>
      </w:r>
      <w:r>
        <w:t xml:space="preserve"> </w:t>
      </w:r>
      <w:r>
        <w:rPr>
          <w:rStyle w:val="VerbatimChar"/>
        </w:rPr>
        <w:t xml:space="preserve">Import-Csv *.csv → Sort-Object -Unique test_case_id</w:t>
      </w:r>
      <w:r>
        <w:t xml:space="preserve"> </w:t>
      </w:r>
      <w:r>
        <w:t xml:space="preserve">vs the 78</w:t>
      </w:r>
      <w:r>
        <w:t xml:space="preserve"> </w:t>
      </w:r>
      <w:r>
        <w:rPr>
          <w:rStyle w:val="VerbatimChar"/>
        </w:rPr>
        <w:t xml:space="preserve">### LEVEL-xx</w:t>
      </w:r>
      <w:r>
        <w:t xml:space="preserve"> </w:t>
      </w:r>
      <w:r>
        <w:t xml:space="preserve">sections in STC.md; v1.0 covered 72/78 because 6 IDs appeared only inside composite</w:t>
      </w:r>
      <w:r>
        <w:t xml:space="preserve"> </w:t>
      </w:r>
      <w:r>
        <w:rPr>
          <w:rStyle w:val="VerbatimChar"/>
        </w:rPr>
        <w:t xml:space="preserve">A;B</w:t>
      </w:r>
      <w:r>
        <w:t xml:space="preserve"> </w:t>
      </w:r>
      <w:r>
        <w:t xml:space="preserve">references).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pre-seeded-index-fixtures.csv</w:t>
            </w:r>
          </w:p>
        </w:tc>
        <w:tc>
          <w:tcPr/>
          <w:p>
            <w:pPr>
              <w:pStyle w:val="Compact"/>
            </w:pPr>
            <w:r>
              <w:t xml:space="preserve">Baseline files/symbols fixtures for build/render/cache/multi-root/coverage (PBT-08, UT-11/12/16, IT-08/09/12, E2E-API-01/02/04)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index-freshness-testdata.csv</w:t>
            </w:r>
          </w:p>
        </w:tc>
        <w:tc>
          <w:tcPr/>
          <w:p>
            <w:pPr>
              <w:pStyle w:val="Compact"/>
            </w:pPr>
            <w:r>
              <w:t xml:space="preserve">Freshness states: fresh/touch-only/content-changed/reindex-fail/cooldown/wrapper-timeout (UT-06..10, IT-09, E2E-API-08, SIT-03)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budget-scenarios-testdata.csv</w:t>
            </w:r>
          </w:p>
        </w:tc>
        <w:tc>
          <w:tcPr/>
          <w:p>
            <w:pPr>
              <w:pStyle w:val="Compact"/>
            </w:pPr>
            <w:r>
              <w:t xml:space="preserve">Resolver oracle values</w:t>
            </w:r>
            <w:r>
              <w:t xml:space="preserve"> </w:t>
            </w:r>
            <w:r>
              <w:t xml:space="preserve">@32k</w:t>
            </w:r>
            <w:r>
              <w:t xml:space="preserve">/</w:t>
            </w:r>
            <w:r>
              <w:t xml:space="preserve">@65k/default</w:t>
            </w:r>
            <w:r>
              <w:t xml:space="preserve"> </w:t>
            </w:r>
            <w:r>
              <w:t xml:space="preserve">+ arbitrary nCtx (PBT-01..03, IT-01/02/07)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truncation-scenarios-testdata.csv</w:t>
            </w:r>
          </w:p>
        </w:tc>
        <w:tc>
          <w:tcPr/>
          <w:p>
            <w:pPr>
              <w:pStyle w:val="Compact"/>
            </w:pPr>
            <w:r>
              <w:t xml:space="preserve">Module priority parts, forced-overflow, global-bound properties (PBT-04..07/10, UT-01..05, IT-03)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read-method-testdata.csv</w:t>
            </w:r>
          </w:p>
        </w:tc>
        <w:tc>
          <w:tcPr/>
          <w:p>
            <w:pPr>
              <w:pStyle w:val="Compact"/>
            </w:pPr>
            <w:r>
              <w:t xml:space="preserve">read_method inputs → envelopes (UT-17..25, IT-04/05/06, E2E-API-02/03/04/09)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skeleton-fallback-testdata.csv</w:t>
            </w:r>
          </w:p>
        </w:tc>
        <w:tc>
          <w:tcPr/>
          <w:p>
            <w:pPr>
              <w:pStyle w:val="Compact"/>
            </w:pPr>
            <w:r>
              <w:t xml:space="preserve">Grammar-less files, fallback ladder, empty corpus (UT-13/14/15, E2E-API-05/06, SIT-07)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secret-redaction-testdata.csv</w:t>
            </w:r>
          </w:p>
        </w:tc>
        <w:tc>
          <w:tcPr/>
          <w:p>
            <w:pPr>
              <w:pStyle w:val="Compact"/>
            </w:pPr>
            <w:r>
              <w:t xml:space="preserve">Secret-like patterns → [REDACTED] (PBT-09, UT-30..34)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backend-security-testdata.csv</w:t>
            </w:r>
          </w:p>
        </w:tc>
        <w:tc>
          <w:tcPr/>
          <w:p>
            <w:pPr>
              <w:pStyle w:val="Compact"/>
            </w:pPr>
            <w:r>
              <w:t xml:space="preserve">Containment 4 vectors + rate limit + LIKE sanitize + tenant (UT-24, E2E-API-07/09/10/11)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golden-query-set.csv</w:t>
            </w:r>
          </w:p>
        </w:tc>
        <w:tc>
          <w:tcPr/>
          <w:p>
            <w:pPr>
              <w:pStyle w:val="Compact"/>
            </w:pPr>
            <w:r>
              <w:t xml:space="preserve">M2 hit-rate + M4 latency golden queries — 12-query FROZEN set, composite refs</w:t>
            </w:r>
            <w:r>
              <w:t xml:space="preserve"> </w:t>
            </w:r>
            <w:r>
              <w:rPr>
                <w:rStyle w:val="VerbatimChar"/>
              </w:rPr>
              <w:t xml:space="preserve">IT-11;E2E-API-12</w:t>
            </w:r>
            <w:r>
              <w:t xml:space="preserve"> </w:t>
            </w:r>
            <w:r>
              <w:t xml:space="preserve">(exact-ID metric/benchmark rows live in files #12 and #13)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functional-map-testdata.csv</w:t>
            </w:r>
          </w:p>
        </w:tc>
        <w:tc>
          <w:tcPr/>
          <w:p>
            <w:pPr>
              <w:pStyle w:val="Compact"/>
            </w:pPr>
            <w:r>
              <w:t xml:space="preserve">Map entries, caps, EF-1/EF-2 (UT-26..29, IT-10, SIT-02)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sit-checklist-testdata.csv</w:t>
            </w:r>
          </w:p>
        </w:tc>
        <w:tc>
          <w:tcPr/>
          <w:p>
            <w:pPr>
              <w:pStyle w:val="Compact"/>
            </w:pPr>
            <w:r>
              <w:t xml:space="preserve">Manual SIT + E2E-UI execution checklist (SIT-01..08, E2E-UI-01/02)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signature-normalization-testdata.csv</w:t>
            </w:r>
          </w:p>
        </w:tc>
        <w:tc>
          <w:tcPr/>
          <w:p>
            <w:pPr>
              <w:pStyle w:val="Compact"/>
            </w:pPr>
            <w:r>
              <w:t xml:space="preserve">PBT-08 signature samples — &gt;120/120-boundary/121 just-over/whitespace-collapse inputs → expected normalized ≤ 120 chars (input uses literal</w:t>
            </w:r>
            <w:r>
              <w:t xml:space="preserve"> </w:t>
            </w:r>
            <w:r>
              <w:rPr>
                <w:rStyle w:val="VerbatimChar"/>
              </w:rPr>
              <w:t xml:space="preserve">\t</w:t>
            </w:r>
            <w:r>
              <w:t xml:space="preserve">/</w:t>
            </w:r>
            <w:r>
              <w:t xml:space="preserve"> </w:t>
            </w:r>
            <w:r>
              <w:t xml:space="preserve">escapes interpreted as tab/newline)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golden-hitrate-testdata.csv</w:t>
            </w:r>
          </w:p>
        </w:tc>
        <w:tc>
          <w:tcPr/>
          <w:p>
            <w:pPr>
              <w:pStyle w:val="Compact"/>
            </w:pPr>
            <w:r>
              <w:t xml:space="preserve">IT-11 M2 metric rows — hit-rate ≥ 80% top-5 over the frozen 12-query set (11 ok + GQ-12 designed miss = 91.7%)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latency-benchmark-testdata.csv</w:t>
            </w:r>
          </w:p>
        </w:tc>
        <w:tc>
          <w:tcPr/>
          <w:p>
            <w:pPr>
              <w:pStyle w:val="Compact"/>
            </w:pPr>
            <w:r>
              <w:t xml:space="preserve">E2E-API-12 M4 benchmark — 12 golden queries × 20 iterations = 240 latencies, p95 ≤ 300 ms; hybrid-scope exclusion row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skeleton-render-testdata.csv</w:t>
            </w:r>
          </w:p>
        </w:tc>
        <w:tc>
          <w:tcPr/>
          <w:p>
            <w:pPr>
              <w:pStyle w:val="Compact"/>
            </w:pPr>
            <w:r>
              <w:t xml:space="preserve">UT-11 batched corpus render format per FSD §3.1.4 — file header line, kind+name lines, no bodies, single fetchSymbolCorpus call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gate-order-escalation-testdata.csv</w:t>
            </w:r>
          </w:p>
        </w:tc>
        <w:tc>
          <w:tcPr/>
          <w:p>
            <w:pPr>
              <w:pStyle w:val="Compact"/>
            </w:pPr>
            <w:r>
              <w:t xml:space="preserve">IT-02 gate-order wiring (measure BEFORE createAgentSession) + IT-07 BR-08 escalation ladder tiers (compress → drop steering → min loadout → REJECT)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40"/>
    <w:bookmarkStart w:id="41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backend</w:t>
            </w:r>
          </w:p>
        </w:tc>
        <w:tc>
          <w:tcPr/>
          <w:p>
            <w:pPr>
              <w:pStyle w:val="Compact"/>
            </w:pPr>
            <w:r>
              <w:t xml:space="preserve">REAL server for E2E-API/IT (in-process Hono for IT)</w:t>
            </w:r>
          </w:p>
        </w:tc>
        <w:tc>
          <w:tcPr/>
          <w:p>
            <w:pPr>
              <w:pStyle w:val="Compact"/>
            </w:pPr>
            <w:r>
              <w:t xml:space="preserve">❌ Never mocked in IT/E2E-API (quality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/ PostgreSQL</w:t>
            </w:r>
          </w:p>
        </w:tc>
        <w:tc>
          <w:tcPr/>
          <w:p>
            <w:pPr>
              <w:pStyle w:val="Compact"/>
            </w:pPr>
            <w:r>
              <w:t xml:space="preserve">REAL engines for dual-engine parity</w:t>
            </w:r>
          </w:p>
        </w:tc>
        <w:tc>
          <w:tcPr/>
          <w:p>
            <w:pPr>
              <w:pStyle w:val="Compact"/>
            </w:pPr>
            <w:r>
              <w:t xml:space="preserve">❌ Never mocked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llama-server (qwen 32k/65k)</w:t>
            </w:r>
          </w:p>
        </w:tc>
        <w:tc>
          <w:tcPr/>
          <w:p>
            <w:pPr>
              <w:pStyle w:val="Compact"/>
            </w:pPr>
            <w:r>
              <w:t xml:space="preserve">Required for SIT only</w:t>
            </w:r>
          </w:p>
        </w:tc>
        <w:tc>
          <w:tcPr/>
          <w:p>
            <w:pPr>
              <w:pStyle w:val="Compact"/>
            </w:pPr>
            <w:r>
              <w:t xml:space="preserve">✅ Scripted fake provider in IT (CI has no local LLM) — acceptable, external paid-equivalent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 host</w:t>
            </w:r>
          </w:p>
        </w:tc>
        <w:tc>
          <w:tcPr/>
          <w:p>
            <w:pPr>
              <w:pStyle w:val="Compact"/>
            </w:pPr>
            <w:r>
              <w:t xml:space="preserve">Required for E2E-UI/SIT</w:t>
            </w:r>
          </w:p>
        </w:tc>
        <w:tc>
          <w:tcPr/>
          <w:p>
            <w:pPr>
              <w:pStyle w:val="Compact"/>
            </w:pPr>
            <w:r>
              <w:t xml:space="preserve">❌ 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  <w:tc>
          <w:tcPr/>
          <w:p>
            <w:pPr>
              <w:pStyle w:val="Compact"/>
            </w:pPr>
            <w:r>
              <w:t xml:space="preserve">STP + STC BA-approved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16 CSVs + fixture workspace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 (T1–T7)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3 d</w:t>
            </w:r>
          </w:p>
        </w:tc>
        <w:tc>
          <w:tcPr/>
          <w:p>
            <w:pPr>
              <w:pStyle w:val="Compact"/>
            </w:pPr>
            <w:r>
              <w:t xml:space="preserve">44 automated cases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 (T8)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  <w:tc>
          <w:tcPr/>
          <w:p>
            <w:pPr>
              <w:pStyle w:val="Compact"/>
            </w:pPr>
            <w:r>
              <w:t xml:space="preserve">12 wiring cases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+ E2E-UI (T9)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  <w:tc>
          <w:tcPr/>
          <w:p>
            <w:pPr>
              <w:pStyle w:val="Compact"/>
            </w:pPr>
            <w:r>
              <w:t xml:space="preserve">14 cases green on both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 (manual)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1.5 d</w:t>
            </w:r>
          </w:p>
        </w:tc>
        <w:tc>
          <w:tcPr/>
          <w:p>
            <w:pPr>
              <w:pStyle w:val="Compact"/>
            </w:pPr>
            <w:r>
              <w:t xml:space="preserve">8 SIT executed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  <w:tc>
          <w:tcPr/>
          <w:p>
            <w:pPr>
              <w:pStyle w:val="Compact"/>
            </w:pPr>
            <w:r>
              <w:t xml:space="preserve">0 Critical/Major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/ Sign-off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TEST-REPORT + metrics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planning, RTM, metrics reporting, BA review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STC authoring, automated suite review (implementation-vs-spec), SIT execution, evidence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Business-coverage review gate (STC vs BRD/FSD), UAT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Test-first implementation (T1–T9), bug fixing, fixture 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Clarifies TDD §4/§6 contracts when tests expose design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Re-verification of SEC-360-01..06 remediations at Phase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CI wiring for vitest + Playwright jobs, PostgreSQL test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Budget arithmetic drift between docs and resolver (DISC-7-type slips)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PBT-01..03 hard-code resolver-true oracles; any doc/resolver mismatch fails CI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Truncation loop latency blow-up on large grammar-less workspaces (SEC-360-02)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PBT-10 + UT-01..05 enforce global incremental bound; SIT workspace includes ≥ 100 RAW_HEAD files; wall-clock assert in 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Secrets leaking into skeleton/system context (SEC-360-01)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PBT-09 + UT-30..34 redaction suite; secret-file exclusion rows; Phase 5.7 re-verification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Backend containment twin weaker than extension path-containment (SEC-360-04)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E2E-API-07 runs all 4 vectors against the REAL server; UT-24 asserts rejection before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Governance regression from wiring (gate skipped/weakened)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IT-01/02/03/05/07 gate-interaction suite + full baseline suite green gate after every TDD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environment: llama-server unavailable/flaky for SIT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SIT scheduled in dedicated window; IT uses scripted fake provider so automation never blocks on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Dual-engine behavior divergence (SQLite FTS5 vs PostgreSQL ILIKE)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E2E-API-04 runs the same fixture set on both engines and diffs row-for-row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Golden query set bias (M2/M4)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Golden set drawn from real indexed symbols across ≥ 5 modules; scope limited to indexed symbols (OI-4), documented in STC Appendix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2"/>
      </w:pPr>
      <w:r>
        <w:t xml:space="preserve">8. Defect Management</w:t>
      </w:r>
    </w:p>
    <w:bookmarkStart w:id="46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42"/>
        <w:gridCol w:w="45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(SA4E-360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breach or governance broken</w:t>
            </w:r>
          </w:p>
        </w:tc>
        <w:tc>
          <w:tcPr/>
          <w:p>
            <w:pPr>
              <w:pStyle w:val="Compact"/>
            </w:pPr>
            <w:r>
              <w:t xml:space="preserve">Secret appears unredacted in skeleton (SEC-360-01); provider called oversized (BR-09 violated); gate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  <w:tc>
          <w:tcPr/>
          <w:p>
            <w:pPr>
              <w:pStyle w:val="Compact"/>
            </w:pPr>
            <w:r>
              <w:t xml:space="preserve">read_method returns wrong slice; map never served; REJECT not raised on persisting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Degraded behavior with workaround</w:t>
            </w:r>
          </w:p>
        </w:tc>
        <w:tc>
          <w:tcPr/>
          <w:p>
            <w:pPr>
              <w:pStyle w:val="Compact"/>
            </w:pPr>
            <w:r>
              <w:t xml:space="preserve">Fallback share not logged separately; telemetry payload field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Cosmetic/logging</w:t>
            </w:r>
          </w:p>
        </w:tc>
        <w:tc>
          <w:tcPr/>
          <w:p>
            <w:pPr>
              <w:pStyle w:val="Compact"/>
            </w:pPr>
            <w:r>
              <w:t xml:space="preserve">Typo in event payload, log level mismatch</w:t>
            </w:r>
          </w:p>
        </w:tc>
      </w:tr>
    </w:tbl>
    <w:bookmarkEnd w:id="46"/>
    <w:bookmarkStart w:id="47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7"/>
    <w:bookmarkStart w:id="48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→ Reopened → In Progress</w:t>
      </w:r>
    </w:p>
    <w:p>
      <w:pPr>
        <w:pStyle w:val="FirstParagraph"/>
      </w:pPr>
      <w:r>
        <w:rPr>
          <w:b/>
          <w:bCs/>
        </w:rPr>
        <w:t xml:space="preserve">Quality-gate defects (test-implementation review):</w:t>
      </w:r>
      <w:r>
        <w:t xml:space="preserve"> </w:t>
      </w:r>
      <w:r>
        <w:t xml:space="preserve">an IT/E2E test that mocks local infrastructure (SQLite/Postgres/HTTP server) instead of using real instances, or that bypasses the real createHost chain, is itself a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defect — sent back to DEV with the STC spec reference.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est-metrics-reporting"/>
    <w:p>
      <w:pPr>
        <w:pStyle w:val="2"/>
      </w:pPr>
      <w:r>
        <w:t xml:space="preserve">9. Test Metrics &amp; Reporting</w:t>
      </w:r>
    </w:p>
    <w:bookmarkStart w:id="50" w:name="test-execution-metrics"/>
    <w:p>
      <w:pPr>
        <w:pStyle w:val="3"/>
      </w:pPr>
      <w:r>
        <w:t xml:space="preserve">9.1 Test Execution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78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(automated)</w:t>
            </w:r>
          </w:p>
        </w:tc>
        <w:tc>
          <w:tcPr/>
          <w:p>
            <w:pPr>
              <w:pStyle w:val="Compact"/>
            </w:pPr>
            <w:r>
              <w:t xml:space="preserve">Passed / 70 × 100%</w:t>
            </w:r>
          </w:p>
        </w:tc>
        <w:tc>
          <w:tcPr/>
          <w:p>
            <w:pPr>
              <w:pStyle w:val="Compact"/>
            </w:pPr>
            <w:r>
              <w:t xml:space="preserve">100% at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Ratio</w:t>
            </w:r>
          </w:p>
        </w:tc>
        <w:tc>
          <w:tcPr/>
          <w:p>
            <w:pPr>
              <w:pStyle w:val="Compact"/>
            </w:pPr>
            <w:r>
              <w:t xml:space="preserve">Automated / Total × 100%</w:t>
            </w:r>
          </w:p>
        </w:tc>
        <w:tc>
          <w:tcPr/>
          <w:p>
            <w:pPr>
              <w:pStyle w:val="Compact"/>
            </w:pPr>
            <w:r>
              <w:t xml:space="preserve">≥ 89% (achieved: 89.7%)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 (RTM)</w:t>
            </w:r>
          </w:p>
        </w:tc>
        <w:tc>
          <w:tcPr/>
          <w:p>
            <w:pPr>
              <w:pStyle w:val="Compact"/>
            </w:pPr>
            <w:r>
              <w:t xml:space="preserve">Covered requirements / 48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78 test cases</w:t>
            </w:r>
          </w:p>
        </w:tc>
        <w:tc>
          <w:tcPr/>
          <w:p>
            <w:pPr>
              <w:pStyle w:val="Compact"/>
            </w:pPr>
            <w:r>
              <w:t xml:space="preserve">≤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50"/>
    <w:bookmarkStart w:id="51" w:name="brd-metric-measurement-procedures-m1m6"/>
    <w:p>
      <w:pPr>
        <w:pStyle w:val="3"/>
      </w:pPr>
      <w:r>
        <w:t xml:space="preserve">9.2 BRD Metric Measurement Procedures (M1–M6)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408"/>
        <w:gridCol w:w="3168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Skeleton coverage</w:t>
            </w:r>
          </w:p>
        </w:tc>
        <w:tc>
          <w:tcPr/>
          <w:p>
            <w:pPr>
              <w:pStyle w:val="Compact"/>
            </w:pPr>
            <w:r>
              <w:t xml:space="preserve">≥ 95% exported symbols</w:t>
            </w:r>
          </w:p>
        </w:tc>
        <w:tc>
          <w:tcPr/>
          <w:p>
            <w:pPr>
              <w:pStyle w:val="Compact"/>
            </w:pPr>
            <w:r>
              <w:t xml:space="preserve">IT-12</w:t>
            </w:r>
          </w:p>
        </w:tc>
        <w:tc>
          <w:tcPr/>
          <w:p>
            <w:pPr>
              <w:pStyle w:val="Compact"/>
            </w:pPr>
            <w:r>
              <w:t xml:space="preserve">Diff skeleton-rendered symbol names vs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 for the fixture workspace; fallback share reported separately from PI_SKELETON_FALLBACK count (OI-4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read_method hit-rate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IT-11</w:t>
            </w:r>
          </w:p>
        </w:tc>
        <w:tc>
          <w:tcPr/>
          <w:p>
            <w:pPr>
              <w:pStyle w:val="Compact"/>
            </w:pPr>
            <w:r>
              <w:t xml:space="preserve">Run golden-query-set.csv (12 queries) through ReadMethodTool with real locator; hit = status ok; ratio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Findings parity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SIT-06</w:t>
            </w:r>
          </w:p>
        </w:tc>
        <w:tc>
          <w:tcPr/>
          <w:p>
            <w:pPr>
              <w:pStyle w:val="Compact"/>
            </w:pPr>
            <w:r>
              <w:t xml:space="preserve">Same 10-file subset reviewed twice (skeleton+targeted reads vs full-context baseline); findings matched by file+issue; ratio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Retrieval p95 latency</w:t>
            </w:r>
          </w:p>
        </w:tc>
        <w:tc>
          <w:tcPr/>
          <w:p>
            <w:pPr>
              <w:pStyle w:val="Compact"/>
            </w:pPr>
            <w:r>
              <w:t xml:space="preserve">FTS5 ≤ 300 ms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12 golden locate queries × 20 iterations on real server; p95 from PI_READ_METHOD_RESULT.durationMs / measured fetch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Zero context overflow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</w:t>
            </w:r>
          </w:p>
        </w:tc>
        <w:tc>
          <w:tcPr/>
          <w:p>
            <w:pPr>
              <w:pStyle w:val="Compact"/>
            </w:pPr>
            <w:r>
              <w:t xml:space="preserve">SIT-04 (+IT-03/05)</w:t>
            </w:r>
          </w:p>
        </w:tc>
        <w:tc>
          <w:tcPr/>
          <w:p>
            <w:pPr>
              <w:pStyle w:val="Compact"/>
            </w:pPr>
            <w:r>
              <w:t xml:space="preserve">Turn-1 + 10-turn review on qwen 32k; grep run log for exceed_context_size_error — count must be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Skeleton token share</w:t>
            </w:r>
          </w:p>
        </w:tc>
        <w:tc>
          <w:tcPr/>
          <w:p>
            <w:pPr>
              <w:pStyle w:val="Compact"/>
            </w:pPr>
            <w:r>
              <w:t xml:space="preserve">≤ 70% staticBudget</w:t>
            </w:r>
          </w:p>
        </w:tc>
        <w:tc>
          <w:tcPr/>
          <w:p>
            <w:pPr>
              <w:pStyle w:val="Compact"/>
            </w:pPr>
            <w:r>
              <w:t xml:space="preserve">PBT-07, IT-02, SIT-01</w:t>
            </w:r>
          </w:p>
        </w:tc>
        <w:tc>
          <w:tcPr/>
          <w:p>
            <w:pPr>
              <w:pStyle w:val="Compact"/>
            </w:pPr>
            <w:r>
              <w:t xml:space="preserve">PI_GATE_DECISION enriched payload skeletonTokens/staticBudget per session; usagePercent ≤ 0.70</w:t>
            </w:r>
          </w:p>
        </w:tc>
      </w:tr>
    </w:tbl>
    <w:bookmarkEnd w:id="51"/>
    <w:bookmarkStart w:id="52" w:name="reporting-schedule"/>
    <w:p>
      <w:pPr>
        <w:pStyle w:val="3"/>
      </w:pPr>
      <w:r>
        <w:t xml:space="preserve">9.3 Reporting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suite status</w:t>
            </w:r>
          </w:p>
        </w:tc>
        <w:tc>
          <w:tcPr/>
          <w:p>
            <w:pPr>
              <w:pStyle w:val="Compact"/>
            </w:pPr>
            <w:r>
              <w:t xml:space="preserve">Per CI run / per TDD task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 report</w:t>
            </w:r>
          </w:p>
        </w:tc>
        <w:tc>
          <w:tcPr/>
          <w:p>
            <w:pPr>
              <w:pStyle w:val="Compact"/>
            </w:pPr>
            <w:r>
              <w:t xml:space="preserve">End of SIT window</w:t>
            </w:r>
          </w:p>
        </w:tc>
        <w:tc>
          <w:tcPr/>
          <w:p>
            <w:pPr>
              <w:pStyle w:val="Compact"/>
            </w:pPr>
            <w:r>
              <w:t xml:space="preserve">SM +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 (TEST-REPORT-TEMPLATE)</w:t>
            </w:r>
          </w:p>
        </w:tc>
        <w:tc>
          <w:tcPr/>
          <w:p>
            <w:pPr>
              <w:pStyle w:val="Compact"/>
            </w:pPr>
            <w:r>
              <w:t xml:space="preserve">Phase 6 exit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appendix"/>
    <w:p>
      <w:pPr>
        <w:pStyle w:val="2"/>
      </w:pPr>
      <w:r>
        <w:t xml:space="preserve">10. Appendix</w:t>
      </w:r>
    </w:p>
    <w:bookmarkStart w:id="54" w:name="glossary"/>
    <w:p>
      <w:pPr>
        <w:pStyle w:val="3"/>
      </w:pPr>
      <w:r>
        <w:t xml:space="preserve">10.1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 — invariant assertions over random inputs (fast-check)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 — real createHost/gates/in-process Hono backend; only the LLM provider is scripted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Automated test against the REAL loopback backend server (JSON-RPC POST /mcp)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Playwright browser assertions on the extension webview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— manual, human-verified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70% share of usable tokens — 19,668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/ 40,771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(resolver-authoritative)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cap</w:t>
            </w:r>
          </w:p>
        </w:tc>
        <w:tc>
          <w:tcPr/>
          <w:p>
            <w:pPr>
              <w:pStyle w:val="Compact"/>
            </w:pPr>
            <w:r>
              <w:t xml:space="preserve">floor(0.70 × staticBudget) — 13,767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/ 28,539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(BR-360-01)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query set</w:t>
            </w:r>
          </w:p>
        </w:tc>
        <w:tc>
          <w:tcPr/>
          <w:p>
            <w:pPr>
              <w:pStyle w:val="Compact"/>
            </w:pPr>
            <w:r>
              <w:t xml:space="preserve">12 read_method queries over real indexed symbols used for M2/M4 (Appendix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Resolver-true values</w:t>
            </w:r>
          </w:p>
        </w:tc>
        <w:tc>
          <w:tcPr/>
          <w:p>
            <w:pPr>
              <w:pStyle w:val="Compact"/>
            </w:pPr>
            <w:r>
              <w:t xml:space="preserve">Budget numbers produced by the shipped resolveContextBudget (DISC-7) — the only accepted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ladder</w:t>
            </w:r>
          </w:p>
        </w:tc>
        <w:tc>
          <w:tcPr/>
          <w:p>
            <w:pPr>
              <w:pStyle w:val="Compact"/>
            </w:pPr>
            <w:r>
              <w:t xml:space="preserve">GRAMMAR → REGEX_SIGNATURES → RAW_HEAD → SKIPPED (UC-360-04)</w:t>
            </w:r>
          </w:p>
        </w:tc>
      </w:tr>
    </w:tbl>
    <w:bookmarkEnd w:id="54"/>
    <w:bookmarkStart w:id="55" w:name="assumptions"/>
    <w:p>
      <w:pPr>
        <w:pStyle w:val="3"/>
      </w:pPr>
      <w:r>
        <w:t xml:space="preserve">10.2 Assumptions</w:t>
      </w:r>
    </w:p>
    <w:p>
      <w:pPr>
        <w:pStyle w:val="Compact"/>
        <w:numPr>
          <w:ilvl w:val="0"/>
          <w:numId w:val="1005"/>
        </w:numPr>
      </w:pPr>
      <w:r>
        <w:t xml:space="preserve">estimateTokenCount (chars/4 ∨ words×1.3, max) precision is acceptable, backed by the 8% safety margin (BR-02) — consistent with SA4E-355 A-6.</w:t>
      </w:r>
    </w:p>
    <w:p>
      <w:pPr>
        <w:pStyle w:val="Compact"/>
        <w:numPr>
          <w:ilvl w:val="0"/>
          <w:numId w:val="1005"/>
        </w:numPr>
      </w:pPr>
      <w:r>
        <w:t xml:space="preserve">qwen 32k is the primary SIT target; 65k is secondary (AF-3).</w:t>
      </w:r>
    </w:p>
    <w:p>
      <w:pPr>
        <w:pStyle w:val="Compact"/>
        <w:numPr>
          <w:ilvl w:val="0"/>
          <w:numId w:val="1005"/>
        </w:numPr>
      </w:pPr>
      <w:r>
        <w:t xml:space="preserve">CI provides a PostgreSQL service for the dual-engine E2E job; if not, E2E-API-04 runs in the nightly job with a containerized Postgres.</w:t>
      </w:r>
    </w:p>
    <w:p>
      <w:pPr>
        <w:pStyle w:val="Compact"/>
        <w:numPr>
          <w:ilvl w:val="0"/>
          <w:numId w:val="1005"/>
        </w:numPr>
      </w:pPr>
      <w:r>
        <w:t xml:space="preserve">The golden query set (Appendix C / golden-query-set.csv) is frozen at test-planning time; changes require SM approval.</w:t>
      </w:r>
    </w:p>
    <w:bookmarkEnd w:id="55"/>
    <w:bookmarkStart w:id="56" w:name="deliverables"/>
    <w:p>
      <w:pPr>
        <w:pStyle w:val="3"/>
      </w:pPr>
      <w:r>
        <w:t xml:space="preserve">10.3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96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STP (this document)</w:t>
            </w:r>
          </w:p>
        </w:tc>
        <w:tc>
          <w:tcPr/>
          <w:p>
            <w:pPr>
              <w:pStyle w:val="Compact"/>
            </w:pPr>
            <w:r>
              <w:t xml:space="preserve">documents/SA4E-360/STP.md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STC (78 test cases + RTM)</w:t>
            </w:r>
          </w:p>
        </w:tc>
        <w:tc>
          <w:tcPr/>
          <w:p>
            <w:pPr>
              <w:pStyle w:val="Compact"/>
            </w:pPr>
            <w:r>
              <w:t xml:space="preserve">documents/SA4E-360/STC.md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data (16 CSVs)</w:t>
            </w:r>
          </w:p>
        </w:tc>
        <w:tc>
          <w:tcPr/>
          <w:p>
            <w:pPr>
              <w:pStyle w:val="Compact"/>
            </w:pPr>
            <w:r>
              <w:t xml:space="preserve">documents/SA4E-360/testdata/*.csv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Coverage + execution flow diagrams</w:t>
            </w:r>
          </w:p>
        </w:tc>
        <w:tc>
          <w:tcPr/>
          <w:p>
            <w:pPr>
              <w:pStyle w:val="Compact"/>
            </w:pPr>
            <w:r>
              <w:t xml:space="preserve">documents/SA4E-360/diagrams/test-coverage.{drawio,png}, test-execution-flow.{drawio,png}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 execution report</w:t>
            </w:r>
          </w:p>
        </w:tc>
        <w:tc>
          <w:tcPr/>
          <w:p>
            <w:pPr>
              <w:pStyle w:val="Compact"/>
            </w:pPr>
            <w:r>
              <w:t xml:space="preserve">documents/SA4E-360/TEST-REPORT-SA4E-360.md (+ CSV tracker) — 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documents/SA4E-360/evidence/ (screenshots, log excerpts)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STP — SA4E-360 v1.0. Traceability: every section maps to BRD v1.1 / FSD v1.2 / TDD v1.1 / SECURITY-REVIEW v1.0. Pending: BA review gate (STC business-coverage review) → then DOCX/XLSX export + Jira attachment by SM.</w:t>
      </w:r>
    </w:p>
    <w:bookmarkEnd w:id="56"/>
    <w:bookmarkEnd w:id="57"/>
    <w:bookmarkEnd w:id="5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hyperlink" Id="rId35" Target="C:\projects\kiro\SDLC-Agents-4-Enterprise/documents/SA4E-360/diagrams/test-coverage.drawio" TargetMode="External" /><Relationship Type="http://schemas.openxmlformats.org/officeDocument/2006/relationships/hyperlink" Id="rId27" Target="C:\projects\kiro\SDLC-Agents-4-Enterprise/documents/SA4E-360/diagrams/test-execution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C:\projects\kiro\SDLC-Agents-4-Enterprise/documents/SA4E-360/diagrams/test-coverage.drawio" TargetMode="External" /><Relationship Type="http://schemas.openxmlformats.org/officeDocument/2006/relationships/hyperlink" Id="rId27" Target="C:\projects\kiro\SDLC-Agents-4-Enterprise/documents/SA4E-360/diagrams/test-execution-flow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2026-10-13T22:10:08Z</dcterms:created>
  <dcterms:modified xsi:type="dcterms:W3CDTF">2026-10-13T22:10:08Z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