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execution-report-sa4e-362"/>
    <w:p>
      <w:pPr>
        <w:pStyle w:val="1"/>
      </w:pPr>
      <w:r>
        <w:t xml:space="preserve">Test Execution Report — SA4E-362</w:t>
      </w:r>
    </w:p>
    <w:bookmarkStart w:id="9" w:name="X792ecc14cd275c1a38735dc58d0b93dee6bd263"/>
    <w:p>
      <w:pPr>
        <w:pStyle w:val="2"/>
      </w:pPr>
      <w:r>
        <w:t xml:space="preserve">Ingest Auth Hardening — Token Refresh, Auth-Dead Pipeline Stop, Static-Token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Ingest Auth Hardening (refresh-once-on-401, typed IngestAuthError, BFS auth-dead stop, GAP4 wiring, UT-13 header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QA Agent (independent verification — dev numbers re-run, not trusted)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Windows, Node v24.8.0, vitest 4.1.8, tsc — extension/ (VS Code extension), branch working tree SA4E-365 (mixed WIP: SA4E-362 + SA4E-364 + SA4E-365)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PASS — Automated scope 16/16 green; 1 external failure attributed to SA4E-364 WIP; SIT-01/02 pending UAT human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1 (no defects — no re-tests needed)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Independent re-execution confirms the dev self-report: compile clean, full suite 2963/2964, and all 51 SA4E-362 targeted tests green across 6 files. All 16 automated TCs in STC v1.1 have implementing tests that PASS. The sole suite failure (pi-session-routing.test.ts) is demonstrated to be outside the SA4E-362 change-set. No new defects.</w:t>
      </w:r>
    </w:p>
    <w:bookmarkEnd w:id="10"/>
    <w:bookmarkStart w:id="14" w:name="execution-summary"/>
    <w:p>
      <w:pPr>
        <w:pStyle w:val="2"/>
      </w:pPr>
      <w:r>
        <w:t xml:space="preserve">2. Execution Summary</w:t>
      </w:r>
    </w:p>
    <w:bookmarkStart w:id="11" w:name="compile"/>
    <w:p>
      <w:pPr>
        <w:pStyle w:val="3"/>
      </w:pPr>
      <w:r>
        <w:t xml:space="preserve">2.1 Compile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compile</w:t>
            </w:r>
          </w:p>
        </w:tc>
        <w:tc>
          <w:tcPr/>
          <w:p>
            <w:pPr>
              <w:pStyle w:val="Compact"/>
            </w:pPr>
            <w:r>
              <w:t xml:space="preserve">npm run compile (extension/)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0, 0 errors</w:t>
            </w:r>
            <w:r>
              <w:t xml:space="preserve"> </w:t>
            </w:r>
            <w:r>
              <w:t xml:space="preserve">(evidence/compile.log)</w:t>
            </w:r>
          </w:p>
        </w:tc>
      </w:tr>
    </w:tbl>
    <w:bookmarkEnd w:id="11"/>
    <w:bookmarkStart w:id="12" w:name="full-suite-npx-vitest-run"/>
    <w:p>
      <w:pPr>
        <w:pStyle w:val="3"/>
      </w:pPr>
      <w:r>
        <w:t xml:space="preserve">2.2 Full Suite (npx vitest run)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304 passed / 305 (1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2963 passed / 2964</w:t>
            </w:r>
            <w:r>
              <w:t xml:space="preserve"> </w:t>
            </w:r>
            <w:r>
              <w:t xml:space="preserve">(99.97%)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164.72s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file</w:t>
            </w:r>
          </w:p>
        </w:tc>
        <w:tc>
          <w:tcPr/>
          <w:p>
            <w:pPr>
              <w:pStyle w:val="Compact"/>
            </w:pPr>
            <w:r>
              <w:t xml:space="preserve">src/pi-workflow/</w:t>
            </w:r>
            <w:r>
              <w:rPr>
                <w:b/>
                <w:bCs/>
              </w:rPr>
              <w:t xml:space="preserve">tests</w:t>
            </w:r>
            <w:r>
              <w:t xml:space="preserve">/pi-session-routing.test.ts (1 of 3 tests) — see §4</w:t>
            </w:r>
          </w:p>
        </w:tc>
      </w:tr>
    </w:tbl>
    <w:bookmarkEnd w:id="12"/>
    <w:bookmarkStart w:id="13" w:name="sa4e-362-targeted-run-6-files-5151-pass"/>
    <w:p>
      <w:pPr>
        <w:pStyle w:val="3"/>
      </w:pPr>
      <w:r>
        <w:t xml:space="preserve">2.3 SA4E-362 Targeted Run (6 files, 51/51 PASS)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13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  <w:tc>
          <w:tcPr/>
          <w:p>
            <w:pPr>
              <w:pStyle w:val="Compact"/>
            </w:pPr>
            <w:r>
              <w:t xml:space="preserve">13 (UT-01..07, UT-14, SEC-02, PBT-01)</w:t>
            </w:r>
          </w:p>
        </w:tc>
        <w:tc>
          <w:tcPr/>
          <w:p>
            <w:pPr>
              <w:pStyle w:val="Compact"/>
            </w:pPr>
            <w:r>
              <w:t xml:space="preserve">✅ 13/13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/PegaBfsPipeline.auth-dead.test.ts</w:t>
            </w:r>
          </w:p>
        </w:tc>
        <w:tc>
          <w:tcPr/>
          <w:p>
            <w:pPr>
              <w:pStyle w:val="Compact"/>
            </w:pPr>
            <w:r>
              <w:t xml:space="preserve">2 (UT-08, UT-09)</w:t>
            </w:r>
          </w:p>
        </w:tc>
        <w:tc>
          <w:tcPr/>
          <w:p>
            <w:pPr>
              <w:pStyle w:val="Compact"/>
            </w:pPr>
            <w:r>
              <w:t xml:space="preserve">✅ 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src/code-intel/delta/</w:t>
            </w:r>
            <w:r>
              <w:rPr>
                <w:b/>
                <w:bCs/>
              </w:rPr>
              <w:t xml:space="preserve">tests</w:t>
            </w:r>
            <w:r>
              <w:t xml:space="preserve">/BackendHttpPoster.test.ts</w:t>
            </w:r>
          </w:p>
        </w:tc>
        <w:tc>
          <w:tcPr/>
          <w:p>
            <w:pPr>
              <w:pStyle w:val="Compact"/>
            </w:pPr>
            <w:r>
              <w:t xml:space="preserve">6 (3 legacy + UT-10a/b/c)</w:t>
            </w:r>
          </w:p>
        </w:tc>
        <w:tc>
          <w:tcPr/>
          <w:p>
            <w:pPr>
              <w:pStyle w:val="Compact"/>
            </w:pPr>
            <w:r>
              <w:t xml:space="preserve">✅ 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src/auth/</w:t>
            </w:r>
            <w:r>
              <w:rPr>
                <w:b/>
                <w:bCs/>
              </w:rPr>
              <w:t xml:space="preserve">tests</w:t>
            </w:r>
            <w:r>
              <w:t xml:space="preserve">/auth-manager.test.ts</w:t>
            </w:r>
          </w:p>
        </w:tc>
        <w:tc>
          <w:tcPr/>
          <w:p>
            <w:pPr>
              <w:pStyle w:val="Compact"/>
            </w:pPr>
            <w:r>
              <w:t xml:space="preserve">26 (25 legacy + UT-12)</w:t>
            </w:r>
          </w:p>
        </w:tc>
        <w:tc>
          <w:tcPr/>
          <w:p>
            <w:pPr>
              <w:pStyle w:val="Compact"/>
            </w:pPr>
            <w:r>
              <w:t xml:space="preserve">✅ 26/26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/IndexingService.ingest-auth.test.ts</w:t>
            </w:r>
          </w:p>
        </w:tc>
        <w:tc>
          <w:tcPr/>
          <w:p>
            <w:pPr>
              <w:pStyle w:val="Compact"/>
            </w:pPr>
            <w:r>
              <w:t xml:space="preserve">3 (UT-11 ×3)</w:t>
            </w:r>
          </w:p>
        </w:tc>
        <w:tc>
          <w:tcPr/>
          <w:p>
            <w:pPr>
              <w:pStyle w:val="Compact"/>
            </w:pPr>
            <w:r>
              <w:t xml:space="preserve">✅ 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/PegaSchemaIndexer.auth.test.ts</w:t>
            </w:r>
          </w:p>
        </w:tc>
        <w:tc>
          <w:tcPr/>
          <w:p>
            <w:pPr>
              <w:pStyle w:val="Compact"/>
            </w:pPr>
            <w:r>
              <w:t xml:space="preserve">1 (UT-13)</w:t>
            </w:r>
          </w:p>
        </w:tc>
        <w:tc>
          <w:tcPr/>
          <w:p>
            <w:pPr>
              <w:pStyle w:val="Compact"/>
            </w:pPr>
            <w:r>
              <w:t xml:space="preserve">✅ 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51/51</w:t>
            </w:r>
          </w:p>
        </w:tc>
      </w:tr>
    </w:tbl>
    <w:bookmarkEnd w:id="13"/>
    <w:bookmarkEnd w:id="14"/>
    <w:bookmarkStart w:id="15" w:name="Xa75e84f8352611aab963ef83caf379233e3aca4"/>
    <w:p>
      <w:pPr>
        <w:pStyle w:val="2"/>
      </w:pPr>
      <w:r>
        <w:t xml:space="preserve">3. TC Status Rollup (STC v1.1 — 16 automated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BLOCKED/MISSING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(UT-01..UT-14)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(PBT-01)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 (REG-13)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automated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(100%)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Every automated TC has a located implementing test (test names embed the TC ID, e.g. </w:t>
      </w:r>
      <w:r>
        <w:t xml:space="preserve">“UT-12 — concurrent refresh dedupe”</w:t>
      </w:r>
      <w:r>
        <w:t xml:space="preserve">). Full per-TC evidence in test-data/TEST-REPORT-SA4E-362.csv (Status=PASS ×16, Evidence=test file path, Executed 2026-10-16).</w:t>
      </w:r>
    </w:p>
    <w:p>
      <w:pPr>
        <w:pStyle w:val="BodyText"/>
      </w:pPr>
      <w:r>
        <w:t xml:space="preserve">Remaining manual scope: E2E-API-01..04 (Covered-by-SIT) and SIT-01/SIT-02 —</w:t>
      </w:r>
      <w:r>
        <w:t xml:space="preserve"> </w:t>
      </w:r>
      <w:r>
        <w:rPr>
          <w:b/>
          <w:bCs/>
        </w:rPr>
        <w:t xml:space="preserve">pending UAT human gate</w:t>
      </w:r>
      <w:r>
        <w:t xml:space="preserve"> </w:t>
      </w:r>
      <w:r>
        <w:t xml:space="preserve">(require TTL=60s temp build + mid-job refresh-token revoke; not automatable in CI per STP §2.2).</w:t>
      </w:r>
    </w:p>
    <w:bookmarkEnd w:id="15"/>
    <w:bookmarkStart w:id="16" w:name="Xb3e55d035c814dd6d097d9c3e967b86e2a86b9c"/>
    <w:p>
      <w:pPr>
        <w:pStyle w:val="2"/>
      </w:pPr>
      <w:r>
        <w:t xml:space="preserve">4. External Failure Attribution (pi-session-routing.test.ts)</w:t>
      </w:r>
    </w:p>
    <w:p>
      <w:pPr>
        <w:pStyle w:val="FirstParagraph"/>
      </w:pPr>
      <w:r>
        <w:rPr>
          <w:b/>
          <w:bCs/>
        </w:rPr>
        <w:t xml:space="preserve">Evidence (git diff –stat, working tree):</w:t>
      </w:r>
      <w:r>
        <w:t xml:space="preserve"> </w:t>
      </w:r>
      <w:r>
        <w:t xml:space="preserve">5 files, +26/−4 — src/pi-workflow/pi-agent-session-host.ts, pi-event-mapper.ts, pi-provider-types.ts, pi-workflow-adapter.ts, types/executor.types.ts. These are</w:t>
      </w:r>
      <w:r>
        <w:t xml:space="preserve"> </w:t>
      </w:r>
      <w:r>
        <w:rPr>
          <w:b/>
          <w:bCs/>
        </w:rPr>
        <w:t xml:space="preserve">SA4E-364 session-routing WIP files, untouched by SA4E-362</w:t>
      </w:r>
      <w:r>
        <w:t xml:space="preserve">. Failing test:</w:t>
      </w:r>
      <w:r>
        <w:t xml:space="preserve"> </w:t>
      </w:r>
      <w:r>
        <w:t xml:space="preserve">“PiWorkflowAdapter session routing (local vs cloud) &gt; cloud provider with key routes to the session path”</w:t>
      </w:r>
      <w:r>
        <w:t xml:space="preserve"> </w:t>
      </w:r>
      <w:r>
        <w:t xml:space="preserve">(src/pi-workflow/</w:t>
      </w:r>
      <w:r>
        <w:rPr>
          <w:b/>
          <w:bCs/>
        </w:rPr>
        <w:t xml:space="preserve">tests</w:t>
      </w:r>
      <w:r>
        <w:t xml:space="preserve">/pi-session-routing.test.ts).</w:t>
      </w:r>
      <w:r>
        <w:t xml:space="preserve"> </w:t>
      </w:r>
      <w:r>
        <w:rPr>
          <w:b/>
          <w:bCs/>
        </w:rPr>
        <w:t xml:space="preserve">Verdict: failure attributed to SA4E-364 WIP (external), NOT the SA4E-362 change-set.</w:t>
      </w:r>
      <w:r>
        <w:t xml:space="preserve"> </w:t>
      </w:r>
      <w:r>
        <w:t xml:space="preserve">SA4E-362 production files (PegaStreamIngester, PegaBfsPipeline, PegaHttpClient, IndexingService, PegaSchemaIndexer, BackendHttpPoster, backend-auth-headers, PegaBackendClient, auth-manager) are all green in-suite.</w:t>
      </w:r>
    </w:p>
    <w:bookmarkEnd w:id="16"/>
    <w:bookmarkStart w:id="17" w:name="defects"/>
    <w:p>
      <w:pPr>
        <w:pStyle w:val="2"/>
      </w:pPr>
      <w:r>
        <w:t xml:space="preserve">5. Defects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new defects found in SA4E-362 scope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quality-gate"/>
    <w:p>
      <w:pPr>
        <w:pStyle w:val="2"/>
      </w:pPr>
      <w:r>
        <w:t xml:space="preserve">6. Quality Gate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 0 errors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Targeted SA4E-362 tests 51/51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RTM execution 16/16 PASS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REG-13 SM-6 audit (0 static-token path on /api/v1/pega/*)</w:t>
            </w:r>
          </w:p>
        </w:tc>
        <w:tc>
          <w:tcPr/>
          <w:p>
            <w:pPr>
              <w:pStyle w:val="Compact"/>
            </w:pPr>
            <w:r>
              <w:t xml:space="preserve">✅ — all call sites provider/withAuthRetry-wrapped (PegaCatalogIndexer→IndexerHttpClient; CodeIntelDiscovery/SchemaIndexer/StreamIngester/PegaBackendClient→withAuthRetry; BulkCheckClient/panel receive caller-built provider headers)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(legacy 3 BackendHttpPoster tests, 26 legacy auth-manager tests)</w:t>
            </w:r>
          </w:p>
        </w:tc>
        <w:tc>
          <w:tcPr/>
          <w:p>
            <w:pPr>
              <w:pStyle w:val="Compact"/>
            </w:pPr>
            <w:r>
              <w:t xml:space="preserve">✅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Zero-tolerance gate (no TC without implementing test)</w:t>
            </w:r>
          </w:p>
        </w:tc>
        <w:tc>
          <w:tcPr/>
          <w:p>
            <w:pPr>
              <w:pStyle w:val="Compact"/>
            </w:pPr>
            <w:r>
              <w:t xml:space="preserve">✅ 16/16 located</w:t>
            </w:r>
          </w:p>
        </w:tc>
      </w:tr>
    </w:tbl>
    <w:bookmarkEnd w:id="18"/>
    <w:bookmarkStart w:id="19" w:name="uat-readiness-statement"/>
    <w:p>
      <w:pPr>
        <w:pStyle w:val="2"/>
      </w:pPr>
      <w:r>
        <w:t xml:space="preserve">7. UAT Readiness Statement</w:t>
      </w:r>
    </w:p>
    <w:p>
      <w:pPr>
        <w:pStyle w:val="FirstParagraph"/>
      </w:pPr>
      <w:r>
        <w:t xml:space="preserve">Automated scope is complete and green — code is ready for UAT. SIT-01 (TTL=60s → exactly 1 refresh mid-job, 0 spam) and SIT-02 (revoke refresh token mid-job → graceful stop, incremental rerun) require a human tester with a temporary ACCESS_TTL_SEC=60 build and a revocable Pega refresh token; they remain the UAT entry gate. E2E-API-01..04 auth contracts execute within SIT-01 per STP §2.2 justification.</w:t>
      </w:r>
    </w:p>
    <w:bookmarkEnd w:id="19"/>
    <w:bookmarkStart w:id="20" w:name="appendix-a-re-test-history"/>
    <w:p>
      <w:pPr>
        <w:pStyle w:val="2"/>
      </w:pPr>
      <w:r>
        <w:t xml:space="preserve">Appendix A — Re-test History</w:t>
      </w:r>
    </w:p>
    <w:p>
      <w:pPr>
        <w:pStyle w:val="FirstParagraph"/>
      </w:pPr>
      <w:r>
        <w:t xml:space="preserve">No re-tests needed — first independent execution round, zero defects.</w:t>
      </w:r>
    </w:p>
    <w:bookmarkEnd w:id="20"/>
    <w:bookmarkEnd w:id="2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2026-10-15T21:27:40Z</dcterms:created>
  <dcterms:modified xsi:type="dcterms:W3CDTF">2026-10-15T21:27:40Z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