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business-requirements-document"/>
    <w:p>
      <w:pPr>
        <w:pStyle w:val="1"/>
      </w:pPr>
      <w:r>
        <w:t xml:space="preserve">Business Requirements Document</w:t>
      </w:r>
    </w:p>
    <w:bookmarkStart w:id="9" w:name="X90d8e01dc604be2ceb067e554382eaf4561b32e"/>
    <w:p>
      <w:pPr>
        <w:pStyle w:val="2"/>
      </w:pPr>
      <w:r>
        <w:t xml:space="preserve">SA4E-276 Admin UI for Entra SSO configuration management</w:t>
      </w:r>
    </w:p>
    <w:p>
      <w:pPr>
        <w:pStyle w:val="FirstParagraph"/>
      </w:pPr>
      <w:r>
        <w:t xml:space="preserve">Generated BRD for ticket SA4E-276.</w:t>
      </w:r>
    </w:p>
    <w:bookmarkEnd w:id="9"/>
    <w:bookmarkEnd w:id="1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2026-09-16T17:58:59Z</dcterms:created>
  <dcterms:modified xsi:type="dcterms:W3CDTF">2026-09-16T17:58:59Z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