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2E000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E0005">
            <w:rPr>
              <w:rStyle w:val="SubtleEmphasis"/>
              <w:i w:val="0"/>
              <w:iCs w:val="0"/>
            </w:rPr>
            <w:t>10/14/2016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2E000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2E0005">
        <w:rPr>
          <w:rFonts w:asciiTheme="majorHAnsi" w:hAnsiTheme="majorHAnsi" w:cstheme="majorHAnsi"/>
          <w:sz w:val="26"/>
          <w:szCs w:val="26"/>
        </w:rPr>
        <w:t>thêm chức năng cho app mobile</w:t>
      </w:r>
    </w:p>
    <w:p w:rsidR="002E0005" w:rsidRDefault="002E0005" w:rsidP="002E000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Đang đăng nhập vẫn có thể kích hoạt thẻ</w:t>
      </w:r>
    </w:p>
    <w:p w:rsidR="002E0005" w:rsidRPr="00077DDE" w:rsidRDefault="002E0005" w:rsidP="002E000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Không có mạng vẫn cho quẹt thẻ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E0005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52012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7A049-5E4A-4075-B42E-401BE9FC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2016-12-04T08:16:00Z</dcterms:modified>
</cp:coreProperties>
</file>