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D3AF0" w14:textId="77777777" w:rsidR="00895187" w:rsidRDefault="00895187"/>
    <w:p>
      <w:pPr>
        <w:pStyle w:val="Title"/>
      </w:pPr>
      <w:r>
        <w:t>Wikipedia articles: other subjects (benchmark corpus)</w:t>
      </w:r>
    </w:p>
    <w:p>
      <w:r>
        <w:t>Five articles from subjects outside NLP, fetched through Wikipedia's official API for the retrieval benchmark. Text from Wikipedia, licensed CC BY-SA 4.0; each article lists its source.</w:t>
      </w:r>
    </w:p>
    <w:p>
      <w:pPr>
        <w:pStyle w:val="Heading1"/>
      </w:pPr>
      <w:r>
        <w:t>Photosynthesis</w:t>
      </w:r>
    </w:p>
    <w:p>
      <w:r>
        <w:rPr>
          <w:i/>
          <w:sz w:val="18"/>
        </w:rPr>
        <w:t>Source: https://en.wikipedia.org/wiki/Photosynthesis (Wikipedia, CC BY-SA 4.0)</w:t>
      </w:r>
    </w:p>
    <w:p>
      <w:r>
        <w:t>Photosynthesis is a system of biological processes by which photopigment-bearing autotrophic organisms, such as most plants, algae and cyanobacteria, convert light energy—typically from sunlight—into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 (complex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w:t>
      </w:r>
    </w:p>
    <w:p>
      <w:r>
        <w:t>Some organisms also perform anoxygenic photosynthesis, which does not produce oxygen. Some bacteria (e.g. purple bacteria) use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 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w:t>
      </w:r>
    </w:p>
    <w:p>
      <w:r>
        <w:t>While the details may differ between species, the process always begins when light energy is absorbed by the reaction centers, 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 molecules that participate in energetic processes: reduced nicotinamide adenine dinucleotide phosphate (NADPH) and ATP.</w:t>
      </w:r>
    </w:p>
    <w:p>
      <w:r>
        <w:t>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 form further carbohydrates, such as glucose. In other bacteria, different mechanisms like the reverse Krebs cycle are used to achieve the same end.</w:t>
      </w:r>
    </w:p>
    <w:p>
      <w:r>
        <w:t>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 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Pr>
        <w:pStyle w:val="Heading2"/>
      </w:pPr>
      <w:r>
        <w:t>Overview</w:t>
      </w:r>
    </w:p>
    <w:p>
      <w:pPr>
        <w:pStyle w:val="Heading1"/>
      </w:pPr>
      <w:r>
        <w:t>Black hole</w:t>
      </w:r>
    </w:p>
    <w:p>
      <w:r>
        <w:rPr>
          <w:i/>
          <w:sz w:val="18"/>
        </w:rPr>
        <w:t>Source: https://en.wikipedia.org/wiki/Black_hole (Wikipedia, CC BY-SA 4.0)</w:t>
      </w:r>
    </w:p>
    <w:p>
      <w:r>
        <w:t>A black hole is an astronomical body so compact that its gravity prevents anything, including light, from escaping. Albert Einstein's theory of general relativity, which describes gravitation as the curvature of spacetime, predicts that any sufficiently compact mass will form a black hole. The boundary of no escape is called the event horizon. In general relativity, crossing a black hole's event horizon traps an object inside but produces no locally detectable change. General relativity also predicts that every black hole should have a central singularity, where the curvature of spacetime is infinite.</w:t>
      </w:r>
    </w:p>
    <w:p>
      <w:r>
        <w:t>Objects whose gravitational fields are too strong for light to escape were first considered in the 18th century. In 1916, the first solution of general relativity that would characterise a black hole was found. By the late 1950s, this solution began to be interpreted physically as a region of space from which nothing can escape. Black holes were long considered a mathematical curiosity; it was not until the 1960s that theoretical work showed they were a generic prediction of general relativity. The first widely accepted black hole was Cygnus X-1, an x-ray source  proposed as a black hole binary through several studies between 1971 and 1974.</w:t>
      </w:r>
    </w:p>
    <w:p>
      <w:r>
        <w:t>Black holes typically form as part of a supernova event when massive stars collapse at the end of their life cycle. After a black hole has formed, it can grow by absorbing mass from its surroundings. Supermassive black holes of millions of solar masses may form by absorbing stars and merging with other black holes, or via direct collapse of gas clouds. There is consensus that supermassive black holes exist in the centres of most galaxies.</w:t>
      </w:r>
    </w:p>
    <w:p>
      <w:r>
        <w:t>Quantum field theory in curved spacetime predicts that event horizons emit Hawking radiation, with the rate of emission being inversely proportional to the mass. This causes the black hole to lose mass very slowly, provided it is not accreting matter. However, even the smallest class of black holes observed, stellar black holes, are gaining mass from the cosmic microwave background faster than they are losing mass via Hawking radiation.</w:t>
      </w:r>
    </w:p>
    <w:p>
      <w:r>
        <w:t>The presence of a black hole can be inferred through its interaction with matter and electromagnetic radiation such as visible light. Matter falling toward a black hole can form an accretion disk of infalling plasma, heated by friction and emitting light. In extreme cases, this creates a quasar, some of the brightest objects in the universe. Merging black holes can be detected by the gravitational waves they emit. If stars are orbiting a black hole, their motions can be used to determine the black hole's mass and location. In this way, astronomers have identified numerous stellar black hole candidates in binary systems and established that the radio source known as Sagittarius A*, at the core of the Milky Way galaxy, contains a supermassive black hole of about 4.3 million solar masses.</w:t>
      </w:r>
    </w:p>
    <w:p>
      <w:pPr>
        <w:pStyle w:val="Heading2"/>
      </w:pPr>
      <w:r>
        <w:t>History</w:t>
      </w:r>
    </w:p>
    <w:p>
      <w:r>
        <w:t>The idea of a body so massive that even light could not escape was first proposed in the late 18th century by English astronomer and clergyman John Michell and independently by French scientist Pierre-Simon Laplace. Both scholars proposed very large stars in contrast to the modern concept of an extremely dense object.</w:t>
      </w:r>
    </w:p>
    <w:p>
      <w:r>
        <w:t>Michell's idea, in a short part of a letter published in 1784, calculated that a star with the same density but 500 times the radius of the Sun would not let any emitted light escape; the surface escape velocity would exceed the speed of light. Michell correctly hypothesized that such non-radiating bodies might be detectable through their gravitational effects on nearby visible bodies. In 1796, while speculating on the origin of the Solar System in his book Exposition du Système du Monde, Laplace made a qualitative suggestion that a star could be invisible if it were sufficiently large. Franz Xaver von Zach asked Laplace for a mathematical analysis, which Laplace provided and published in von Zach's journal Allgemeine Geographische Ephemeriden.</w:t>
      </w:r>
    </w:p>
    <w:p>
      <w:pPr>
        <w:pStyle w:val="Heading3"/>
      </w:pPr>
      <w:r>
        <w:t>General relativity</w:t>
      </w:r>
    </w:p>
    <w:p>
      <w:r>
        <w:t>In 1905, Albert Einstein showed that the laws of electromagnetism are identical for observers travelling at different velocities relative to each other. The laws of mechanics had already been shown to be invariant in this way. However, the theory of gravitation was yet to be included.</w:t>
      </w:r>
    </w:p>
    <w:p>
      <w:r>
        <w:t>In 1907, Einstein published a paper proposing his equivalence principle, the hypothesis that inertial mass and gravitational mass have a common cause. Using the principle, Einstein predicted the redshift and the lensing effect of gravity on light; his prediction of gravitational lensing was one-half of the value that the full theory of general relativity would predict. By 1915, Einstein refined these ideas into his general theory of relativity, which explained how matter affects spacetime, which in turn affects the motion of other matter. This formed the basis for black hole astrophysics.</w:t>
      </w:r>
    </w:p>
    <w:p>
      <w:pPr>
        <w:pStyle w:val="Heading1"/>
      </w:pPr>
      <w:r>
        <w:t>Mount Everest</w:t>
      </w:r>
    </w:p>
    <w:p>
      <w:r>
        <w:rPr>
          <w:i/>
          <w:sz w:val="18"/>
        </w:rPr>
        <w:t>Source: https://en.wikipedia.org/wiki/Mount_Everest (Wikipedia, CC BY-SA 4.0)</w:t>
      </w:r>
    </w:p>
    <w:p>
      <w:r>
        <w:t>Mount Everest (known in Nepali as Sagarmāthā, in Sherpa as Chamolangma, and in Tibetan  as Jomolangma/Čhomolangma is the highest mountain on Earth above sea level. It lies in the Mahalangur Himal sub-range of the Himalayas and marks part of the China–Nepal border at its summit. Its height was most recently measured in 2020 through a joint survey by Nepalese and Chinese authorities as 8,848.86 m (29,031 ft 8+1⁄2 in).</w:t>
      </w:r>
    </w:p>
    <w:p>
      <w:r>
        <w:t>Mount Everest attracts many climbers, including highly experienced mountaineers. There are two main climbing routes, one approaching the summit from the southeast in Nepal (known as the standard route) and the other from the north in China. While not posing substantial technical climbing challenges on the standard route, Everest presents dangers such as altitude sickness, weather, and wind, as well as hazards from avalanches and the Khumbu Icefall. As of May 2024, 340 people have died on Everest. Over 200 bodies remain on the mountain and have not been removed due to the dangerous conditions.</w:t>
      </w:r>
    </w:p>
    <w:p>
      <w:r>
        <w:t>Climbers typically ascend only part of Mount Everest's elevation, as the mountain's full elevation is measured from the geoid, which approximates sea level. The closest sea to Mount Everest's summit is the Bay of Bengal, almost 700 km (430 mi) away. To approximate a climb of the entire height of Mount Everest, one would need to start from this coastline, a feat accomplished by Tim Macartney-Snape's team in 1990. Climbers usually begin their ascent from base camps above 5,000 m (16,404 ft). The amount of elevation climbed from below these camps varies. On the Tibetan side, most climbers drive directly to the North Base Camp. On the Nepalese side, climbers generally fly into Kathmandu, then Lukla, and trek to the South Base Camp, making the climb from Lukla to the summit about 6,000 m (20,000 ft) in elevation gain.</w:t>
      </w:r>
    </w:p>
    <w:p>
      <w:r>
        <w:t>The first recorded efforts to reach Everest's summit were made by British mountaineers. As Nepal did not allow foreigners to enter the country at the time, the British made several attempts on the North Ridge route from the Tibetan side. After the first reconnaissance expedition by the British in 1921 reached 7,000 m (22,966 ft) on the North Col, the 1922 expedition on its first summit attempt marked the first time a human had climbed above 8,000 m (26,247 ft) and it also pushed the North Ridge route up to 8,321 m (27,300 ft). On the 1924 expedition, George Mallory and Andrew Irvine made a final summit attempt on 8 June but never returned, leading to debate as to whether they were the first to reach the top. Tenzing Norgay and Edmund Hillary made the first documented ascent of Everest in 1953, using the Southeast Ridge route. Norgay had reached 8,595 m (28,199 ft) the previous year as a member of the 1952 Swiss expedition. The Chinese mountaineering team of Wang Fuzhou, Gonpo, and Qu Yinhua made the first reported ascent of the peak from the North Ridge on 25 May 1960.</w:t>
      </w:r>
    </w:p>
    <w:p>
      <w:pPr>
        <w:pStyle w:val="Heading2"/>
      </w:pPr>
      <w:r>
        <w:t>Name</w:t>
      </w:r>
    </w:p>
    <w:p>
      <w:r>
        <w:t>Mount Everest's Nepali name is सगरमाथा = Sagarmāthā (in IAST transcription), pronounced [sʌɡʌrmatʰa], lit. ''head in the sky'' (loosely translated as "goddess of the sky").</w:t>
      </w:r>
    </w:p>
    <w:p>
      <w:r>
        <w:t>The Tibetan name for Everest is Qomolangma (ཇོ་མོ་གླང་མ, lit. "holy mother"). The name was first recorded (in a Chinese transcription) in the 1721 Kangxi Atlas, issued during the reign of Qing Emperor Kangxi; it first appeared in the West in 1733 as Tchoumour Lancma, on a map prepared by the French geographer D'Anville based on the Kangxi Atlas. The Tibetan name is also popularly romanised as Chomolungma and (in Wylie) as Jo-mo-glang-ma.</w:t>
      </w:r>
    </w:p>
    <w:p>
      <w:r>
        <w:t>The official Chinese transcription is 珠穆朗玛峰 (t 珠穆朗瑪峰), or Zhūmùlǎngmǎ Fēng in pinyin. It is a phonetic transcription of the Tibetan name into Standard Mandarin. While other Chinese names have been used historically, including Shèngmǔ Fēng (t 聖母峰, s 圣母峰, lit. "holy mother peak"), these names were largely phased out after the Chinese Ministry of Internal Affairs  issued a decree to adopt a sole name in May 1952.</w:t>
      </w:r>
    </w:p>
    <w:p>
      <w:r>
        <w:t>The British geographic survey of 1849 attempted to preserve local names when possible (e.g., Kangchenjunga and Dhaulagiri). However, Andrew Waugh, the British Surveyor General of India, claimed that he could not find a commonly used local name, and that his search for one had been hampered by the Nepalese and Tibetan policy of exclusion of foreigners. Waugh argued that – because there were many local names – it would be difficult to favour one name over all others; he therefore decided that Peak XV should be named after British surveyor Sir George Everest, his predecessor as Surveyor General of India. Everest himself opposed the honour, and told the Royal Geographical Society in 1857 that "Everest" could neither be written in Hindi nor pronounced by "the native of India". Despite Everest's objections, Waugh's proposed name prevailed, and the Royal Geographical Society officially adopted the name "Mount Everest" in 1865. The modern pronunciation of Everest () is different from Sir George's pronunciation of his surname ( EEV-rist).</w:t>
      </w:r>
    </w:p>
    <w:p>
      <w:r>
        <w:t>In the late 19th century, many European cartographers incorrectly believed that a native name for the mountain was Gaurishankar, a mountain between Kathmandu and Everest.</w:t>
      </w:r>
    </w:p>
    <w:p>
      <w:pPr>
        <w:pStyle w:val="Heading3"/>
      </w:pPr>
      <w:r>
        <w:t>Other names</w:t>
      </w:r>
    </w:p>
    <w:p>
      <w:r>
        <w:t>"Peak XV" (temporary, assigned by British Imperial Survey)</w:t>
      </w:r>
    </w:p>
    <w:p>
      <w:r>
        <w:t>"Deodungha" (Old Darjeeling)</w:t>
      </w:r>
    </w:p>
    <w:p>
      <w:r>
        <w:t>"Gauri Shankar", "Gaurishankar", or "Gaurisankar" (misattribution; used occasionally until about 1900. In modern times the name is used for a different peak about 30 miles (48 kilometres) away.)</w:t>
      </w:r>
    </w:p>
    <w:p>
      <w:pPr>
        <w:pStyle w:val="Heading1"/>
      </w:pPr>
      <w:r>
        <w:t>Printing press</w:t>
      </w:r>
    </w:p>
    <w:p>
      <w:r>
        <w:rPr>
          <w:i/>
          <w:sz w:val="18"/>
        </w:rPr>
        <w:t>Source: https://en.wikipedia.org/wiki/Printing_press (Wikipedia, CC BY-SA 4.0)</w:t>
      </w:r>
    </w:p>
    <w:p>
      <w:r>
        <w:t>A printing press is a machine that applies pressure to transfer ink onto a surface made of paper, cloth, or a similar material. Its workers are known as printing press operators. It marked a significant improvement on earlier methods, in which the paper was rubbed by hand to transfer applied ink to the printing surface.</w:t>
      </w:r>
    </w:p>
    <w:p>
      <w:r>
        <w:t>The printing press was invented by the German goldsmith Johannes Gutenberg around 1440, and its subsequent global spread revolutionized literary production and communication during the early modern period. The spread of printing brought about an era of mass communication in European society, allowing information to quickly spread across Europe and contributing to the Reformation and the Scientific Revolution. The cost of printed texts declined and their availability increased, facilitating higher adult literacy rates across Europe. Books increasingly appeared in vernacular languages rather than Latin, and national languages were standardized.</w:t>
      </w:r>
    </w:p>
    <w:p>
      <w:r>
        <w:t>The basic design of the wooden handpress was largely consistent for over three centuries, until the Industrial Revolution. By 1800 Lord Stanhope had built a new iron printing press printing a sheet at one pull. In 1814, The Times adopted Friedrich Koenig's new presses, which incorporated steam power and rotary motion. Richard M. Hoe's rotary printing press, introduced in 1843, enabled much higher output; later rotary presses could produce millions of page impressions in a day. During the twentieth century, the letterpress was largely replaced by offset printing, phototypesetting, and digital printing in commercial work.</w:t>
      </w:r>
    </w:p>
    <w:p>
      <w:pPr>
        <w:pStyle w:val="Heading2"/>
      </w:pPr>
      <w:r>
        <w:t>History</w:t>
      </w:r>
    </w:p>
    <w:p>
      <w:r>
        <w:t>Johannes Gutenberg invented the movable-type printing press around 1440, utilizing four existing technologies: the screw press, movable type, the codex book format, and mechanized paper production. The economic and cultural changes of late medieval Europe brought about viable commercial conditions for his press. The urban middle class grew alongside trade and commerce, while the growing number of universities since the twelfth century had increased demand for books. Hand-copying was slow and expensive, and by the fifteenth century, the supply of manuscripts was much less than the demand.</w:t>
      </w:r>
    </w:p>
    <w:p>
      <w:pPr>
        <w:pStyle w:val="Heading3"/>
      </w:pPr>
      <w:r>
        <w:t>Technological factors</w:t>
      </w:r>
    </w:p>
    <w:p>
      <w:r>
        <w:t>Gutenberg integrated these four technologies into a single working system and added a number of innovations of his own, including a hand mold for casting type and an oil-based ink suited to metal type.</w:t>
      </w:r>
    </w:p>
    <w:p>
      <w:r>
        <w:t>The first factor, the screw press, permitted direct pressure to be applied on a flat plane. Used for a variety of tasks and introduced by the Romans in the 1st century AD, it was often used by farmers for pressing grapes to make wine and olives to make oil. Gutenberg may also have been inspired by the paper presses which operated similarly to the screw press and were used across the German lands from the late 14th century. He adopted the basic design of the screw press, thereby mechanizing the printing process. Printing brought the machine different demands, and Gutenberg adapted the construction so that the platen (a flat surface) exerted even pressure across the paper with minimal smearing. Gutenberg introduced a movable undertable with a level surface on which the sheets could be swiftly changed.</w:t>
      </w:r>
    </w:p>
    <w:p>
      <w:r>
        <w:t>Movable type is the typographical principle of writing a text from individual reusable characters. The Chinese artisan Bi Sheng invented the first movable type in the 11th century during the Song dynasty, using characters made of baked clay. Around 1300, Wang Zhen developed a set of movable wooden type, arranged on revolving tables, which he used to print a local gazetteer. Wang wrote about his invention in his agricultural treatise. Woodblock printing remained the primary method in East Asia. The oldest surviving book incorporating metal movable type is the Jikji dating to 1377, produced under the Korean state of Goryeo. However, none of the various East Asian methods gained widespread usage, largely due to their relative inefficiency. The logographic script used in China included thousands of distinct characters, resulting in high production costs for a full set of type. The Gutenberg press benefited from its use of the Latin alphabet with a relatively small set of characters.</w:t>
      </w:r>
    </w:p>
    <w:p>
      <w:r>
        <w:t>The codex book format also dated to the Roman Empire, and was of utmost significance in the history of the book. By 500 AD, Christian and Muslim scribes had shifted from using scrolls to using codices. The codex proved more convenient than the scroll format because of its greater legibility, compact arrangement, lower costs, and the availability of both left and right pages.</w:t>
      </w:r>
    </w:p>
    <w:p>
      <w:r>
        <w:t>Medieval papermakers had successfully mechanized the production of paper. Water-powered paper mills were in usage by 1282, resulting in much greater production and replacing the tedious processes associated with Chinese and Muslim papermaking. The number of papermaking centers grew rapidly in late 13th-century Italy, causing paper to become much cheaper than parchment. These centers became more common in Germany a century later.</w:t>
      </w:r>
    </w:p>
    <w:p>
      <w:r>
        <w:t>However, the increased usage of paper was just as dependent on the rise of movable-type printing. Codices of parchment are superior in quality to any other writing material, and Gutenberg still made great use of them in his edition of the 42-line Bible. After much experimentation, he concluded that the formula for an oil-based ink worked best for printing with metal type.</w:t>
      </w:r>
    </w:p>
    <w:p>
      <w:pPr>
        <w:pStyle w:val="Heading3"/>
      </w:pPr>
      <w:r>
        <w:t>Gutenberg's press</w:t>
      </w:r>
    </w:p>
    <w:p>
      <w:pPr>
        <w:pStyle w:val="Heading1"/>
      </w:pPr>
      <w:r>
        <w:t>Inflation</w:t>
      </w:r>
    </w:p>
    <w:p>
      <w:r>
        <w:rPr>
          <w:i/>
          <w:sz w:val="18"/>
        </w:rPr>
        <w:t>Source: https://en.wikipedia.org/wiki/Inflation (Wikipedia, CC BY-SA 4.0)</w:t>
      </w:r>
    </w:p>
    <w:p>
      <w:r>
        <w:t>In economics, inflation is an increase in the average price of goods and services in terms of money, though it originally referred to the increase of the money supply (monetary inflation) that can cause such a universal shift. This increase is measured using a price index, typically a consumer price index (CPI). When the general price level rises, each unit of currency buys fewer goods and services; consequently, inflation corresponds to a reduction in the purchasing power of money. The opposite of inflation is deflation, a decrease in the general price level of goods and services. The common measure of inflation is the inflation rate, the annualized percentage change in a general price index.</w:t>
      </w:r>
    </w:p>
    <w:p>
      <w:r>
        <w:t>Changes in inflation are widely attributed to increases in the money supply, fluctuations in real demand for goods and services (also known as demand shocks, including changes in fiscal or monetary policy), changes in available supplies such as during energy crises (also known as supply shocks), significant decreases in interest rates set by the central bank, or changes in inflation expectations, which may be self-fulfilling.</w:t>
      </w:r>
    </w:p>
    <w:p>
      <w:r>
        <w:t>Moderate inflation affects economies in both positive and negative ways. The negative effects would include an increase in the opportunity cost of holding money; incentivizing workers to switch jobs unnecessarily, making labor markets appear tight while average real wages fall; forcing workers into risky wage negotiations to keep pace, as purchasing power erodes between contracts; uncertainty over future inflation, which may discourage investment and savings; and, if inflation were rapid enough, shortages of goods as consumers begin hoarding out of concern that prices will increase in the future. Positive effects include reducing unemployment due to nominal wage rigidity,allowing the central bank greater freedom in carrying out monetary policy, encouraging loans and investment instead of money hoarding, and avoiding the inefficiencies associated with deflation.</w:t>
      </w:r>
    </w:p>
    <w:p>
      <w:r>
        <w:t>Today, most economists favour a low and steady rate of inflation. Low (as opposed to zero or negative) inflation reduces the likelihood of economic recessions by enabling the labor market to adjust more quickly and reduces the risk that a liquidity trap prevents monetary policy from stabilizing the economy, while also avoiding the costs associated with high inflation. The task of keeping the rate of inflation low and stable is usually given to central banks that control monetary policy, normally through the setting of interest rates and by carrying out open market operations.</w:t>
      </w:r>
    </w:p>
    <w:p>
      <w:pPr>
        <w:pStyle w:val="Heading2"/>
      </w:pPr>
      <w:r>
        <w:t>Terminology</w:t>
      </w:r>
    </w:p>
    <w:p>
      <w:r>
        <w:t>The term originates from the Latin inflare (to blow into or inflate). Conceptually, inflation refers to the general trend of prices, not changes in any specific price. For example, if people choose to buy more cucumbers than tomatoes, cucumbers consequently become more expensive and tomatoes less expensive. These changes are not related to inflation; they reflect a shift in tastes. Inflation is related to the value of currency itself. When currency was linked with gold, if new gold deposits were found, the price of gold and the value of currency would fall, and consequently, the prices of all other goods would become higher.</w:t>
      </w:r>
    </w:p>
    <w:p>
      <w:pPr>
        <w:pStyle w:val="Heading3"/>
      </w:pPr>
      <w:r>
        <w:t>Classical economics</w:t>
      </w:r>
    </w:p>
    <w:p>
      <w:r>
        <w:t>By the nineteenth century, economists categorised three separate factors that cause a rise or fall in the price of goods: a change in the value or production costs of the good, a change in the price of money which then was usually a fluctuation in the commodity price of the metallic content in the currency, and currency depreciation resulting from an increased supply of currency relative to the quantity of redeemable metal backing the currency. Following the proliferation of private banknote currency printed during the American Civil War, the term "inflation" started to appear as a direct reference to the currency depreciation that occurred as the quantity of redeemable banknotes outstripped the quantity of metal available for their redemption. At that time, the term inflation referred to the devaluation of the currency, and not to a rise in the price of goods. This relationship between the over-supply of banknotes and a resulting depreciation in their value was noted by earlier classical economists such as David Hume and David Ricardo, who would go on to examine and debate what effect a currency devaluation has on the price of goods.</w:t>
      </w:r>
    </w:p>
    <w:p>
      <w:pPr>
        <w:pStyle w:val="Heading3"/>
      </w:pPr>
      <w:r>
        <w:t>Related concepts</w:t>
      </w:r>
    </w:p>
    <w:p>
      <w:r>
        <w:t>Other economic concepts related to inflation include: deflation – a fall in the general price level; disinflation – a decrease in the rate of inflation; hyperinflation – an out-of-control inflationary spiral; stagflation – a combination of inflation, slow economic growth and high unemployment; reflation – an attempt to raise the general level of prices to counteract deflationary pressures; asset price inflation – a general rise in the prices of financial assets without a corresponding increase in the prices of goods or services; and agflation – an advanced increase in the price for food and industrial agricultural crops when compared with the general rise in prices.</w:t>
      </w:r>
    </w:p>
    <w:p>
      <w:r>
        <w:t>More specific forms of inflation refer to sectors whose prices vary semi-independently from the general trend. "House price inflation" applies to changes in the house price index while "energy inflation" is dominated by the costs of oil and gas.</w:t>
      </w:r>
    </w:p>
    <w:p>
      <w:pPr>
        <w:pStyle w:val="Heading2"/>
      </w:pPr>
      <w:r>
        <w:t>History</w:t>
      </w:r>
    </w:p>
    <w:sectPr w:rsidR="008951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0B7"/>
    <w:rsid w:val="0030349E"/>
    <w:rsid w:val="00363772"/>
    <w:rsid w:val="00397060"/>
    <w:rsid w:val="003A35D9"/>
    <w:rsid w:val="004B50DA"/>
    <w:rsid w:val="005001AF"/>
    <w:rsid w:val="0054168D"/>
    <w:rsid w:val="007B6619"/>
    <w:rsid w:val="00895187"/>
    <w:rsid w:val="0095781E"/>
    <w:rsid w:val="00B33882"/>
    <w:rsid w:val="00CA028E"/>
    <w:rsid w:val="00DF20B7"/>
    <w:rsid w:val="00E765F1"/>
    <w:rsid w:val="00E9137F"/>
    <w:rsid w:val="00F612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CA3B9"/>
  <w15:chartTrackingRefBased/>
  <w15:docId w15:val="{86270C13-EA27-4E44-A361-523E5D4F9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0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20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20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20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20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20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0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0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0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0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20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20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20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20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20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0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0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0B7"/>
    <w:rPr>
      <w:rFonts w:eastAsiaTheme="majorEastAsia" w:cstheme="majorBidi"/>
      <w:color w:val="272727" w:themeColor="text1" w:themeTint="D8"/>
    </w:rPr>
  </w:style>
  <w:style w:type="paragraph" w:styleId="Title">
    <w:name w:val="Title"/>
    <w:basedOn w:val="Normal"/>
    <w:next w:val="Normal"/>
    <w:link w:val="TitleChar"/>
    <w:uiPriority w:val="10"/>
    <w:qFormat/>
    <w:rsid w:val="00DF20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0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0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0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0B7"/>
    <w:pPr>
      <w:spacing w:before="160"/>
      <w:jc w:val="center"/>
    </w:pPr>
    <w:rPr>
      <w:i/>
      <w:iCs/>
      <w:color w:val="404040" w:themeColor="text1" w:themeTint="BF"/>
    </w:rPr>
  </w:style>
  <w:style w:type="character" w:customStyle="1" w:styleId="QuoteChar">
    <w:name w:val="Quote Char"/>
    <w:basedOn w:val="DefaultParagraphFont"/>
    <w:link w:val="Quote"/>
    <w:uiPriority w:val="29"/>
    <w:rsid w:val="00DF20B7"/>
    <w:rPr>
      <w:i/>
      <w:iCs/>
      <w:color w:val="404040" w:themeColor="text1" w:themeTint="BF"/>
    </w:rPr>
  </w:style>
  <w:style w:type="paragraph" w:styleId="ListParagraph">
    <w:name w:val="List Paragraph"/>
    <w:basedOn w:val="Normal"/>
    <w:uiPriority w:val="34"/>
    <w:qFormat/>
    <w:rsid w:val="00DF20B7"/>
    <w:pPr>
      <w:ind w:left="720"/>
      <w:contextualSpacing/>
    </w:pPr>
  </w:style>
  <w:style w:type="character" w:styleId="IntenseEmphasis">
    <w:name w:val="Intense Emphasis"/>
    <w:basedOn w:val="DefaultParagraphFont"/>
    <w:uiPriority w:val="21"/>
    <w:qFormat/>
    <w:rsid w:val="00DF20B7"/>
    <w:rPr>
      <w:i/>
      <w:iCs/>
      <w:color w:val="2F5496" w:themeColor="accent1" w:themeShade="BF"/>
    </w:rPr>
  </w:style>
  <w:style w:type="paragraph" w:styleId="IntenseQuote">
    <w:name w:val="Intense Quote"/>
    <w:basedOn w:val="Normal"/>
    <w:next w:val="Normal"/>
    <w:link w:val="IntenseQuoteChar"/>
    <w:uiPriority w:val="30"/>
    <w:qFormat/>
    <w:rsid w:val="00DF20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20B7"/>
    <w:rPr>
      <w:i/>
      <w:iCs/>
      <w:color w:val="2F5496" w:themeColor="accent1" w:themeShade="BF"/>
    </w:rPr>
  </w:style>
  <w:style w:type="character" w:styleId="IntenseReference">
    <w:name w:val="Intense Reference"/>
    <w:basedOn w:val="DefaultParagraphFont"/>
    <w:uiPriority w:val="32"/>
    <w:qFormat/>
    <w:rsid w:val="00DF20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Asmin Dani</dc:creator>
  <cp:keywords/>
  <dc:description/>
  <cp:lastModifiedBy>Asmin Dani</cp:lastModifiedBy>
  <cp:revision>1</cp:revision>
  <dcterms:created xsi:type="dcterms:W3CDTF">2026-10-02T10:26:00Z</dcterms:created>
  <dcterms:modified xsi:type="dcterms:W3CDTF">2026-10-02T10:26:00Z</dcterms:modified>
</cp:coreProperties>
</file>