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007A33"/>
          <w:spacing w:val="60"/>
          <w:sz w:val="20"/>
          <w:szCs w:val="20"/>
        </w:rPr>
        <w:t xml:space="preserve">GREEN KEY GLOBAL</w:t>
      </w:r>
    </w:p>
    <w:p>
      <w:pPr>
        <w:spacing w:after="60"/>
      </w:pPr>
      <w:r>
        <w:rPr>
          <w:rFonts w:ascii="Montserrat" w:cs="Montserrat" w:eastAsia="Montserrat" w:hAnsi="Montserrat"/>
          <w:b/>
          <w:bCs/>
          <w:color w:val="14402A"/>
          <w:sz w:val="36"/>
          <w:szCs w:val="36"/>
        </w:rPr>
        <w:t xml:space="preserve">Executive Brief: A Hotel's Roadmap to Eco-Rating Certification</w:t>
      </w:r>
    </w:p>
    <w:p>
      <w:pPr>
        <w:spacing w:after="220"/>
      </w:pPr>
      <w:r>
        <w:rPr>
          <w:rFonts w:ascii="Helvetica" w:cs="Helvetica" w:eastAsia="Helvetica" w:hAnsi="Helvetica"/>
          <w:i/>
          <w:iCs/>
          <w:color w:val="595959"/>
          <w:sz w:val="19"/>
          <w:szCs w:val="19"/>
        </w:rPr>
        <w:t xml:space="preserve">The Leading North American Standard in Sustainable Hospitality Certification  |  July 2026</w:t>
      </w:r>
    </w:p>
    <w:p>
      <w:pPr>
        <w:spacing w:after="130" w:line="252"/>
      </w:pPr>
      <w:r>
        <w:rPr>
          <w:rFonts w:ascii="Helvetica" w:cs="Helvetica" w:eastAsia="Helvetica" w:hAnsi="Helvetica"/>
          <w:b/>
          <w:bCs/>
          <w:sz w:val="20"/>
          <w:szCs w:val="20"/>
        </w:rPr>
        <w:t xml:space="preserve">The bottom line. </w:t>
      </w:r>
      <w:r>
        <w:rPr>
          <w:rFonts w:ascii="Helvetica" w:cs="Helvetica" w:eastAsia="Helvetica" w:hAnsi="Helvetica"/>
          <w:sz w:val="20"/>
          <w:szCs w:val="20"/>
        </w:rPr>
        <w:t xml:space="preserve">Corporate buyers, booking platforms, brands, and regulators are all converging on the same requirement: independent, third-party proof of how a hotel operates. Green Key Eco-Rating certification is that proof, built by hoteliers for hoteliers, achievable by any property without capital investment, and priced for every tier of the market. Properties that certify are winning measurably more business than properties that do not.</w:t>
      </w:r>
    </w:p>
    <w:p>
      <w:pPr>
        <w:spacing w:after="60"/>
      </w:pPr>
    </w:p>
    <w:tbl>
      <w:tblPr>
        <w:tblW w:type="dxa" w:w="9360"/>
        <w:tblBorders>
          <w:top w:val="single" w:color="007A33" w:sz="10"/>
          <w:left w:val="none"/>
          <w:bottom w:val="single" w:color="007A33" w:sz="10"/>
          <w:right w:val="none"/>
          <w:insideH w:val="none"/>
          <w:insideV w:val="single" w:color="FFFFFF" w:sz="6"/>
        </w:tblBorders>
      </w:tblPr>
      <w:tblGrid>
        <w:gridCol w:w="2340"/>
        <w:gridCol w:w="2340"/>
        <w:gridCol w:w="2340"/>
        <w:gridCol w:w="2340"/>
      </w:tblGrid>
      <w:tr>
        <w:tc>
          <w:tcPr>
            <w:tcW w:type="dxa" w:w="2340"/>
            <w:shd w:fill="EFF6F1" w:val="clear"/>
            <w:tcMar>
              <w:top w:type="dxa" w:w="120"/>
              <w:left w:type="dxa" w:w="100"/>
              <w:bottom w:type="dxa" w:w="120"/>
              <w:right w:type="dxa" w:w="100"/>
            </w:tcMar>
            <w:vAlign w:val="center"/>
          </w:tcPr>
          <w:p>
            <w:pPr>
              <w:spacing w:after="40"/>
              <w:jc w:val="center"/>
            </w:pPr>
            <w:r>
              <w:rPr>
                <w:rFonts w:ascii="Montserrat" w:cs="Montserrat" w:eastAsia="Montserrat" w:hAnsi="Montserrat"/>
                <w:b/>
                <w:bCs/>
                <w:color w:val="007A33"/>
                <w:sz w:val="34"/>
                <w:szCs w:val="34"/>
              </w:rPr>
              <w:t xml:space="preserve">3,000+</w:t>
            </w:r>
          </w:p>
          <w:p>
            <w:pPr>
              <w:jc w:val="center"/>
            </w:pPr>
            <w:r>
              <w:rPr>
                <w:rFonts w:ascii="Helvetica" w:cs="Helvetica" w:eastAsia="Helvetica" w:hAnsi="Helvetica"/>
                <w:color w:val="14402A"/>
                <w:sz w:val="16"/>
                <w:szCs w:val="16"/>
              </w:rPr>
              <w:t xml:space="preserve">certified properties across North America</w:t>
            </w:r>
          </w:p>
        </w:tc>
        <w:tc>
          <w:tcPr>
            <w:tcW w:type="dxa" w:w="2340"/>
            <w:shd w:fill="EFF6F1" w:val="clear"/>
            <w:tcMar>
              <w:top w:type="dxa" w:w="120"/>
              <w:left w:type="dxa" w:w="100"/>
              <w:bottom w:type="dxa" w:w="120"/>
              <w:right w:type="dxa" w:w="100"/>
            </w:tcMar>
            <w:vAlign w:val="center"/>
          </w:tcPr>
          <w:p>
            <w:pPr>
              <w:spacing w:after="40"/>
              <w:jc w:val="center"/>
            </w:pPr>
            <w:r>
              <w:rPr>
                <w:rFonts w:ascii="Montserrat" w:cs="Montserrat" w:eastAsia="Montserrat" w:hAnsi="Montserrat"/>
                <w:b/>
                <w:bCs/>
                <w:color w:val="007A33"/>
                <w:sz w:val="34"/>
                <w:szCs w:val="34"/>
              </w:rPr>
              <w:t xml:space="preserve">3x</w:t>
            </w:r>
          </w:p>
          <w:p>
            <w:pPr>
              <w:jc w:val="center"/>
            </w:pPr>
            <w:r>
              <w:rPr>
                <w:rFonts w:ascii="Helvetica" w:cs="Helvetica" w:eastAsia="Helvetica" w:hAnsi="Helvetica"/>
                <w:color w:val="14402A"/>
                <w:sz w:val="16"/>
                <w:szCs w:val="16"/>
              </w:rPr>
              <w:t xml:space="preserve">the corporate room nights at certified hotels</w:t>
            </w:r>
          </w:p>
        </w:tc>
        <w:tc>
          <w:tcPr>
            <w:tcW w:type="dxa" w:w="2340"/>
            <w:shd w:fill="EFF6F1" w:val="clear"/>
            <w:tcMar>
              <w:top w:type="dxa" w:w="120"/>
              <w:left w:type="dxa" w:w="100"/>
              <w:bottom w:type="dxa" w:w="120"/>
              <w:right w:type="dxa" w:w="100"/>
            </w:tcMar>
            <w:vAlign w:val="center"/>
          </w:tcPr>
          <w:p>
            <w:pPr>
              <w:spacing w:after="40"/>
              <w:jc w:val="center"/>
            </w:pPr>
            <w:r>
              <w:rPr>
                <w:rFonts w:ascii="Montserrat" w:cs="Montserrat" w:eastAsia="Montserrat" w:hAnsi="Montserrat"/>
                <w:b/>
                <w:bCs/>
                <w:color w:val="007A33"/>
                <w:sz w:val="34"/>
                <w:szCs w:val="34"/>
              </w:rPr>
              <w:t xml:space="preserve">~11 days</w:t>
            </w:r>
          </w:p>
          <w:p>
            <w:pPr>
              <w:jc w:val="center"/>
            </w:pPr>
            <w:r>
              <w:rPr>
                <w:rFonts w:ascii="Helvetica" w:cs="Helvetica" w:eastAsia="Helvetica" w:hAnsi="Helvetica"/>
                <w:color w:val="14402A"/>
                <w:sz w:val="16"/>
                <w:szCs w:val="16"/>
              </w:rPr>
              <w:t xml:space="preserve">average to complete the Core Criteria assessment</w:t>
            </w:r>
          </w:p>
        </w:tc>
        <w:tc>
          <w:tcPr>
            <w:tcW w:type="dxa" w:w="2340"/>
            <w:shd w:fill="EFF6F1" w:val="clear"/>
            <w:tcMar>
              <w:top w:type="dxa" w:w="120"/>
              <w:left w:type="dxa" w:w="100"/>
              <w:bottom w:type="dxa" w:w="120"/>
              <w:right w:type="dxa" w:w="100"/>
            </w:tcMar>
            <w:vAlign w:val="center"/>
          </w:tcPr>
          <w:p>
            <w:pPr>
              <w:spacing w:after="40"/>
              <w:jc w:val="center"/>
            </w:pPr>
            <w:r>
              <w:rPr>
                <w:rFonts w:ascii="Montserrat" w:cs="Montserrat" w:eastAsia="Montserrat" w:hAnsi="Montserrat"/>
                <w:b/>
                <w:bCs/>
                <w:color w:val="007A33"/>
                <w:sz w:val="34"/>
                <w:szCs w:val="34"/>
              </w:rPr>
              <w:t xml:space="preserve">&lt;$80/mo</w:t>
            </w:r>
          </w:p>
          <w:p>
            <w:pPr>
              <w:jc w:val="center"/>
            </w:pPr>
            <w:r>
              <w:rPr>
                <w:rFonts w:ascii="Helvetica" w:cs="Helvetica" w:eastAsia="Helvetica" w:hAnsi="Helvetica"/>
                <w:color w:val="14402A"/>
                <w:sz w:val="16"/>
                <w:szCs w:val="16"/>
              </w:rPr>
              <w:t xml:space="preserve">published U.S. cost across a 3-year cycle</w:t>
            </w:r>
          </w:p>
        </w:tc>
      </w:tr>
    </w:tbl>
    <w:p>
      <w:pPr>
        <w:spacing w:after="140" w:before="60"/>
      </w:pPr>
      <w:r>
        <w:rPr>
          <w:rFonts w:ascii="Helvetica" w:cs="Helvetica" w:eastAsia="Helvetica" w:hAnsi="Helvetica"/>
          <w:i/>
          <w:iCs/>
          <w:color w:val="595959"/>
          <w:sz w:val="15"/>
          <w:szCs w:val="15"/>
        </w:rPr>
        <w:t xml:space="preserve">Corporate room-night figure: Alō Index, analysis of 5,082 assessed hotels, 2025 full year. Membership, completion-time, and pricing figures: Green Key Global program data, July 2026.</w:t>
      </w:r>
    </w:p>
    <w:p>
      <w:pPr>
        <w:spacing w:after="160"/>
      </w:pPr>
    </w:p>
    <w:p>
      <w:pPr>
        <w:spacing w:after="100" w:before="200"/>
      </w:pPr>
      <w:r>
        <w:rPr>
          <w:rFonts w:ascii="Montserrat" w:cs="Montserrat" w:eastAsia="Montserrat" w:hAnsi="Montserrat"/>
          <w:b/>
          <w:bCs/>
          <w:color w:val="007A33"/>
          <w:sz w:val="23"/>
          <w:szCs w:val="23"/>
        </w:rPr>
        <w:t xml:space="preserve">Why now</w:t>
      </w:r>
    </w:p>
    <w:p>
      <w:pPr>
        <w:spacing w:after="130" w:line="252"/>
      </w:pPr>
      <w:r>
        <w:rPr>
          <w:rFonts w:ascii="Helvetica" w:cs="Helvetica" w:eastAsia="Helvetica" w:hAnsi="Helvetica"/>
          <w:sz w:val="20"/>
          <w:szCs w:val="20"/>
        </w:rPr>
        <w:t xml:space="preserve">Demand is documented by independent research: 90% of consumers look for sustainable options when traveling, 83% of global travelers say sustainable travel is vital, and 76% of travel buyers are adding sustainability clauses to supplier contracts.</w:t>
      </w:r>
      <w:r>
        <w:rPr>
          <w:rStyle w:val="FootnoteReference"/>
        </w:rPr>
        <w:footnoteReference w:id="1"/>
      </w:r>
      <w:r>
        <w:rPr>
          <w:rFonts w:ascii="Helvetica" w:cs="Helvetica" w:eastAsia="Helvetica" w:hAnsi="Helvetica"/>
          <w:sz w:val="20"/>
          <w:szCs w:val="20"/>
        </w:rPr>
        <w:t xml:space="preserve"> The Alō Index found certified hotels averaged three times the corporate room nights of non-certified hotels in 2025, with 97% winning corporate business versus 70%.</w:t>
      </w:r>
      <w:r>
        <w:rPr>
          <w:rStyle w:val="FootnoteReference"/>
        </w:rPr>
        <w:footnoteReference w:id="2"/>
      </w:r>
    </w:p>
    <w:p>
      <w:pPr>
        <w:spacing w:after="130" w:line="252"/>
      </w:pPr>
      <w:r>
        <w:rPr>
          <w:rFonts w:ascii="Helvetica" w:cs="Helvetica" w:eastAsia="Helvetica" w:hAnsi="Helvetica"/>
          <w:sz w:val="20"/>
          <w:szCs w:val="20"/>
        </w:rPr>
        <w:t xml:space="preserve">Regulation and the wider industry are moving the same direction: the EU's green-claims directive takes force in September 2026, and the WTTC is elevating its own global baseline program to independent third-party certification.</w:t>
      </w:r>
      <w:r>
        <w:rPr>
          <w:rStyle w:val="FootnoteReference"/>
        </w:rPr>
        <w:footnoteReference w:id="3"/>
      </w:r>
      <w:r>
        <w:rPr>
          <w:rFonts w:ascii="Helvetica" w:cs="Helvetica" w:eastAsia="Helvetica" w:hAnsi="Helvetica"/>
          <w:sz w:val="20"/>
          <w:szCs w:val="20"/>
        </w:rPr>
        <w:t xml:space="preserve"> Advisory firms tell owners the payoffs (lower operating costs, green financing access, brand equity, lower regulatory risk) are already being realized by hotels that act.</w:t>
      </w:r>
      <w:r>
        <w:rPr>
          <w:rStyle w:val="FootnoteReference"/>
        </w:rPr>
        <w:footnoteReference w:id="4"/>
      </w:r>
    </w:p>
    <w:p>
      <w:pPr>
        <w:spacing w:after="100" w:before="200"/>
      </w:pPr>
      <w:r>
        <w:rPr>
          <w:rFonts w:ascii="Montserrat" w:cs="Montserrat" w:eastAsia="Montserrat" w:hAnsi="Montserrat"/>
          <w:b/>
          <w:bCs/>
          <w:color w:val="007A33"/>
          <w:sz w:val="23"/>
          <w:szCs w:val="23"/>
        </w:rPr>
        <w:t xml:space="preserve">What certification is</w:t>
      </w:r>
    </w:p>
    <w:p>
      <w:pPr>
        <w:spacing w:after="130" w:line="252"/>
      </w:pPr>
      <w:r>
        <w:rPr>
          <w:rFonts w:ascii="Helvetica" w:cs="Helvetica" w:eastAsia="Helvetica" w:hAnsi="Helvetica"/>
          <w:sz w:val="20"/>
          <w:szCs w:val="20"/>
        </w:rPr>
        <w:t xml:space="preserve">Eco-Rating is a comprehensive operational assessment (200+ questions across Corporate Management, Housekeeping, Engineering, and optional Food &amp; Beverage and Conference sections), verified by Control Union, an independent third-party auditor, and awarded as a rating of 1 to 5 Keys valid for three years. The standard is aligned with all 17 UN Sustainable Development Goals, holds GSTC-Recognized status, and is recognized by Travalyst, the coalition behind sustainability labels on major booking platforms.</w:t>
      </w:r>
      <w:r>
        <w:rPr>
          <w:rStyle w:val="FootnoteReference"/>
        </w:rPr>
        <w:footnoteReference w:id="5"/>
      </w:r>
    </w:p>
    <w:p>
      <w:pPr>
        <w:spacing w:after="130" w:line="252"/>
      </w:pPr>
      <w:r>
        <w:rPr>
          <w:rFonts w:ascii="Helvetica" w:cs="Helvetica" w:eastAsia="Helvetica" w:hAnsi="Helvetica"/>
          <w:sz w:val="20"/>
          <w:szCs w:val="20"/>
        </w:rPr>
        <w:t xml:space="preserve">No capital spend is required to certify: the assessment scores what a property already does, and the practices it rewards (utility tracking, preventative maintenance, linen reuse, right-sized purchasing) are the same practices that cut operating cost.</w:t>
      </w:r>
    </w:p>
    <w:p>
      <w:pPr>
        <w:spacing w:after="100" w:before="200"/>
      </w:pPr>
      <w:r>
        <w:rPr>
          <w:rFonts w:ascii="Montserrat" w:cs="Montserrat" w:eastAsia="Montserrat" w:hAnsi="Montserrat"/>
          <w:b/>
          <w:bCs/>
          <w:color w:val="007A33"/>
          <w:sz w:val="23"/>
          <w:szCs w:val="23"/>
        </w:rPr>
        <w:t xml:space="preserve">The 2026 Core Criteria: a fast, credible entry point</w:t>
      </w:r>
    </w:p>
    <w:p>
      <w:pPr>
        <w:spacing w:after="130" w:line="252"/>
      </w:pPr>
      <w:r>
        <w:rPr>
          <w:rFonts w:ascii="Helvetica" w:cs="Helvetica" w:eastAsia="Helvetica" w:hAnsi="Helvetica"/>
          <w:sz w:val="20"/>
          <w:szCs w:val="20"/>
        </w:rPr>
        <w:t xml:space="preserve">Our Core Criteria define the 37 mandatory questions that earn a first Key: written policies, a Green Team, staff training, tracked utilities, and uploaded evidence for every requirement, with templates provided for each document. The focused assessment takes about 4 to 6 hours of work, and average completion time has fallen from about 80 days to about 11. Properties then climb toward higher Keys over subsequent cycles using their audit-issued Property Performance Report.</w:t>
      </w:r>
    </w:p>
    <w:p>
      <w:pPr>
        <w:spacing w:after="100" w:before="200"/>
      </w:pPr>
      <w:r>
        <w:rPr>
          <w:rFonts w:ascii="Montserrat" w:cs="Montserrat" w:eastAsia="Montserrat" w:hAnsi="Montserrat"/>
          <w:b/>
          <w:bCs/>
          <w:color w:val="007A33"/>
          <w:sz w:val="23"/>
          <w:szCs w:val="23"/>
        </w:rPr>
        <w:t xml:space="preserve">How it works and what it costs</w:t>
      </w:r>
    </w:p>
    <w:p>
      <w:pPr>
        <w:spacing w:after="130" w:line="252"/>
      </w:pPr>
      <w:r>
        <w:rPr>
          <w:rFonts w:ascii="Helvetica" w:cs="Helvetica" w:eastAsia="Helvetica" w:hAnsi="Helvetica"/>
          <w:sz w:val="20"/>
          <w:szCs w:val="20"/>
        </w:rPr>
        <w:t xml:space="preserve">Five steps: complete the online self-assessment, receive a preliminary rating and gap scorecard, undergo the independent audit, receive certification (1 to 5 Keys, 3-year validity), and activate the marketing toolkit, OTA badges, and RFP content. We share certified-property lists with OTAs, procurement officers, and RFP platforms automatically.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2580"/>
        <w:gridCol w:w="2580"/>
      </w:tblGrid>
      <w:tr>
        <w:trPr>
          <w:tblHeader/>
        </w:trPr>
        <w:tc>
          <w:tcPr>
            <w:tcW w:type="dxa" w:w="4200"/>
            <w:shd w:fill="007A33" w:val="clear"/>
            <w:tcMar>
              <w:top w:type="dxa" w:w="70"/>
              <w:left w:type="dxa" w:w="110"/>
              <w:bottom w:type="dxa" w:w="70"/>
              <w:right w:type="dxa" w:w="110"/>
            </w:tcMar>
            <w:vAlign w:val="center"/>
          </w:tcPr>
          <w:p>
            <w:r>
              <w:rPr>
                <w:rFonts w:ascii="Helvetica" w:cs="Helvetica" w:eastAsia="Helvetica" w:hAnsi="Helvetica"/>
                <w:b/>
                <w:bCs/>
                <w:color w:val="FFFFFF"/>
                <w:sz w:val="18"/>
                <w:szCs w:val="18"/>
              </w:rPr>
              <w:t xml:space="preserve">Published pricing (July 2026)</w:t>
            </w:r>
          </w:p>
        </w:tc>
        <w:tc>
          <w:tcPr>
            <w:tcW w:type="dxa" w:w="2580"/>
            <w:shd w:fill="007A33" w:val="clear"/>
            <w:tcMar>
              <w:top w:type="dxa" w:w="70"/>
              <w:left w:type="dxa" w:w="110"/>
              <w:bottom w:type="dxa" w:w="70"/>
              <w:right w:type="dxa" w:w="110"/>
            </w:tcMar>
            <w:vAlign w:val="center"/>
          </w:tcPr>
          <w:p>
            <w:r>
              <w:rPr>
                <w:rFonts w:ascii="Helvetica" w:cs="Helvetica" w:eastAsia="Helvetica" w:hAnsi="Helvetica"/>
                <w:b/>
                <w:bCs/>
                <w:color w:val="FFFFFF"/>
                <w:sz w:val="18"/>
                <w:szCs w:val="18"/>
              </w:rPr>
              <w:t xml:space="preserve">United States</w:t>
            </w:r>
          </w:p>
        </w:tc>
        <w:tc>
          <w:tcPr>
            <w:tcW w:type="dxa" w:w="2580"/>
            <w:shd w:fill="007A33" w:val="clear"/>
            <w:tcMar>
              <w:top w:type="dxa" w:w="70"/>
              <w:left w:type="dxa" w:w="110"/>
              <w:bottom w:type="dxa" w:w="70"/>
              <w:right w:type="dxa" w:w="110"/>
            </w:tcMar>
            <w:vAlign w:val="center"/>
          </w:tcPr>
          <w:p>
            <w:r>
              <w:rPr>
                <w:rFonts w:ascii="Helvetica" w:cs="Helvetica" w:eastAsia="Helvetica" w:hAnsi="Helvetica"/>
                <w:b/>
                <w:bCs/>
                <w:color w:val="FFFFFF"/>
                <w:sz w:val="18"/>
                <w:szCs w:val="18"/>
              </w:rPr>
              <w:t xml:space="preserve">Canada</w:t>
            </w:r>
          </w:p>
        </w:tc>
      </w:tr>
      <w:tr>
        <w:trPr>
          <w:tblHeader w:val="false"/>
        </w:trPr>
        <w:tc>
          <w:tcPr>
            <w:tcW w:type="dxa" w:w="4200"/>
            <w:tcMar>
              <w:top w:type="dxa" w:w="70"/>
              <w:left w:type="dxa" w:w="110"/>
              <w:bottom w:type="dxa" w:w="70"/>
              <w:right w:type="dxa" w:w="110"/>
            </w:tcMar>
            <w:vAlign w:val="center"/>
          </w:tcPr>
          <w:p>
            <w:r>
              <w:rPr>
                <w:rFonts w:ascii="Helvetica" w:cs="Helvetica" w:eastAsia="Helvetica" w:hAnsi="Helvetica"/>
                <w:b w:val="false"/>
                <w:bCs w:val="false"/>
                <w:color w:val="000000"/>
                <w:sz w:val="18"/>
                <w:szCs w:val="18"/>
              </w:rPr>
              <w:t xml:space="preserve">Annual membership, per property</w:t>
            </w:r>
          </w:p>
        </w:tc>
        <w:tc>
          <w:tcPr>
            <w:tcW w:type="dxa" w:w="2580"/>
            <w:tcMar>
              <w:top w:type="dxa" w:w="70"/>
              <w:left w:type="dxa" w:w="110"/>
              <w:bottom w:type="dxa" w:w="70"/>
              <w:right w:type="dxa" w:w="110"/>
            </w:tcMar>
            <w:vAlign w:val="center"/>
          </w:tcPr>
          <w:p>
            <w:r>
              <w:rPr>
                <w:rFonts w:ascii="Helvetica" w:cs="Helvetica" w:eastAsia="Helvetica" w:hAnsi="Helvetica"/>
                <w:b w:val="false"/>
                <w:bCs w:val="false"/>
                <w:color w:val="000000"/>
                <w:sz w:val="18"/>
                <w:szCs w:val="18"/>
              </w:rPr>
              <w:t xml:space="preserve">$750 / year</w:t>
            </w:r>
          </w:p>
        </w:tc>
        <w:tc>
          <w:tcPr>
            <w:tcW w:type="dxa" w:w="2580"/>
            <w:tcMar>
              <w:top w:type="dxa" w:w="70"/>
              <w:left w:type="dxa" w:w="110"/>
              <w:bottom w:type="dxa" w:w="70"/>
              <w:right w:type="dxa" w:w="110"/>
            </w:tcMar>
            <w:vAlign w:val="center"/>
          </w:tcPr>
          <w:p>
            <w:r>
              <w:rPr>
                <w:rFonts w:ascii="Helvetica" w:cs="Helvetica" w:eastAsia="Helvetica" w:hAnsi="Helvetica"/>
                <w:b w:val="false"/>
                <w:bCs w:val="false"/>
                <w:color w:val="000000"/>
                <w:sz w:val="18"/>
                <w:szCs w:val="18"/>
              </w:rPr>
              <w:t xml:space="preserve">$950 CAD / year</w:t>
            </w:r>
          </w:p>
        </w:tc>
      </w:tr>
      <w:tr>
        <w:trPr>
          <w:tblHeader w:val="false"/>
        </w:trPr>
        <w:tc>
          <w:tcPr>
            <w:tcW w:type="dxa" w:w="4200"/>
            <w:shd w:fill="F4F8F5" w:val="clear"/>
            <w:tcMar>
              <w:top w:type="dxa" w:w="70"/>
              <w:left w:type="dxa" w:w="110"/>
              <w:bottom w:type="dxa" w:w="70"/>
              <w:right w:type="dxa" w:w="110"/>
            </w:tcMar>
            <w:vAlign w:val="center"/>
          </w:tcPr>
          <w:p>
            <w:r>
              <w:rPr>
                <w:rFonts w:ascii="Helvetica" w:cs="Helvetica" w:eastAsia="Helvetica" w:hAnsi="Helvetica"/>
                <w:b w:val="false"/>
                <w:bCs w:val="false"/>
                <w:color w:val="000000"/>
                <w:sz w:val="18"/>
                <w:szCs w:val="18"/>
              </w:rPr>
              <w:t xml:space="preserve">Virtual audit, once per 3-year cycle</w:t>
            </w:r>
          </w:p>
        </w:tc>
        <w:tc>
          <w:tcPr>
            <w:tcW w:type="dxa" w:w="2580"/>
            <w:shd w:fill="F4F8F5" w:val="clear"/>
            <w:tcMar>
              <w:top w:type="dxa" w:w="70"/>
              <w:left w:type="dxa" w:w="110"/>
              <w:bottom w:type="dxa" w:w="70"/>
              <w:right w:type="dxa" w:w="110"/>
            </w:tcMar>
            <w:vAlign w:val="center"/>
          </w:tcPr>
          <w:p>
            <w:r>
              <w:rPr>
                <w:rFonts w:ascii="Helvetica" w:cs="Helvetica" w:eastAsia="Helvetica" w:hAnsi="Helvetica"/>
                <w:b w:val="false"/>
                <w:bCs w:val="false"/>
                <w:color w:val="000000"/>
                <w:sz w:val="18"/>
                <w:szCs w:val="18"/>
              </w:rPr>
              <w:t xml:space="preserve">$500</w:t>
            </w:r>
          </w:p>
        </w:tc>
        <w:tc>
          <w:tcPr>
            <w:tcW w:type="dxa" w:w="2580"/>
            <w:shd w:fill="F4F8F5" w:val="clear"/>
            <w:tcMar>
              <w:top w:type="dxa" w:w="70"/>
              <w:left w:type="dxa" w:w="110"/>
              <w:bottom w:type="dxa" w:w="70"/>
              <w:right w:type="dxa" w:w="110"/>
            </w:tcMar>
            <w:vAlign w:val="center"/>
          </w:tcPr>
          <w:p>
            <w:r>
              <w:rPr>
                <w:rFonts w:ascii="Helvetica" w:cs="Helvetica" w:eastAsia="Helvetica" w:hAnsi="Helvetica"/>
                <w:b w:val="false"/>
                <w:bCs w:val="false"/>
                <w:color w:val="000000"/>
                <w:sz w:val="18"/>
                <w:szCs w:val="18"/>
              </w:rPr>
              <w:t xml:space="preserve">$500</w:t>
            </w:r>
          </w:p>
        </w:tc>
      </w:tr>
    </w:tbl>
    <w:p>
      <w:pPr>
        <w:spacing w:after="130" w:before="80"/>
      </w:pPr>
      <w:r>
        <w:rPr>
          <w:rFonts w:ascii="Helvetica" w:cs="Helvetica" w:eastAsia="Helvetica" w:hAnsi="Helvetica"/>
          <w:i/>
          <w:iCs/>
          <w:color w:val="595959"/>
          <w:sz w:val="17"/>
          <w:szCs w:val="17"/>
        </w:rPr>
        <w:t xml:space="preserve">Full 3-year U.S. cycle: $2,750, under $80 per month. On-site audits available ($2,500, travel dependent). Brands, management companies, and destinations can access portfolio agreements with negotiated rates and fast-track pathways. Current pricing: greenkeyglobal.com.</w:t>
      </w:r>
    </w:p>
    <w:p>
      <w:pPr>
        <w:spacing w:after="100" w:before="200"/>
      </w:pPr>
      <w:r>
        <w:rPr>
          <w:rFonts w:ascii="Montserrat" w:cs="Montserrat" w:eastAsia="Montserrat" w:hAnsi="Montserrat"/>
          <w:b/>
          <w:bCs/>
          <w:color w:val="007A33"/>
          <w:sz w:val="23"/>
          <w:szCs w:val="23"/>
        </w:rPr>
        <w:t xml:space="preserve">The decision</w:t>
      </w:r>
    </w:p>
    <w:p>
      <w:pPr>
        <w:spacing w:after="130" w:line="252"/>
      </w:pPr>
      <w:r>
        <w:rPr>
          <w:rFonts w:ascii="Helvetica" w:cs="Helvetica" w:eastAsia="Helvetica" w:hAnsi="Helvetica"/>
          <w:sz w:val="20"/>
          <w:szCs w:val="20"/>
        </w:rPr>
        <w:t xml:space="preserve">For most properties, three extra bookings in a year covers the cost of certification; every booking after that is positive return. The real investment is roughly 90 days of focused operational attention, most of it work a well-run hotel should be doing anyway. The result is a credential that a corporate buyer, a booking platform, and a regulator will all accept, and a three-year roadmap for improvement.</w:t>
      </w:r>
    </w:p>
    <w:p>
      <w:pPr>
        <w:spacing w:after="130" w:line="252"/>
      </w:pPr>
      <w:r>
        <w:rPr>
          <w:rFonts w:ascii="Helvetica" w:cs="Helvetica" w:eastAsia="Helvetica" w:hAnsi="Helvetica"/>
          <w:b/>
          <w:bCs/>
          <w:sz w:val="20"/>
          <w:szCs w:val="20"/>
        </w:rPr>
        <w:t xml:space="preserve">Next step: </w:t>
      </w:r>
      <w:r>
        <w:rPr>
          <w:rFonts w:ascii="Helvetica" w:cs="Helvetica" w:eastAsia="Helvetica" w:hAnsi="Helvetica"/>
          <w:sz w:val="20"/>
          <w:szCs w:val="20"/>
        </w:rPr>
        <w:t xml:space="preserve">confirm whether your brand or management group already holds a portfolio agreement, then enroll at greenkeyglobal.com or contact our Member Services team at info@greenkeyglobal.com. The full report, A Hotel's Roadmap to Eco-Rating Certification, contains the complete program detail.</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Helvetica" w:cs="Helvetica" w:eastAsia="Helvetica" w:hAnsi="Helvetica"/>
          <w:sz w:val="15"/>
          <w:szCs w:val="15"/>
        </w:rPr>
        <w:t xml:space="preserve">Expedia Group, Sustainable Travel Study (2022); Booking.com, Sustainable Travel Report (2021); GBTA Foundation, The State of Climate Action in Business Travel (2023).</w:t>
      </w:r>
    </w:p>
  </w:footnote>
  <w:footnote w:id="2">
    <w:p>
      <w:r>
        <w:rPr>
          <w:rStyle w:val="FootnoteReference"/>
        </w:rPr>
        <w:footnoteRef/>
      </w:r>
      <w:r>
        <w:rPr>
          <w:rFonts w:ascii="Helvetica" w:cs="Helvetica" w:eastAsia="Helvetica" w:hAnsi="Helvetica"/>
          <w:sz w:val="15"/>
          <w:szCs w:val="15"/>
        </w:rPr>
        <w:t xml:space="preserve">Alō Index, analysis of 5,082 assessed hotels, 2025 full year: certified hotels averaged 622 corporate room nights versus 202 for non-certified.</w:t>
      </w:r>
    </w:p>
  </w:footnote>
  <w:footnote w:id="3">
    <w:p>
      <w:r>
        <w:rPr>
          <w:rStyle w:val="FootnoteReference"/>
        </w:rPr>
        <w:footnoteRef/>
      </w:r>
      <w:r>
        <w:rPr>
          <w:rFonts w:ascii="Helvetica" w:cs="Helvetica" w:eastAsia="Helvetica" w:hAnsi="Helvetica"/>
          <w:sz w:val="15"/>
          <w:szCs w:val="15"/>
        </w:rPr>
        <w:t xml:space="preserve">Directive (EU) 2024/825 on Empowering Consumers for the Green Transition, in force 27 September 2026; WTTC, "WTTC Elevates Hotel Sustainability Basics to Independent Global Certification Scheme," 25 June 2026.</w:t>
      </w:r>
    </w:p>
  </w:footnote>
  <w:footnote w:id="4">
    <w:p>
      <w:r>
        <w:rPr>
          <w:rStyle w:val="FootnoteReference"/>
        </w:rPr>
        <w:footnoteRef/>
      </w:r>
      <w:r>
        <w:rPr>
          <w:rFonts w:ascii="Helvetica" w:cs="Helvetica" w:eastAsia="Helvetica" w:hAnsi="Helvetica"/>
          <w:sz w:val="15"/>
          <w:szCs w:val="15"/>
        </w:rPr>
        <w:t xml:space="preserve">JLL, "Greener returns: A framework for operationalizing sustainability in existing hotel assets," 18 November 2025.</w:t>
      </w:r>
    </w:p>
  </w:footnote>
  <w:footnote w:id="5">
    <w:p>
      <w:r>
        <w:rPr>
          <w:rStyle w:val="FootnoteReference"/>
        </w:rPr>
        <w:footnoteRef/>
      </w:r>
      <w:r>
        <w:rPr>
          <w:rFonts w:ascii="Helvetica" w:cs="Helvetica" w:eastAsia="Helvetica" w:hAnsi="Helvetica"/>
          <w:sz w:val="15"/>
          <w:szCs w:val="15"/>
        </w:rPr>
        <w:t xml:space="preserve">United Nations, Transforming Our World: the 2030 Agenda for Sustainable Development (2015); Global Sustainable Tourism Council, gstc.org; Travalyst, travalyst.org/industry.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2026-07-18T17:26:33.686Z</dcterms:created>
  <dcterms:modified xsi:type="dcterms:W3CDTF">2026-07-18T17:26:33.700Z</dcterms:modified>
</cp:coreProperties>
</file>

<file path=docProps/custom.xml><?xml version="1.0" encoding="utf-8"?>
<Properties xmlns="http://schemas.openxmlformats.org/officeDocument/2006/custom-properties" xmlns:vt="http://schemas.openxmlformats.org/officeDocument/2006/docPropsVTypes"/>
</file>