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Montserrat" w:cs="Montserrat" w:eastAsia="Montserrat" w:hAnsi="Montserrat"/>
          <w:b/>
          <w:bCs/>
          <w:color w:val="196B24"/>
          <w:spacing w:val="40"/>
          <w:sz w:val="18"/>
          <w:szCs w:val="18"/>
        </w:rPr>
        <w:t xml:space="preserve">GREEN KEY GLOBAL  |  SALES ENABLEMENT</w:t>
      </w:r>
    </w:p>
    <w:p>
      <w:pPr>
        <w:spacing w:after="60"/>
      </w:pPr>
      <w:r>
        <w:rPr>
          <w:rFonts w:ascii="Montserrat" w:cs="Montserrat" w:eastAsia="Montserrat" w:hAnsi="Montserrat"/>
          <w:b/>
          <w:bCs/>
          <w:color w:val="14402A"/>
          <w:sz w:val="34"/>
          <w:szCs w:val="34"/>
        </w:rPr>
        <w:t xml:space="preserve">Talk Track, Discovery Guide &amp; Objection Handling</w:t>
      </w:r>
    </w:p>
    <w:p>
      <w:pPr>
        <w:spacing w:after="240"/>
      </w:pPr>
      <w:r>
        <w:rPr>
          <w:rFonts w:ascii="Helvetica" w:cs="Helvetica" w:eastAsia="Helvetica" w:hAnsi="Helvetica"/>
          <w:i/>
          <w:iCs/>
          <w:color w:val="595959"/>
          <w:sz w:val="19"/>
          <w:szCs w:val="19"/>
        </w:rPr>
        <w:t xml:space="preserve">Companion to the Eco-Rating Prospect Deck (19 slides). For internal use. July 2026.</w:t>
      </w:r>
    </w:p>
    <w:p>
      <w:pPr>
        <w:pStyle w:val="Heading1"/>
        <w:spacing w:after="180" w:before="340"/>
      </w:pPr>
      <w:r>
        <w:rPr>
          <w:rFonts w:ascii="Montserrat" w:cs="Montserrat" w:eastAsia="Montserrat" w:hAnsi="Montserrat"/>
          <w:b/>
          <w:bCs/>
          <w:color w:val="14402A"/>
          <w:sz w:val="29"/>
          <w:szCs w:val="29"/>
        </w:rPr>
        <w:t xml:space="preserve">How to Use This Guide</w:t>
      </w:r>
    </w:p>
    <w:p>
      <w:pPr>
        <w:spacing w:after="140" w:line="258"/>
      </w:pPr>
      <w:r>
        <w:rPr>
          <w:rFonts w:ascii="Helvetica" w:cs="Helvetica" w:eastAsia="Helvetica" w:hAnsi="Helvetica"/>
          <w:sz w:val="21"/>
          <w:szCs w:val="21"/>
        </w:rPr>
        <w:t xml:space="preserve">The deck runs about 20 minutes at full length. For a 5-minute conversation, use slides 1, 2, 6, 11, 14, and 19 only; the talk track for those slides stands alone. Lead with discovery before presenting: the more you know about their portfolio, the more the deck becomes a conversation about them rather than a presentation about us. Every statistic you will say out loud is listed with its source in the cheat sheet at the back, so you can attribute it confidently if challenged.</w:t>
      </w:r>
    </w:p>
    <w:p>
      <w:pPr>
        <w:pStyle w:val="Heading1"/>
        <w:spacing w:after="180" w:before="340"/>
      </w:pPr>
      <w:r>
        <w:rPr>
          <w:rFonts w:ascii="Montserrat" w:cs="Montserrat" w:eastAsia="Montserrat" w:hAnsi="Montserrat"/>
          <w:b/>
          <w:bCs/>
          <w:color w:val="14402A"/>
          <w:sz w:val="29"/>
          <w:szCs w:val="29"/>
        </w:rPr>
        <w:t xml:space="preserve">Before the Meeting: Discovery Questions</w:t>
      </w:r>
    </w:p>
    <w:p>
      <w:pPr>
        <w:spacing w:after="140" w:line="258"/>
      </w:pPr>
      <w:r>
        <w:rPr>
          <w:rFonts w:ascii="Helvetica" w:cs="Helvetica" w:eastAsia="Helvetica" w:hAnsi="Helvetica"/>
          <w:sz w:val="21"/>
          <w:szCs w:val="21"/>
        </w:rPr>
        <w:t xml:space="preserve">Use these in the scheduling call or the first ten minutes. You are listening for four things: portfolio composition, commercial pressure, existing sustainability activity, and the decision path.</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6460"/>
      </w:tblGrid>
      <w:tr>
        <w:trPr>
          <w:tblHeader/>
        </w:trPr>
        <w:tc>
          <w:tcPr>
            <w:tcW w:type="dxa" w:w="2900"/>
            <w:shd w:fill="196B24" w:val="clear"/>
            <w:tcMar>
              <w:top w:type="dxa" w:w="80"/>
              <w:left w:type="dxa" w:w="110"/>
              <w:bottom w:type="dxa" w:w="80"/>
              <w:right w:type="dxa" w:w="110"/>
            </w:tcMar>
            <w:vAlign w:val="center"/>
          </w:tcPr>
          <w:p>
            <w:r>
              <w:rPr>
                <w:rFonts w:ascii="Helvetica" w:cs="Helvetica" w:eastAsia="Helvetica" w:hAnsi="Helvetica"/>
                <w:b/>
                <w:bCs/>
                <w:color w:val="FFFFFF"/>
                <w:sz w:val="19"/>
                <w:szCs w:val="19"/>
              </w:rPr>
              <w:t xml:space="preserve">Area</w:t>
            </w:r>
          </w:p>
        </w:tc>
        <w:tc>
          <w:tcPr>
            <w:tcW w:type="dxa" w:w="6460"/>
            <w:shd w:fill="196B24" w:val="clear"/>
            <w:tcMar>
              <w:top w:type="dxa" w:w="80"/>
              <w:left w:type="dxa" w:w="110"/>
              <w:bottom w:type="dxa" w:w="80"/>
              <w:right w:type="dxa" w:w="110"/>
            </w:tcMar>
            <w:vAlign w:val="center"/>
          </w:tcPr>
          <w:p>
            <w:r>
              <w:rPr>
                <w:rFonts w:ascii="Helvetica" w:cs="Helvetica" w:eastAsia="Helvetica" w:hAnsi="Helvetica"/>
                <w:b/>
                <w:bCs/>
                <w:color w:val="FFFFFF"/>
                <w:sz w:val="19"/>
                <w:szCs w:val="19"/>
              </w:rPr>
              <w:t xml:space="preserve">Questions</w:t>
            </w:r>
          </w:p>
        </w:tc>
      </w:tr>
      <w:tr>
        <w:trPr>
          <w:tblHeader w:val="false"/>
        </w:trPr>
        <w:tc>
          <w:tcPr>
            <w:tcW w:type="dxa" w:w="2900"/>
            <w:tcMar>
              <w:top w:type="dxa" w:w="80"/>
              <w:left w:type="dxa" w:w="110"/>
              <w:bottom w:type="dxa" w:w="80"/>
              <w:right w:type="dxa" w:w="110"/>
            </w:tcMar>
            <w:vAlign w:val="center"/>
          </w:tcPr>
          <w:p>
            <w:r>
              <w:rPr>
                <w:rFonts w:ascii="Helvetica" w:cs="Helvetica" w:eastAsia="Helvetica" w:hAnsi="Helvetica"/>
                <w:color w:val="000000"/>
                <w:sz w:val="19"/>
                <w:szCs w:val="19"/>
              </w:rPr>
              <w:t xml:space="preserve">Portfolio</w:t>
            </w:r>
          </w:p>
        </w:tc>
        <w:tc>
          <w:tcPr>
            <w:tcW w:type="dxa" w:w="6460"/>
            <w:tcMar>
              <w:top w:type="dxa" w:w="80"/>
              <w:left w:type="dxa" w:w="110"/>
              <w:bottom w:type="dxa" w:w="80"/>
              <w:right w:type="dxa" w:w="110"/>
            </w:tcMar>
            <w:vAlign w:val="center"/>
          </w:tcPr>
          <w:p>
            <w:r>
              <w:rPr>
                <w:rFonts w:ascii="Helvetica" w:cs="Helvetica" w:eastAsia="Helvetica" w:hAnsi="Helvetica"/>
                <w:color w:val="000000"/>
                <w:sz w:val="19"/>
                <w:szCs w:val="19"/>
              </w:rPr>
              <w:t xml:space="preserve">How many properties, across which flags and segments? Which are full-service versus select-service? Any recent acquisitions or PIPs in flight?</w:t>
            </w:r>
          </w:p>
        </w:tc>
      </w:tr>
      <w:tr>
        <w:trPr>
          <w:tblHeader w:val="false"/>
        </w:trPr>
        <w:tc>
          <w:tcPr>
            <w:tcW w:type="dxa" w:w="290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Commercial pressure</w:t>
            </w:r>
          </w:p>
        </w:tc>
        <w:tc>
          <w:tcPr>
            <w:tcW w:type="dxa" w:w="646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How much of your business is corporate or group? Are you seeing sustainability questions in RFPs? Any brands in the portfolio adding certification to standards? What are the OTAs asking for?</w:t>
            </w:r>
          </w:p>
        </w:tc>
      </w:tr>
      <w:tr>
        <w:trPr>
          <w:tblHeader w:val="false"/>
        </w:trPr>
        <w:tc>
          <w:tcPr>
            <w:tcW w:type="dxa" w:w="2900"/>
            <w:tcMar>
              <w:top w:type="dxa" w:w="80"/>
              <w:left w:type="dxa" w:w="110"/>
              <w:bottom w:type="dxa" w:w="80"/>
              <w:right w:type="dxa" w:w="110"/>
            </w:tcMar>
            <w:vAlign w:val="center"/>
          </w:tcPr>
          <w:p>
            <w:r>
              <w:rPr>
                <w:rFonts w:ascii="Helvetica" w:cs="Helvetica" w:eastAsia="Helvetica" w:hAnsi="Helvetica"/>
                <w:color w:val="000000"/>
                <w:sz w:val="19"/>
                <w:szCs w:val="19"/>
              </w:rPr>
              <w:t xml:space="preserve">Current activity</w:t>
            </w:r>
          </w:p>
        </w:tc>
        <w:tc>
          <w:tcPr>
            <w:tcW w:type="dxa" w:w="6460"/>
            <w:tcMar>
              <w:top w:type="dxa" w:w="80"/>
              <w:left w:type="dxa" w:w="110"/>
              <w:bottom w:type="dxa" w:w="80"/>
              <w:right w:type="dxa" w:w="110"/>
            </w:tcMar>
            <w:vAlign w:val="center"/>
          </w:tcPr>
          <w:p>
            <w:r>
              <w:rPr>
                <w:rFonts w:ascii="Helvetica" w:cs="Helvetica" w:eastAsia="Helvetica" w:hAnsi="Helvetica"/>
                <w:color w:val="000000"/>
                <w:sz w:val="19"/>
                <w:szCs w:val="19"/>
              </w:rPr>
              <w:t xml:space="preserve">Does anyone hold a sustainability certification today? Any brand programs in use (for example Marriott SPROUT, Responsible Stay activity)? Who tracks utilities today, and how?</w:t>
            </w:r>
          </w:p>
        </w:tc>
      </w:tr>
      <w:tr>
        <w:trPr>
          <w:tblHeader w:val="false"/>
        </w:trPr>
        <w:tc>
          <w:tcPr>
            <w:tcW w:type="dxa" w:w="290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Owners and reporting</w:t>
            </w:r>
          </w:p>
        </w:tc>
        <w:tc>
          <w:tcPr>
            <w:tcW w:type="dxa" w:w="646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Are owners or lenders asking about ESG? Any properties in jurisdictions with building performance or reporting rules?</w:t>
            </w:r>
          </w:p>
        </w:tc>
      </w:tr>
      <w:tr>
        <w:trPr>
          <w:tblHeader w:val="false"/>
        </w:trPr>
        <w:tc>
          <w:tcPr>
            <w:tcW w:type="dxa" w:w="2900"/>
            <w:tcMar>
              <w:top w:type="dxa" w:w="80"/>
              <w:left w:type="dxa" w:w="110"/>
              <w:bottom w:type="dxa" w:w="80"/>
              <w:right w:type="dxa" w:w="110"/>
            </w:tcMar>
            <w:vAlign w:val="center"/>
          </w:tcPr>
          <w:p>
            <w:r>
              <w:rPr>
                <w:rFonts w:ascii="Helvetica" w:cs="Helvetica" w:eastAsia="Helvetica" w:hAnsi="Helvetica"/>
                <w:color w:val="000000"/>
                <w:sz w:val="19"/>
                <w:szCs w:val="19"/>
              </w:rPr>
              <w:t xml:space="preserve">Decision path</w:t>
            </w:r>
          </w:p>
        </w:tc>
        <w:tc>
          <w:tcPr>
            <w:tcW w:type="dxa" w:w="6460"/>
            <w:tcMar>
              <w:top w:type="dxa" w:w="80"/>
              <w:left w:type="dxa" w:w="110"/>
              <w:bottom w:type="dxa" w:w="80"/>
              <w:right w:type="dxa" w:w="110"/>
            </w:tcMar>
            <w:vAlign w:val="center"/>
          </w:tcPr>
          <w:p>
            <w:r>
              <w:rPr>
                <w:rFonts w:ascii="Helvetica" w:cs="Helvetica" w:eastAsia="Helvetica" w:hAnsi="Helvetica"/>
                <w:color w:val="000000"/>
                <w:sz w:val="19"/>
                <w:szCs w:val="19"/>
              </w:rPr>
              <w:t xml:space="preserve">Who decides on a portfolio-level program: you, an ops committee, ownership? What would a successful pilot look like, and by when?</w:t>
            </w:r>
          </w:p>
        </w:tc>
      </w:tr>
    </w:tbl>
    <w:p>
      <w:pPr>
        <w:spacing w:after="160"/>
      </w:pPr>
    </w:p>
    <w:p>
      <w:pPr>
        <w:spacing w:after="140" w:line="258"/>
      </w:pPr>
      <w:r>
        <w:rPr>
          <w:rFonts w:ascii="Helvetica" w:cs="Helvetica" w:eastAsia="Helvetica" w:hAnsi="Helvetica"/>
          <w:b/>
          <w:bCs/>
          <w:sz w:val="21"/>
          <w:szCs w:val="21"/>
        </w:rPr>
        <w:t xml:space="preserve">Qualifying signal: </w:t>
      </w:r>
      <w:r>
        <w:rPr>
          <w:rFonts w:ascii="Helvetica" w:cs="Helvetica" w:eastAsia="Helvetica" w:hAnsi="Helvetica"/>
          <w:sz w:val="21"/>
          <w:szCs w:val="21"/>
        </w:rPr>
        <w:t xml:space="preserve">if they mention corporate RFP losses, brand mandates, or owner ESG questions, note it. That exact phrase becomes your opening line on slide 2.</w:t>
      </w:r>
    </w:p>
    <w:p>
      <w:pPr>
        <w:pStyle w:val="Heading1"/>
        <w:spacing w:after="180" w:before="340"/>
      </w:pPr>
      <w:r>
        <w:rPr>
          <w:rFonts w:ascii="Montserrat" w:cs="Montserrat" w:eastAsia="Montserrat" w:hAnsi="Montserrat"/>
          <w:b/>
          <w:bCs/>
          <w:color w:val="14402A"/>
          <w:sz w:val="29"/>
          <w:szCs w:val="29"/>
        </w:rPr>
        <w:t xml:space="preserve">The Talk Track</w:t>
      </w:r>
    </w:p>
    <w:p>
      <w:pPr>
        <w:spacing w:after="60" w:before="200"/>
      </w:pPr>
      <w:r>
        <w:rPr>
          <w:rFonts w:ascii="Montserrat" w:cs="Montserrat" w:eastAsia="Montserrat" w:hAnsi="Montserrat"/>
          <w:b/>
          <w:bCs/>
          <w:color w:val="196B24"/>
          <w:sz w:val="21"/>
          <w:szCs w:val="21"/>
        </w:rPr>
        <w:t xml:space="preserve">Slide 1: </w:t>
      </w:r>
      <w:r>
        <w:rPr>
          <w:rFonts w:ascii="Montserrat" w:cs="Montserrat" w:eastAsia="Montserrat" w:hAnsi="Montserrat"/>
          <w:b/>
          <w:bCs/>
          <w:color w:val="14402A"/>
          <w:sz w:val="21"/>
          <w:szCs w:val="21"/>
        </w:rPr>
        <w:t xml:space="preserve">Title</w:t>
      </w:r>
    </w:p>
    <w:p>
      <w:pPr>
        <w:spacing w:after="140" w:line="258"/>
      </w:pPr>
      <w:r>
        <w:rPr>
          <w:rFonts w:ascii="Helvetica" w:cs="Helvetica" w:eastAsia="Helvetica" w:hAnsi="Helvetica"/>
          <w:b/>
          <w:bCs/>
          <w:sz w:val="21"/>
          <w:szCs w:val="21"/>
        </w:rPr>
        <w:t xml:space="preserve">Say: </w:t>
      </w:r>
      <w:r>
        <w:rPr>
          <w:rFonts w:ascii="Helvetica" w:cs="Helvetica" w:eastAsia="Helvetica" w:hAnsi="Helvetica"/>
          <w:sz w:val="21"/>
          <w:szCs w:val="21"/>
        </w:rPr>
        <w:t xml:space="preserve">Thanks for the time. In the next twenty minutes I want to show you why more than three thousand properties carry this certification, what it is doing for their corporate business, and what a portfolio-level partnership would look like for you.</w:t>
      </w:r>
    </w:p>
    <w:p>
      <w:pPr>
        <w:spacing w:after="140" w:line="258"/>
      </w:pPr>
      <w:r>
        <w:rPr>
          <w:rFonts w:ascii="Helvetica" w:cs="Helvetica" w:eastAsia="Helvetica" w:hAnsi="Helvetica"/>
          <w:b/>
          <w:bCs/>
          <w:color w:val="595959"/>
          <w:sz w:val="21"/>
          <w:szCs w:val="21"/>
        </w:rPr>
        <w:t xml:space="preserve">Bridge: </w:t>
      </w:r>
      <w:r>
        <w:rPr>
          <w:rFonts w:ascii="Helvetica" w:cs="Helvetica" w:eastAsia="Helvetica" w:hAnsi="Helvetica"/>
          <w:i/>
          <w:iCs/>
          <w:color w:val="595959"/>
          <w:sz w:val="21"/>
          <w:szCs w:val="21"/>
        </w:rPr>
        <w:t xml:space="preserve">Let me start with something you are probably already seeing.</w:t>
      </w:r>
    </w:p>
    <w:p>
      <w:pPr>
        <w:spacing w:after="60" w:before="200"/>
      </w:pPr>
      <w:r>
        <w:rPr>
          <w:rFonts w:ascii="Montserrat" w:cs="Montserrat" w:eastAsia="Montserrat" w:hAnsi="Montserrat"/>
          <w:b/>
          <w:bCs/>
          <w:color w:val="196B24"/>
          <w:sz w:val="21"/>
          <w:szCs w:val="21"/>
        </w:rPr>
        <w:t xml:space="preserve">Slide 2: </w:t>
      </w:r>
      <w:r>
        <w:rPr>
          <w:rFonts w:ascii="Montserrat" w:cs="Montserrat" w:eastAsia="Montserrat" w:hAnsi="Montserrat"/>
          <w:b/>
          <w:bCs/>
          <w:color w:val="14402A"/>
          <w:sz w:val="21"/>
          <w:szCs w:val="21"/>
        </w:rPr>
        <w:t xml:space="preserve">The Starting Point</w:t>
      </w:r>
    </w:p>
    <w:p>
      <w:pPr>
        <w:spacing w:after="140" w:line="258"/>
      </w:pPr>
      <w:r>
        <w:rPr>
          <w:rFonts w:ascii="Helvetica" w:cs="Helvetica" w:eastAsia="Helvetica" w:hAnsi="Helvetica"/>
          <w:b/>
          <w:bCs/>
          <w:sz w:val="21"/>
          <w:szCs w:val="21"/>
        </w:rPr>
        <w:t xml:space="preserve">Say: </w:t>
      </w:r>
      <w:r>
        <w:rPr>
          <w:rFonts w:ascii="Helvetica" w:cs="Helvetica" w:eastAsia="Helvetica" w:hAnsi="Helvetica"/>
          <w:sz w:val="21"/>
          <w:szCs w:val="21"/>
        </w:rPr>
        <w:t xml:space="preserve">Every hotel gets asked the same question now, it just arrives in different envelopes: a travel buyer's RFP, an OTA verification request, a brand standard, or an owner staring at the utility line. Underneath, it is one question: can this hotel prove, credibly, how it operates? [If discovery surfaced a specific pressure, name it here: 'You mentioned the RFP you lost last quarter; that is this first card.']</w:t>
      </w:r>
    </w:p>
    <w:p>
      <w:pPr>
        <w:spacing w:after="140" w:line="258"/>
      </w:pPr>
      <w:r>
        <w:rPr>
          <w:rFonts w:ascii="Helvetica" w:cs="Helvetica" w:eastAsia="Helvetica" w:hAnsi="Helvetica"/>
          <w:b/>
          <w:bCs/>
          <w:color w:val="595959"/>
          <w:sz w:val="21"/>
          <w:szCs w:val="21"/>
        </w:rPr>
        <w:t xml:space="preserve">Bridge: </w:t>
      </w:r>
      <w:r>
        <w:rPr>
          <w:rFonts w:ascii="Helvetica" w:cs="Helvetica" w:eastAsia="Helvetica" w:hAnsi="Helvetica"/>
          <w:i/>
          <w:iCs/>
          <w:color w:val="595959"/>
          <w:sz w:val="21"/>
          <w:szCs w:val="21"/>
        </w:rPr>
        <w:t xml:space="preserve">Here is who we are and why we are the answer to that question.</w:t>
      </w:r>
    </w:p>
    <w:p>
      <w:pPr>
        <w:spacing w:after="60" w:before="200"/>
      </w:pPr>
      <w:r>
        <w:rPr>
          <w:rFonts w:ascii="Montserrat" w:cs="Montserrat" w:eastAsia="Montserrat" w:hAnsi="Montserrat"/>
          <w:b/>
          <w:bCs/>
          <w:color w:val="196B24"/>
          <w:sz w:val="21"/>
          <w:szCs w:val="21"/>
        </w:rPr>
        <w:t xml:space="preserve">Slide 3: </w:t>
      </w:r>
      <w:r>
        <w:rPr>
          <w:rFonts w:ascii="Montserrat" w:cs="Montserrat" w:eastAsia="Montserrat" w:hAnsi="Montserrat"/>
          <w:b/>
          <w:bCs/>
          <w:color w:val="14402A"/>
          <w:sz w:val="21"/>
          <w:szCs w:val="21"/>
        </w:rPr>
        <w:t xml:space="preserve">Divider: Why Green Key</w:t>
      </w:r>
    </w:p>
    <w:p>
      <w:pPr>
        <w:spacing w:after="140" w:line="258"/>
      </w:pPr>
      <w:r>
        <w:rPr>
          <w:rFonts w:ascii="Helvetica" w:cs="Helvetica" w:eastAsia="Helvetica" w:hAnsi="Helvetica"/>
          <w:b/>
          <w:bCs/>
          <w:sz w:val="21"/>
          <w:szCs w:val="21"/>
        </w:rPr>
        <w:t xml:space="preserve">Say: </w:t>
      </w:r>
      <w:r>
        <w:rPr>
          <w:rFonts w:ascii="Helvetica" w:cs="Helvetica" w:eastAsia="Helvetica" w:hAnsi="Helvetica"/>
          <w:sz w:val="21"/>
          <w:szCs w:val="21"/>
        </w:rPr>
        <w:t xml:space="preserve">Three things in this section: who built this, what the demand looks like, and the newest commercial evidence.</w:t>
      </w:r>
    </w:p>
    <w:p>
      <w:pPr>
        <w:spacing w:after="60" w:before="200"/>
      </w:pPr>
      <w:r>
        <w:rPr>
          <w:rFonts w:ascii="Montserrat" w:cs="Montserrat" w:eastAsia="Montserrat" w:hAnsi="Montserrat"/>
          <w:b/>
          <w:bCs/>
          <w:color w:val="196B24"/>
          <w:sz w:val="21"/>
          <w:szCs w:val="21"/>
        </w:rPr>
        <w:t xml:space="preserve">Slide 4: </w:t>
      </w:r>
      <w:r>
        <w:rPr>
          <w:rFonts w:ascii="Montserrat" w:cs="Montserrat" w:eastAsia="Montserrat" w:hAnsi="Montserrat"/>
          <w:b/>
          <w:bCs/>
          <w:color w:val="14402A"/>
          <w:sz w:val="21"/>
          <w:szCs w:val="21"/>
        </w:rPr>
        <w:t xml:space="preserve">Who We Are</w:t>
      </w:r>
    </w:p>
    <w:p>
      <w:pPr>
        <w:spacing w:after="140" w:line="258"/>
      </w:pPr>
      <w:r>
        <w:rPr>
          <w:rFonts w:ascii="Helvetica" w:cs="Helvetica" w:eastAsia="Helvetica" w:hAnsi="Helvetica"/>
          <w:b/>
          <w:bCs/>
          <w:sz w:val="21"/>
          <w:szCs w:val="21"/>
        </w:rPr>
        <w:t xml:space="preserve">Say: </w:t>
      </w:r>
      <w:r>
        <w:rPr>
          <w:rFonts w:ascii="Helvetica" w:cs="Helvetica" w:eastAsia="Helvetica" w:hAnsi="Helvetica"/>
          <w:sz w:val="21"/>
          <w:szCs w:val="21"/>
        </w:rPr>
        <w:t xml:space="preserve">Green Key started in 1993 inside the Hotel Association of Canada, and since 2024 we are jointly owned by AHLA and Hotels Canada. Two design decisions matter for you: we certify operations, not construction, so a 1970s roadside asset competes on the same terms as a new build; and no capital spend is required to certify. We score what a property already does.</w:t>
      </w:r>
    </w:p>
    <w:p>
      <w:pPr>
        <w:spacing w:after="140" w:line="258"/>
      </w:pPr>
      <w:r>
        <w:rPr>
          <w:rFonts w:ascii="Helvetica" w:cs="Helvetica" w:eastAsia="Helvetica" w:hAnsi="Helvetica"/>
          <w:b/>
          <w:bCs/>
          <w:color w:val="595959"/>
          <w:sz w:val="21"/>
          <w:szCs w:val="21"/>
        </w:rPr>
        <w:t xml:space="preserve">Bridge: </w:t>
      </w:r>
      <w:r>
        <w:rPr>
          <w:rFonts w:ascii="Helvetica" w:cs="Helvetica" w:eastAsia="Helvetica" w:hAnsi="Helvetica"/>
          <w:i/>
          <w:iCs/>
          <w:color w:val="595959"/>
          <w:sz w:val="21"/>
          <w:szCs w:val="21"/>
        </w:rPr>
        <w:t xml:space="preserve">So who is actually asking for this?</w:t>
      </w:r>
    </w:p>
    <w:p>
      <w:pPr>
        <w:spacing w:after="60" w:before="200"/>
      </w:pPr>
      <w:r>
        <w:rPr>
          <w:rFonts w:ascii="Montserrat" w:cs="Montserrat" w:eastAsia="Montserrat" w:hAnsi="Montserrat"/>
          <w:b/>
          <w:bCs/>
          <w:color w:val="196B24"/>
          <w:sz w:val="21"/>
          <w:szCs w:val="21"/>
        </w:rPr>
        <w:t xml:space="preserve">Slide 5: </w:t>
      </w:r>
      <w:r>
        <w:rPr>
          <w:rFonts w:ascii="Montserrat" w:cs="Montserrat" w:eastAsia="Montserrat" w:hAnsi="Montserrat"/>
          <w:b/>
          <w:bCs/>
          <w:color w:val="14402A"/>
          <w:sz w:val="21"/>
          <w:szCs w:val="21"/>
        </w:rPr>
        <w:t xml:space="preserve">The Demand</w:t>
      </w:r>
    </w:p>
    <w:p>
      <w:pPr>
        <w:spacing w:after="140" w:line="258"/>
      </w:pPr>
      <w:r>
        <w:rPr>
          <w:rFonts w:ascii="Helvetica" w:cs="Helvetica" w:eastAsia="Helvetica" w:hAnsi="Helvetica"/>
          <w:b/>
          <w:bCs/>
          <w:sz w:val="21"/>
          <w:szCs w:val="21"/>
        </w:rPr>
        <w:t xml:space="preserve">Say: </w:t>
      </w:r>
      <w:r>
        <w:rPr>
          <w:rFonts w:ascii="Helvetica" w:cs="Helvetica" w:eastAsia="Helvetica" w:hAnsi="Helvetica"/>
          <w:sz w:val="21"/>
          <w:szCs w:val="21"/>
        </w:rPr>
        <w:t xml:space="preserve">These are not our numbers; they are Expedia, Booking.com, and the GBTA Foundation. Ninety percent of consumers look for sustainable options. Seventy-six percent of travel buyers are writing sustainability clauses into supplier contracts. On property, that translates to RFP eligibility and OTA badges.</w:t>
      </w:r>
    </w:p>
    <w:p>
      <w:pPr>
        <w:spacing w:after="140" w:line="258"/>
      </w:pPr>
      <w:r>
        <w:rPr>
          <w:rFonts w:ascii="Helvetica" w:cs="Helvetica" w:eastAsia="Helvetica" w:hAnsi="Helvetica"/>
          <w:b/>
          <w:bCs/>
          <w:color w:val="595959"/>
          <w:sz w:val="21"/>
          <w:szCs w:val="21"/>
        </w:rPr>
        <w:t xml:space="preserve">Bridge: </w:t>
      </w:r>
      <w:r>
        <w:rPr>
          <w:rFonts w:ascii="Helvetica" w:cs="Helvetica" w:eastAsia="Helvetica" w:hAnsi="Helvetica"/>
          <w:i/>
          <w:iCs/>
          <w:color w:val="595959"/>
          <w:sz w:val="21"/>
          <w:szCs w:val="21"/>
        </w:rPr>
        <w:t xml:space="preserve">And here is what happens to the hotels that answer yes.</w:t>
      </w:r>
    </w:p>
    <w:p>
      <w:pPr>
        <w:spacing w:after="60" w:before="200"/>
      </w:pPr>
      <w:r>
        <w:rPr>
          <w:rFonts w:ascii="Montserrat" w:cs="Montserrat" w:eastAsia="Montserrat" w:hAnsi="Montserrat"/>
          <w:b/>
          <w:bCs/>
          <w:color w:val="196B24"/>
          <w:sz w:val="21"/>
          <w:szCs w:val="21"/>
        </w:rPr>
        <w:t xml:space="preserve">Slide 6: </w:t>
      </w:r>
      <w:r>
        <w:rPr>
          <w:rFonts w:ascii="Montserrat" w:cs="Montserrat" w:eastAsia="Montserrat" w:hAnsi="Montserrat"/>
          <w:b/>
          <w:bCs/>
          <w:color w:val="14402A"/>
          <w:sz w:val="21"/>
          <w:szCs w:val="21"/>
        </w:rPr>
        <w:t xml:space="preserve">The Commercial Evidence</w:t>
      </w:r>
    </w:p>
    <w:p>
      <w:pPr>
        <w:spacing w:after="140" w:line="258"/>
      </w:pPr>
      <w:r>
        <w:rPr>
          <w:rFonts w:ascii="Helvetica" w:cs="Helvetica" w:eastAsia="Helvetica" w:hAnsi="Helvetica"/>
          <w:b/>
          <w:bCs/>
          <w:sz w:val="21"/>
          <w:szCs w:val="21"/>
        </w:rPr>
        <w:t xml:space="preserve">Say: </w:t>
      </w:r>
      <w:r>
        <w:rPr>
          <w:rFonts w:ascii="Helvetica" w:cs="Helvetica" w:eastAsia="Helvetica" w:hAnsi="Helvetica"/>
          <w:sz w:val="21"/>
          <w:szCs w:val="21"/>
        </w:rPr>
        <w:t xml:space="preserve">The Alō Index scores hotel sustainability for corporate travel programs. Across five thousand assessed hotels last year, certified properties averaged three times the corporate room nights of non-certified ones: 622 versus 202. Ninety-seven percent of certified hotels won corporate business, versus seventy percent of the rest. This is the slide to remember: certification is not a cost of doing business, it is a driver of it.</w:t>
      </w:r>
    </w:p>
    <w:p>
      <w:pPr>
        <w:spacing w:after="140" w:line="258"/>
      </w:pPr>
      <w:r>
        <w:rPr>
          <w:rFonts w:ascii="Helvetica" w:cs="Helvetica" w:eastAsia="Helvetica" w:hAnsi="Helvetica"/>
          <w:b/>
          <w:bCs/>
          <w:color w:val="595959"/>
          <w:sz w:val="21"/>
          <w:szCs w:val="21"/>
        </w:rPr>
        <w:t xml:space="preserve">Bridge: </w:t>
      </w:r>
      <w:r>
        <w:rPr>
          <w:rFonts w:ascii="Helvetica" w:cs="Helvetica" w:eastAsia="Helvetica" w:hAnsi="Helvetica"/>
          <w:i/>
          <w:iCs/>
          <w:color w:val="595959"/>
          <w:sz w:val="21"/>
          <w:szCs w:val="21"/>
        </w:rPr>
        <w:t xml:space="preserve">Credibility is what makes those numbers possible, so let me show you who stands behind the standard.</w:t>
      </w:r>
    </w:p>
    <w:p>
      <w:pPr>
        <w:spacing w:after="60" w:before="200"/>
      </w:pPr>
      <w:r>
        <w:rPr>
          <w:rFonts w:ascii="Montserrat" w:cs="Montserrat" w:eastAsia="Montserrat" w:hAnsi="Montserrat"/>
          <w:b/>
          <w:bCs/>
          <w:color w:val="196B24"/>
          <w:sz w:val="21"/>
          <w:szCs w:val="21"/>
        </w:rPr>
        <w:t xml:space="preserve">Slide 7: </w:t>
      </w:r>
      <w:r>
        <w:rPr>
          <w:rFonts w:ascii="Montserrat" w:cs="Montserrat" w:eastAsia="Montserrat" w:hAnsi="Montserrat"/>
          <w:b/>
          <w:bCs/>
          <w:color w:val="14402A"/>
          <w:sz w:val="21"/>
          <w:szCs w:val="21"/>
        </w:rPr>
        <w:t xml:space="preserve">A Recognized Standard</w:t>
      </w:r>
    </w:p>
    <w:p>
      <w:pPr>
        <w:spacing w:after="140" w:line="258"/>
      </w:pPr>
      <w:r>
        <w:rPr>
          <w:rFonts w:ascii="Helvetica" w:cs="Helvetica" w:eastAsia="Helvetica" w:hAnsi="Helvetica"/>
          <w:b/>
          <w:bCs/>
          <w:sz w:val="21"/>
          <w:szCs w:val="21"/>
        </w:rPr>
        <w:t xml:space="preserve">Say: </w:t>
      </w:r>
      <w:r>
        <w:rPr>
          <w:rFonts w:ascii="Helvetica" w:cs="Helvetica" w:eastAsia="Helvetica" w:hAnsi="Helvetica"/>
          <w:sz w:val="21"/>
          <w:szCs w:val="21"/>
        </w:rPr>
        <w:t xml:space="preserve">When a buyer or regulator asks 'says who,' these are the answers: aligned with all seventeen UN Sustainable Development Goals, GSTC-Recognized, recognized by Travalyst, the coalition behind the sustainability labels on major booking platforms, and structured around ISO 17065 with an architecture that already meets the EU green-claims directive taking force this September.</w:t>
      </w:r>
    </w:p>
    <w:p>
      <w:pPr>
        <w:spacing w:after="60" w:before="200"/>
      </w:pPr>
      <w:r>
        <w:rPr>
          <w:rFonts w:ascii="Montserrat" w:cs="Montserrat" w:eastAsia="Montserrat" w:hAnsi="Montserrat"/>
          <w:b/>
          <w:bCs/>
          <w:color w:val="196B24"/>
          <w:sz w:val="21"/>
          <w:szCs w:val="21"/>
        </w:rPr>
        <w:t xml:space="preserve">Slide 8: </w:t>
      </w:r>
      <w:r>
        <w:rPr>
          <w:rFonts w:ascii="Montserrat" w:cs="Montserrat" w:eastAsia="Montserrat" w:hAnsi="Montserrat"/>
          <w:b/>
          <w:bCs/>
          <w:color w:val="14402A"/>
          <w:sz w:val="21"/>
          <w:szCs w:val="21"/>
        </w:rPr>
        <w:t xml:space="preserve">The Trajectory</w:t>
      </w:r>
    </w:p>
    <w:p>
      <w:pPr>
        <w:spacing w:after="140" w:line="258"/>
      </w:pPr>
      <w:r>
        <w:rPr>
          <w:rFonts w:ascii="Helvetica" w:cs="Helvetica" w:eastAsia="Helvetica" w:hAnsi="Helvetica"/>
          <w:b/>
          <w:bCs/>
          <w:sz w:val="21"/>
          <w:szCs w:val="21"/>
        </w:rPr>
        <w:t xml:space="preserve">Say: </w:t>
      </w:r>
      <w:r>
        <w:rPr>
          <w:rFonts w:ascii="Helvetica" w:cs="Helvetica" w:eastAsia="Helvetica" w:hAnsi="Helvetica"/>
          <w:sz w:val="21"/>
          <w:szCs w:val="21"/>
        </w:rPr>
        <w:t xml:space="preserve">The whole industry is converging here. The WTTC is elevating its own global baseline into independent certification. The EU is regulating labels. JLL is telling owners the payoffs are already real. The only question for a portfolio is whether it arrives early, with the market benefit, or late, as a compliance cost.</w:t>
      </w:r>
    </w:p>
    <w:p>
      <w:pPr>
        <w:spacing w:after="140" w:line="258"/>
      </w:pPr>
      <w:r>
        <w:rPr>
          <w:rFonts w:ascii="Helvetica" w:cs="Helvetica" w:eastAsia="Helvetica" w:hAnsi="Helvetica"/>
          <w:b/>
          <w:bCs/>
          <w:color w:val="595959"/>
          <w:sz w:val="21"/>
          <w:szCs w:val="21"/>
        </w:rPr>
        <w:t xml:space="preserve">Bridge: </w:t>
      </w:r>
      <w:r>
        <w:rPr>
          <w:rFonts w:ascii="Helvetica" w:cs="Helvetica" w:eastAsia="Helvetica" w:hAnsi="Helvetica"/>
          <w:i/>
          <w:iCs/>
          <w:color w:val="595959"/>
          <w:sz w:val="21"/>
          <w:szCs w:val="21"/>
        </w:rPr>
        <w:t xml:space="preserve">So how does a property actually get certified?</w:t>
      </w:r>
    </w:p>
    <w:p>
      <w:pPr>
        <w:spacing w:after="60" w:before="200"/>
      </w:pPr>
      <w:r>
        <w:rPr>
          <w:rFonts w:ascii="Montserrat" w:cs="Montserrat" w:eastAsia="Montserrat" w:hAnsi="Montserrat"/>
          <w:b/>
          <w:bCs/>
          <w:color w:val="196B24"/>
          <w:sz w:val="21"/>
          <w:szCs w:val="21"/>
        </w:rPr>
        <w:t xml:space="preserve">Slide 9: </w:t>
      </w:r>
      <w:r>
        <w:rPr>
          <w:rFonts w:ascii="Montserrat" w:cs="Montserrat" w:eastAsia="Montserrat" w:hAnsi="Montserrat"/>
          <w:b/>
          <w:bCs/>
          <w:color w:val="14402A"/>
          <w:sz w:val="21"/>
          <w:szCs w:val="21"/>
        </w:rPr>
        <w:t xml:space="preserve">Divider: How Certification Works</w:t>
      </w:r>
    </w:p>
    <w:p>
      <w:pPr>
        <w:spacing w:after="140" w:line="258"/>
      </w:pPr>
      <w:r>
        <w:rPr>
          <w:rFonts w:ascii="Helvetica" w:cs="Helvetica" w:eastAsia="Helvetica" w:hAnsi="Helvetica"/>
          <w:b/>
          <w:bCs/>
          <w:sz w:val="21"/>
          <w:szCs w:val="21"/>
        </w:rPr>
        <w:t xml:space="preserve">Say: </w:t>
      </w:r>
      <w:r>
        <w:rPr>
          <w:rFonts w:ascii="Helvetica" w:cs="Helvetica" w:eastAsia="Helvetica" w:hAnsi="Helvetica"/>
          <w:sz w:val="21"/>
          <w:szCs w:val="21"/>
        </w:rPr>
        <w:t xml:space="preserve">Four things here: the assessment, the fast track, the audit, and the price.</w:t>
      </w:r>
    </w:p>
    <w:p>
      <w:pPr>
        <w:spacing w:after="60" w:before="200"/>
      </w:pPr>
      <w:r>
        <w:rPr>
          <w:rFonts w:ascii="Montserrat" w:cs="Montserrat" w:eastAsia="Montserrat" w:hAnsi="Montserrat"/>
          <w:b/>
          <w:bCs/>
          <w:color w:val="196B24"/>
          <w:sz w:val="21"/>
          <w:szCs w:val="21"/>
        </w:rPr>
        <w:t xml:space="preserve">Slide 10: </w:t>
      </w:r>
      <w:r>
        <w:rPr>
          <w:rFonts w:ascii="Montserrat" w:cs="Montserrat" w:eastAsia="Montserrat" w:hAnsi="Montserrat"/>
          <w:b/>
          <w:bCs/>
          <w:color w:val="14402A"/>
          <w:sz w:val="21"/>
          <w:szCs w:val="21"/>
        </w:rPr>
        <w:t xml:space="preserve">Inside the Assessment</w:t>
      </w:r>
    </w:p>
    <w:p>
      <w:pPr>
        <w:spacing w:after="140" w:line="258"/>
      </w:pPr>
      <w:r>
        <w:rPr>
          <w:rFonts w:ascii="Helvetica" w:cs="Helvetica" w:eastAsia="Helvetica" w:hAnsi="Helvetica"/>
          <w:b/>
          <w:bCs/>
          <w:sz w:val="21"/>
          <w:szCs w:val="21"/>
        </w:rPr>
        <w:t xml:space="preserve">Say: </w:t>
      </w:r>
      <w:r>
        <w:rPr>
          <w:rFonts w:ascii="Helvetica" w:cs="Helvetica" w:eastAsia="Helvetica" w:hAnsi="Helvetica"/>
          <w:sz w:val="21"/>
          <w:szCs w:val="21"/>
        </w:rPr>
        <w:t xml:space="preserve">Two hundred plus questions, but organized the way a hotel actually runs: corporate management, housekeeping, engineering, and optional F&amp;B and conference sections that rescale if they do not apply. Each section lands with the person who already owns the answers. No sustainability hire required.</w:t>
      </w:r>
    </w:p>
    <w:p>
      <w:pPr>
        <w:spacing w:after="60" w:before="200"/>
      </w:pPr>
      <w:r>
        <w:rPr>
          <w:rFonts w:ascii="Montserrat" w:cs="Montserrat" w:eastAsia="Montserrat" w:hAnsi="Montserrat"/>
          <w:b/>
          <w:bCs/>
          <w:color w:val="196B24"/>
          <w:sz w:val="21"/>
          <w:szCs w:val="21"/>
        </w:rPr>
        <w:t xml:space="preserve">Slide 11: </w:t>
      </w:r>
      <w:r>
        <w:rPr>
          <w:rFonts w:ascii="Montserrat" w:cs="Montserrat" w:eastAsia="Montserrat" w:hAnsi="Montserrat"/>
          <w:b/>
          <w:bCs/>
          <w:color w:val="14402A"/>
          <w:sz w:val="21"/>
          <w:szCs w:val="21"/>
        </w:rPr>
        <w:t xml:space="preserve">The 37 Core Criteria</w:t>
      </w:r>
    </w:p>
    <w:p>
      <w:pPr>
        <w:spacing w:after="140" w:line="258"/>
      </w:pPr>
      <w:r>
        <w:rPr>
          <w:rFonts w:ascii="Helvetica" w:cs="Helvetica" w:eastAsia="Helvetica" w:hAnsi="Helvetica"/>
          <w:b/>
          <w:bCs/>
          <w:sz w:val="21"/>
          <w:szCs w:val="21"/>
        </w:rPr>
        <w:t xml:space="preserve">Say: </w:t>
      </w:r>
      <w:r>
        <w:rPr>
          <w:rFonts w:ascii="Helvetica" w:cs="Helvetica" w:eastAsia="Helvetica" w:hAnsi="Helvetica"/>
          <w:sz w:val="21"/>
          <w:szCs w:val="21"/>
        </w:rPr>
        <w:t xml:space="preserve">This is the 2026 redesign. Thirty-seven mandatory questions earn a first Key: govern it, staff it, train it, measure it, prove it, with templates for every required document. Average completion fell from about eighty days to about eleven, and the focused work is four to six hours. Meeting the thirty-seven qualifies a property for audit.</w:t>
      </w:r>
    </w:p>
    <w:p>
      <w:pPr>
        <w:spacing w:after="140" w:line="258"/>
      </w:pPr>
      <w:r>
        <w:rPr>
          <w:rFonts w:ascii="Helvetica" w:cs="Helvetica" w:eastAsia="Helvetica" w:hAnsi="Helvetica"/>
          <w:b/>
          <w:bCs/>
          <w:color w:val="595959"/>
          <w:sz w:val="21"/>
          <w:szCs w:val="21"/>
        </w:rPr>
        <w:t xml:space="preserve">Bridge: </w:t>
      </w:r>
      <w:r>
        <w:rPr>
          <w:rFonts w:ascii="Helvetica" w:cs="Helvetica" w:eastAsia="Helvetica" w:hAnsi="Helvetica"/>
          <w:i/>
          <w:iCs/>
          <w:color w:val="595959"/>
          <w:sz w:val="21"/>
          <w:szCs w:val="21"/>
        </w:rPr>
        <w:t xml:space="preserve">The audit is what separates us from a pledge.</w:t>
      </w:r>
    </w:p>
    <w:p>
      <w:pPr>
        <w:spacing w:after="60" w:before="200"/>
      </w:pPr>
      <w:r>
        <w:rPr>
          <w:rFonts w:ascii="Montserrat" w:cs="Montserrat" w:eastAsia="Montserrat" w:hAnsi="Montserrat"/>
          <w:b/>
          <w:bCs/>
          <w:color w:val="196B24"/>
          <w:sz w:val="21"/>
          <w:szCs w:val="21"/>
        </w:rPr>
        <w:t xml:space="preserve">Slide 12: </w:t>
      </w:r>
      <w:r>
        <w:rPr>
          <w:rFonts w:ascii="Montserrat" w:cs="Montserrat" w:eastAsia="Montserrat" w:hAnsi="Montserrat"/>
          <w:b/>
          <w:bCs/>
          <w:color w:val="14402A"/>
          <w:sz w:val="21"/>
          <w:szCs w:val="21"/>
        </w:rPr>
        <w:t xml:space="preserve">How It Works</w:t>
      </w:r>
    </w:p>
    <w:p>
      <w:pPr>
        <w:spacing w:after="140" w:line="258"/>
      </w:pPr>
      <w:r>
        <w:rPr>
          <w:rFonts w:ascii="Helvetica" w:cs="Helvetica" w:eastAsia="Helvetica" w:hAnsi="Helvetica"/>
          <w:b/>
          <w:bCs/>
          <w:sz w:val="21"/>
          <w:szCs w:val="21"/>
        </w:rPr>
        <w:t xml:space="preserve">Say: </w:t>
      </w:r>
      <w:r>
        <w:rPr>
          <w:rFonts w:ascii="Helvetica" w:cs="Helvetica" w:eastAsia="Helvetica" w:hAnsi="Helvetica"/>
          <w:sz w:val="21"/>
          <w:szCs w:val="21"/>
        </w:rPr>
        <w:t xml:space="preserve">We set the standard but never audit our own members. Control Union, an independent global inspection firm, verifies the evidence, and an independent Certification Body makes the decision. That separation is required by ISO 17065, and it is exactly what buyers check.</w:t>
      </w:r>
    </w:p>
    <w:p>
      <w:pPr>
        <w:spacing w:after="60" w:before="200"/>
      </w:pPr>
      <w:r>
        <w:rPr>
          <w:rFonts w:ascii="Montserrat" w:cs="Montserrat" w:eastAsia="Montserrat" w:hAnsi="Montserrat"/>
          <w:b/>
          <w:bCs/>
          <w:color w:val="196B24"/>
          <w:sz w:val="21"/>
          <w:szCs w:val="21"/>
        </w:rPr>
        <w:t xml:space="preserve">Slide 13: </w:t>
      </w:r>
      <w:r>
        <w:rPr>
          <w:rFonts w:ascii="Montserrat" w:cs="Montserrat" w:eastAsia="Montserrat" w:hAnsi="Montserrat"/>
          <w:b/>
          <w:bCs/>
          <w:color w:val="14402A"/>
          <w:sz w:val="21"/>
          <w:szCs w:val="21"/>
        </w:rPr>
        <w:t xml:space="preserve">The Rating</w:t>
      </w:r>
    </w:p>
    <w:p>
      <w:pPr>
        <w:spacing w:after="140" w:line="258"/>
      </w:pPr>
      <w:r>
        <w:rPr>
          <w:rFonts w:ascii="Helvetica" w:cs="Helvetica" w:eastAsia="Helvetica" w:hAnsi="Helvetica"/>
          <w:b/>
          <w:bCs/>
          <w:sz w:val="21"/>
          <w:szCs w:val="21"/>
        </w:rPr>
        <w:t xml:space="preserve">Say: </w:t>
      </w:r>
      <w:r>
        <w:rPr>
          <w:rFonts w:ascii="Helvetica" w:cs="Helvetica" w:eastAsia="Helvetica" w:hAnsi="Helvetica"/>
          <w:sz w:val="21"/>
          <w:szCs w:val="21"/>
        </w:rPr>
        <w:t xml:space="preserve">One to five Keys, all full certification, valid three years. A first Key requires the Core Criteria; the Property Performance Report then shows exactly where the points for the next Key live. Economy assets certify honestly at one Key; a flagship can pursue four or five on the same scale.</w:t>
      </w:r>
    </w:p>
    <w:p>
      <w:pPr>
        <w:spacing w:after="60" w:before="200"/>
      </w:pPr>
      <w:r>
        <w:rPr>
          <w:rFonts w:ascii="Montserrat" w:cs="Montserrat" w:eastAsia="Montserrat" w:hAnsi="Montserrat"/>
          <w:b/>
          <w:bCs/>
          <w:color w:val="196B24"/>
          <w:sz w:val="21"/>
          <w:szCs w:val="21"/>
        </w:rPr>
        <w:t xml:space="preserve">Slide 14: </w:t>
      </w:r>
      <w:r>
        <w:rPr>
          <w:rFonts w:ascii="Montserrat" w:cs="Montserrat" w:eastAsia="Montserrat" w:hAnsi="Montserrat"/>
          <w:b/>
          <w:bCs/>
          <w:color w:val="14402A"/>
          <w:sz w:val="21"/>
          <w:szCs w:val="21"/>
        </w:rPr>
        <w:t xml:space="preserve">The Investment</w:t>
      </w:r>
    </w:p>
    <w:p>
      <w:pPr>
        <w:spacing w:after="140" w:line="258"/>
      </w:pPr>
      <w:r>
        <w:rPr>
          <w:rFonts w:ascii="Helvetica" w:cs="Helvetica" w:eastAsia="Helvetica" w:hAnsi="Helvetica"/>
          <w:b/>
          <w:bCs/>
          <w:sz w:val="21"/>
          <w:szCs w:val="21"/>
        </w:rPr>
        <w:t xml:space="preserve">Say: </w:t>
      </w:r>
      <w:r>
        <w:rPr>
          <w:rFonts w:ascii="Helvetica" w:cs="Helvetica" w:eastAsia="Helvetica" w:hAnsi="Helvetica"/>
          <w:sz w:val="21"/>
          <w:szCs w:val="21"/>
        </w:rPr>
        <w:t xml:space="preserve">Seven hundred fifty dollars a year for U.S. membership, five hundred for a virtual audit once per three-year cycle. Under eighty dollars a month all in. For most properties, three extra bookings in a year covers it. And this is list pricing, which brings me to the part built for you.</w:t>
      </w:r>
    </w:p>
    <w:p>
      <w:pPr>
        <w:spacing w:after="140" w:line="258"/>
      </w:pPr>
      <w:r>
        <w:rPr>
          <w:rFonts w:ascii="Helvetica" w:cs="Helvetica" w:eastAsia="Helvetica" w:hAnsi="Helvetica"/>
          <w:b/>
          <w:bCs/>
          <w:color w:val="595959"/>
          <w:sz w:val="21"/>
          <w:szCs w:val="21"/>
        </w:rPr>
        <w:t xml:space="preserve">Bridge: </w:t>
      </w:r>
      <w:r>
        <w:rPr>
          <w:rFonts w:ascii="Helvetica" w:cs="Helvetica" w:eastAsia="Helvetica" w:hAnsi="Helvetica"/>
          <w:i/>
          <w:iCs/>
          <w:color w:val="595959"/>
          <w:sz w:val="21"/>
          <w:szCs w:val="21"/>
        </w:rPr>
        <w:t xml:space="preserve">Because you would not enroll property by property.</w:t>
      </w:r>
    </w:p>
    <w:p>
      <w:pPr>
        <w:spacing w:after="60" w:before="200"/>
      </w:pPr>
      <w:r>
        <w:rPr>
          <w:rFonts w:ascii="Montserrat" w:cs="Montserrat" w:eastAsia="Montserrat" w:hAnsi="Montserrat"/>
          <w:b/>
          <w:bCs/>
          <w:color w:val="196B24"/>
          <w:sz w:val="21"/>
          <w:szCs w:val="21"/>
        </w:rPr>
        <w:t xml:space="preserve">Slide 15: </w:t>
      </w:r>
      <w:r>
        <w:rPr>
          <w:rFonts w:ascii="Montserrat" w:cs="Montserrat" w:eastAsia="Montserrat" w:hAnsi="Montserrat"/>
          <w:b/>
          <w:bCs/>
          <w:color w:val="14402A"/>
          <w:sz w:val="21"/>
          <w:szCs w:val="21"/>
        </w:rPr>
        <w:t xml:space="preserve">Divider: Partnering With Green Key</w:t>
      </w:r>
    </w:p>
    <w:p>
      <w:pPr>
        <w:spacing w:after="140" w:line="258"/>
      </w:pPr>
      <w:r>
        <w:rPr>
          <w:rFonts w:ascii="Helvetica" w:cs="Helvetica" w:eastAsia="Helvetica" w:hAnsi="Helvetica"/>
          <w:b/>
          <w:bCs/>
          <w:sz w:val="21"/>
          <w:szCs w:val="21"/>
        </w:rPr>
        <w:t xml:space="preserve">Say: </w:t>
      </w:r>
      <w:r>
        <w:rPr>
          <w:rFonts w:ascii="Helvetica" w:cs="Helvetica" w:eastAsia="Helvetica" w:hAnsi="Helvetica"/>
          <w:sz w:val="21"/>
          <w:szCs w:val="21"/>
        </w:rPr>
        <w:t xml:space="preserve">For a portfolio, this is structured as a partnership: a membership commitment in exchange for preferred pricing and dedicated support.</w:t>
      </w:r>
    </w:p>
    <w:p>
      <w:pPr>
        <w:spacing w:after="60" w:before="200"/>
      </w:pPr>
      <w:r>
        <w:rPr>
          <w:rFonts w:ascii="Montserrat" w:cs="Montserrat" w:eastAsia="Montserrat" w:hAnsi="Montserrat"/>
          <w:b/>
          <w:bCs/>
          <w:color w:val="196B24"/>
          <w:sz w:val="21"/>
          <w:szCs w:val="21"/>
        </w:rPr>
        <w:t xml:space="preserve">Slide 16: </w:t>
      </w:r>
      <w:r>
        <w:rPr>
          <w:rFonts w:ascii="Montserrat" w:cs="Montserrat" w:eastAsia="Montserrat" w:hAnsi="Montserrat"/>
          <w:b/>
          <w:bCs/>
          <w:color w:val="14402A"/>
          <w:sz w:val="21"/>
          <w:szCs w:val="21"/>
        </w:rPr>
        <w:t xml:space="preserve">The Portfolio Advantage</w:t>
      </w:r>
    </w:p>
    <w:p>
      <w:pPr>
        <w:spacing w:after="140" w:line="258"/>
      </w:pPr>
      <w:r>
        <w:rPr>
          <w:rFonts w:ascii="Helvetica" w:cs="Helvetica" w:eastAsia="Helvetica" w:hAnsi="Helvetica"/>
          <w:b/>
          <w:bCs/>
          <w:sz w:val="21"/>
          <w:szCs w:val="21"/>
        </w:rPr>
        <w:t xml:space="preserve">Say: </w:t>
      </w:r>
      <w:r>
        <w:rPr>
          <w:rFonts w:ascii="Helvetica" w:cs="Helvetica" w:eastAsia="Helvetica" w:hAnsi="Helvetica"/>
          <w:sz w:val="21"/>
          <w:szCs w:val="21"/>
        </w:rPr>
        <w:t xml:space="preserve">A formal agreement, an MSA for brands or an MOU for management companies, gets you discounted certification fees across the portfolio, a dedicated Account Manager from day one, a structured activation with a year-one plan and enrollment promo codes, a co-marketed launch, quarterly progress reporting, and fast-track credit where brand program equivalencies exist. [If their flags include Best Western or Marriott, say so: their properties may have simplified enrollment already waiting.]</w:t>
      </w:r>
    </w:p>
    <w:p>
      <w:pPr>
        <w:spacing w:after="60" w:before="200"/>
      </w:pPr>
      <w:r>
        <w:rPr>
          <w:rFonts w:ascii="Montserrat" w:cs="Montserrat" w:eastAsia="Montserrat" w:hAnsi="Montserrat"/>
          <w:b/>
          <w:bCs/>
          <w:color w:val="196B24"/>
          <w:sz w:val="21"/>
          <w:szCs w:val="21"/>
        </w:rPr>
        <w:t xml:space="preserve">Slide 17: </w:t>
      </w:r>
      <w:r>
        <w:rPr>
          <w:rFonts w:ascii="Montserrat" w:cs="Montserrat" w:eastAsia="Montserrat" w:hAnsi="Montserrat"/>
          <w:b/>
          <w:bCs/>
          <w:color w:val="14402A"/>
          <w:sz w:val="21"/>
          <w:szCs w:val="21"/>
        </w:rPr>
        <w:t xml:space="preserve">The Partnership Journey</w:t>
      </w:r>
    </w:p>
    <w:p>
      <w:pPr>
        <w:spacing w:after="140" w:line="258"/>
      </w:pPr>
      <w:r>
        <w:rPr>
          <w:rFonts w:ascii="Helvetica" w:cs="Helvetica" w:eastAsia="Helvetica" w:hAnsi="Helvetica"/>
          <w:b/>
          <w:bCs/>
          <w:sz w:val="21"/>
          <w:szCs w:val="21"/>
        </w:rPr>
        <w:t xml:space="preserve">Say: </w:t>
      </w:r>
      <w:r>
        <w:rPr>
          <w:rFonts w:ascii="Helvetica" w:cs="Helvetica" w:eastAsia="Helvetica" w:hAnsi="Helvetica"/>
          <w:sz w:val="21"/>
          <w:szCs w:val="21"/>
        </w:rPr>
        <w:t xml:space="preserve">The experience is a managed journey with clear ownership at every phase: we explore and agree terms, onboard your team with a named Account Manager, execute the rollout with quarterly reporting, and review annually against targets before renewal. You will always know who owns what.</w:t>
      </w:r>
    </w:p>
    <w:p>
      <w:pPr>
        <w:spacing w:after="60" w:before="200"/>
      </w:pPr>
      <w:r>
        <w:rPr>
          <w:rFonts w:ascii="Montserrat" w:cs="Montserrat" w:eastAsia="Montserrat" w:hAnsi="Montserrat"/>
          <w:b/>
          <w:bCs/>
          <w:color w:val="196B24"/>
          <w:sz w:val="21"/>
          <w:szCs w:val="21"/>
        </w:rPr>
        <w:t xml:space="preserve">Slide 18: </w:t>
      </w:r>
      <w:r>
        <w:rPr>
          <w:rFonts w:ascii="Montserrat" w:cs="Montserrat" w:eastAsia="Montserrat" w:hAnsi="Montserrat"/>
          <w:b/>
          <w:bCs/>
          <w:color w:val="14402A"/>
          <w:sz w:val="21"/>
          <w:szCs w:val="21"/>
        </w:rPr>
        <w:t xml:space="preserve">After Certification</w:t>
      </w:r>
    </w:p>
    <w:p>
      <w:pPr>
        <w:spacing w:after="140" w:line="258"/>
      </w:pPr>
      <w:r>
        <w:rPr>
          <w:rFonts w:ascii="Helvetica" w:cs="Helvetica" w:eastAsia="Helvetica" w:hAnsi="Helvetica"/>
          <w:b/>
          <w:bCs/>
          <w:sz w:val="21"/>
          <w:szCs w:val="21"/>
        </w:rPr>
        <w:t xml:space="preserve">Say: </w:t>
      </w:r>
      <w:r>
        <w:rPr>
          <w:rFonts w:ascii="Helvetica" w:cs="Helvetica" w:eastAsia="Helvetica" w:hAnsi="Helvetica"/>
          <w:sz w:val="21"/>
          <w:szCs w:val="21"/>
        </w:rPr>
        <w:t xml:space="preserve">The credential goes to work immediately: the marketing toolkit, automatic distribution of certified-property lists to OTAs and RFP platforms, the performance report as a capital-planning tool, and a vetted vendor directory with member discounts. And claims-use rules protect the mark, which is what keeps it worth displaying.</w:t>
      </w:r>
    </w:p>
    <w:p>
      <w:pPr>
        <w:spacing w:after="140" w:line="258"/>
      </w:pPr>
      <w:r>
        <w:rPr>
          <w:rFonts w:ascii="Helvetica" w:cs="Helvetica" w:eastAsia="Helvetica" w:hAnsi="Helvetica"/>
          <w:b/>
          <w:bCs/>
          <w:color w:val="595959"/>
          <w:sz w:val="21"/>
          <w:szCs w:val="21"/>
        </w:rPr>
        <w:t xml:space="preserve">Bridge: </w:t>
      </w:r>
      <w:r>
        <w:rPr>
          <w:rFonts w:ascii="Helvetica" w:cs="Helvetica" w:eastAsia="Helvetica" w:hAnsi="Helvetica"/>
          <w:i/>
          <w:iCs/>
          <w:color w:val="595959"/>
          <w:sz w:val="21"/>
          <w:szCs w:val="21"/>
        </w:rPr>
        <w:t xml:space="preserve">So here is what I would suggest as next steps.</w:t>
      </w:r>
    </w:p>
    <w:p>
      <w:pPr>
        <w:spacing w:after="60" w:before="200"/>
      </w:pPr>
      <w:r>
        <w:rPr>
          <w:rFonts w:ascii="Montserrat" w:cs="Montserrat" w:eastAsia="Montserrat" w:hAnsi="Montserrat"/>
          <w:b/>
          <w:bCs/>
          <w:color w:val="196B24"/>
          <w:sz w:val="21"/>
          <w:szCs w:val="21"/>
        </w:rPr>
        <w:t xml:space="preserve">Slide 19: </w:t>
      </w:r>
      <w:r>
        <w:rPr>
          <w:rFonts w:ascii="Montserrat" w:cs="Montserrat" w:eastAsia="Montserrat" w:hAnsi="Montserrat"/>
          <w:b/>
          <w:bCs/>
          <w:color w:val="14402A"/>
          <w:sz w:val="21"/>
          <w:szCs w:val="21"/>
        </w:rPr>
        <w:t xml:space="preserve">Close</w:t>
      </w:r>
    </w:p>
    <w:p>
      <w:pPr>
        <w:spacing w:after="140" w:line="258"/>
      </w:pPr>
      <w:r>
        <w:rPr>
          <w:rFonts w:ascii="Helvetica" w:cs="Helvetica" w:eastAsia="Helvetica" w:hAnsi="Helvetica"/>
          <w:b/>
          <w:bCs/>
          <w:sz w:val="21"/>
          <w:szCs w:val="21"/>
        </w:rPr>
        <w:t xml:space="preserve">Say: </w:t>
      </w:r>
      <w:r>
        <w:rPr>
          <w:rFonts w:ascii="Helvetica" w:cs="Helvetica" w:eastAsia="Helvetica" w:hAnsi="Helvetica"/>
          <w:sz w:val="21"/>
          <w:szCs w:val="21"/>
        </w:rPr>
        <w:t xml:space="preserve">Three steps. First, we check whether your flags or group already hold an agreement with us. Second, you pick a pilot cohort that mirrors your real portfolio, urban and rural, full- and select-service; each property is a roughly ninety-day cycle. Third, those properties start the Core Criteria. Can we get thirty minutes on the calendar with whoever would own the pilot?</w:t>
      </w:r>
    </w:p>
    <w:p>
      <w:pPr>
        <w:pStyle w:val="Heading1"/>
        <w:spacing w:after="180" w:before="340"/>
      </w:pPr>
      <w:r>
        <w:rPr>
          <w:rFonts w:ascii="Montserrat" w:cs="Montserrat" w:eastAsia="Montserrat" w:hAnsi="Montserrat"/>
          <w:b/>
          <w:bCs/>
          <w:color w:val="14402A"/>
          <w:sz w:val="29"/>
          <w:szCs w:val="29"/>
        </w:rPr>
        <w:t xml:space="preserve">Objection Handling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6660"/>
      </w:tblGrid>
      <w:tr>
        <w:trPr>
          <w:tblHeader/>
        </w:trPr>
        <w:tc>
          <w:tcPr>
            <w:tcW w:type="dxa" w:w="2700"/>
            <w:shd w:fill="196B24" w:val="clear"/>
            <w:tcMar>
              <w:top w:type="dxa" w:w="80"/>
              <w:left w:type="dxa" w:w="110"/>
              <w:bottom w:type="dxa" w:w="80"/>
              <w:right w:type="dxa" w:w="110"/>
            </w:tcMar>
            <w:vAlign w:val="center"/>
          </w:tcPr>
          <w:p>
            <w:r>
              <w:rPr>
                <w:rFonts w:ascii="Helvetica" w:cs="Helvetica" w:eastAsia="Helvetica" w:hAnsi="Helvetica"/>
                <w:b/>
                <w:bCs/>
                <w:color w:val="FFFFFF"/>
                <w:sz w:val="19"/>
                <w:szCs w:val="19"/>
              </w:rPr>
              <w:t xml:space="preserve">Objection</w:t>
            </w:r>
          </w:p>
        </w:tc>
        <w:tc>
          <w:tcPr>
            <w:tcW w:type="dxa" w:w="6660"/>
            <w:shd w:fill="196B24" w:val="clear"/>
            <w:tcMar>
              <w:top w:type="dxa" w:w="80"/>
              <w:left w:type="dxa" w:w="110"/>
              <w:bottom w:type="dxa" w:w="80"/>
              <w:right w:type="dxa" w:w="110"/>
            </w:tcMar>
            <w:vAlign w:val="center"/>
          </w:tcPr>
          <w:p>
            <w:r>
              <w:rPr>
                <w:rFonts w:ascii="Helvetica" w:cs="Helvetica" w:eastAsia="Helvetica" w:hAnsi="Helvetica"/>
                <w:b/>
                <w:bCs/>
                <w:color w:val="FFFFFF"/>
                <w:sz w:val="19"/>
                <w:szCs w:val="19"/>
              </w:rPr>
              <w:t xml:space="preserve">Response</w:t>
            </w:r>
          </w:p>
        </w:tc>
      </w:tr>
      <w:tr>
        <w:trPr>
          <w:tblHeader w:val="false"/>
        </w:trPr>
        <w:tc>
          <w:tcPr>
            <w:tcW w:type="dxa" w:w="2700"/>
            <w:tcMar>
              <w:top w:type="dxa" w:w="80"/>
              <w:left w:type="dxa" w:w="110"/>
              <w:bottom w:type="dxa" w:w="80"/>
              <w:right w:type="dxa" w:w="110"/>
            </w:tcMar>
            <w:vAlign w:val="center"/>
          </w:tcPr>
          <w:p>
            <w:r>
              <w:rPr>
                <w:rFonts w:ascii="Helvetica" w:cs="Helvetica" w:eastAsia="Helvetica" w:hAnsi="Helvetica"/>
                <w:color w:val="000000"/>
                <w:sz w:val="19"/>
                <w:szCs w:val="19"/>
              </w:rPr>
              <w:t xml:space="preserve">"We don't have budget for this."</w:t>
            </w:r>
          </w:p>
        </w:tc>
        <w:tc>
          <w:tcPr>
            <w:tcW w:type="dxa" w:w="6660"/>
            <w:tcMar>
              <w:top w:type="dxa" w:w="80"/>
              <w:left w:type="dxa" w:w="110"/>
              <w:bottom w:type="dxa" w:w="80"/>
              <w:right w:type="dxa" w:w="110"/>
            </w:tcMar>
            <w:vAlign w:val="center"/>
          </w:tcPr>
          <w:p>
            <w:r>
              <w:rPr>
                <w:rFonts w:ascii="Helvetica" w:cs="Helvetica" w:eastAsia="Helvetica" w:hAnsi="Helvetica"/>
                <w:color w:val="000000"/>
                <w:sz w:val="19"/>
                <w:szCs w:val="19"/>
              </w:rPr>
              <w:t xml:space="preserve">Under $80 a month per property at list, less under a portfolio agreement, and no capital spend is required to certify. Three extra bookings a year covers it, and the practices it rewards cut the utility line. This is one of the few line items that pays for itself twice.</w:t>
            </w:r>
          </w:p>
        </w:tc>
      </w:tr>
      <w:tr>
        <w:trPr>
          <w:tblHeader w:val="false"/>
        </w:trPr>
        <w:tc>
          <w:tcPr>
            <w:tcW w:type="dxa" w:w="270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"Sustainability doesn't sell in our markets."</w:t>
            </w:r>
          </w:p>
        </w:tc>
        <w:tc>
          <w:tcPr>
            <w:tcW w:type="dxa" w:w="666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Then sell the operations and the revenue, not the word. Corporate RFP eligibility, OTA badges, and a 3x corporate room-night gap (Alō Index) are market-neutral. The certification works the same whether the property leads with the environmental story or the cost-discipline story.</w:t>
            </w:r>
          </w:p>
        </w:tc>
      </w:tr>
      <w:tr>
        <w:trPr>
          <w:tblHeader w:val="false"/>
        </w:trPr>
        <w:tc>
          <w:tcPr>
            <w:tcW w:type="dxa" w:w="2700"/>
            <w:tcMar>
              <w:top w:type="dxa" w:w="80"/>
              <w:left w:type="dxa" w:w="110"/>
              <w:bottom w:type="dxa" w:w="80"/>
              <w:right w:type="dxa" w:w="110"/>
            </w:tcMar>
            <w:vAlign w:val="center"/>
          </w:tcPr>
          <w:p>
            <w:r>
              <w:rPr>
                <w:rFonts w:ascii="Helvetica" w:cs="Helvetica" w:eastAsia="Helvetica" w:hAnsi="Helvetica"/>
                <w:color w:val="000000"/>
                <w:sz w:val="19"/>
                <w:szCs w:val="19"/>
              </w:rPr>
              <w:t xml:space="preserve">"We don't have a sustainability person."</w:t>
            </w:r>
          </w:p>
        </w:tc>
        <w:tc>
          <w:tcPr>
            <w:tcW w:type="dxa" w:w="6660"/>
            <w:tcMar>
              <w:top w:type="dxa" w:w="80"/>
              <w:left w:type="dxa" w:w="110"/>
              <w:bottom w:type="dxa" w:w="80"/>
              <w:right w:type="dxa" w:w="110"/>
            </w:tcMar>
            <w:vAlign w:val="center"/>
          </w:tcPr>
          <w:p>
            <w:r>
              <w:rPr>
                <w:rFonts w:ascii="Helvetica" w:cs="Helvetica" w:eastAsia="Helvetica" w:hAnsi="Helvetica"/>
                <w:color w:val="000000"/>
                <w:sz w:val="19"/>
                <w:szCs w:val="19"/>
              </w:rPr>
              <w:t xml:space="preserve">The assessment is designed so you never need one. It is organized by department; the GM, executive housekeeper, and chief engineer already own the answers. The Core Criteria take four to six hours of focused work, with templates for every required document.</w:t>
            </w:r>
          </w:p>
        </w:tc>
      </w:tr>
      <w:tr>
        <w:trPr>
          <w:tblHeader w:val="false"/>
        </w:trPr>
        <w:tc>
          <w:tcPr>
            <w:tcW w:type="dxa" w:w="270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"We're already doing a brand program."</w:t>
            </w:r>
          </w:p>
        </w:tc>
        <w:tc>
          <w:tcPr>
            <w:tcW w:type="dxa" w:w="666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Even better. AHLA co-owns Green Key, and brand programs feed in: where an equivalency exists (for example Marriott's SPROUT workflow), the work your properties have already done is credited. Best Western has mandated Eco-Rating systemwide. Ask us before assuming you are starting from zero.</w:t>
            </w:r>
          </w:p>
        </w:tc>
      </w:tr>
      <w:tr>
        <w:trPr>
          <w:tblHeader w:val="false"/>
        </w:trPr>
        <w:tc>
          <w:tcPr>
            <w:tcW w:type="dxa" w:w="2700"/>
            <w:tcMar>
              <w:top w:type="dxa" w:w="80"/>
              <w:left w:type="dxa" w:w="110"/>
              <w:bottom w:type="dxa" w:w="80"/>
              <w:right w:type="dxa" w:w="110"/>
            </w:tcMar>
            <w:vAlign w:val="center"/>
          </w:tcPr>
          <w:p>
            <w:r>
              <w:rPr>
                <w:rFonts w:ascii="Helvetica" w:cs="Helvetica" w:eastAsia="Helvetica" w:hAnsi="Helvetica"/>
                <w:color w:val="000000"/>
                <w:sz w:val="19"/>
                <w:szCs w:val="19"/>
              </w:rPr>
              <w:t xml:space="preserve">"What if we fail the audit?"</w:t>
            </w:r>
          </w:p>
        </w:tc>
        <w:tc>
          <w:tcPr>
            <w:tcW w:type="dxa" w:w="6660"/>
            <w:tcMar>
              <w:top w:type="dxa" w:w="80"/>
              <w:left w:type="dxa" w:w="110"/>
              <w:bottom w:type="dxa" w:w="80"/>
              <w:right w:type="dxa" w:w="110"/>
            </w:tcMar>
            <w:vAlign w:val="center"/>
          </w:tcPr>
          <w:p>
            <w:r>
              <w:rPr>
                <w:rFonts w:ascii="Helvetica" w:cs="Helvetica" w:eastAsia="Helvetica" w:hAnsi="Helvetica"/>
                <w:color w:val="000000"/>
                <w:sz w:val="19"/>
                <w:szCs w:val="19"/>
              </w:rPr>
              <w:t xml:space="preserve">You cannot be surprised by it. The self-assessment produces a preliminary rating and gap scorecard first, and it can be retaken freely; nothing locks until you request the audit. Properties go into audit knowing where they stand.</w:t>
            </w:r>
          </w:p>
        </w:tc>
      </w:tr>
      <w:tr>
        <w:trPr>
          <w:tblHeader w:val="false"/>
        </w:trPr>
        <w:tc>
          <w:tcPr>
            <w:tcW w:type="dxa" w:w="270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"Isn't this just a badge? Greenwashing worries us."</w:t>
            </w:r>
          </w:p>
        </w:tc>
        <w:tc>
          <w:tcPr>
            <w:tcW w:type="dxa" w:w="666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That concern is exactly why the structure matters: we never audit our own members. Control Union verifies evidence independently, the certification decision sits with an independent body under ISO 17065, and certification can be suspended or revoked. A label that can never be withdrawn is not a certification; this one can be.</w:t>
            </w:r>
          </w:p>
        </w:tc>
      </w:tr>
      <w:tr>
        <w:trPr>
          <w:tblHeader w:val="false"/>
        </w:trPr>
        <w:tc>
          <w:tcPr>
            <w:tcW w:type="dxa" w:w="2700"/>
            <w:tcMar>
              <w:top w:type="dxa" w:w="80"/>
              <w:left w:type="dxa" w:w="110"/>
              <w:bottom w:type="dxa" w:w="80"/>
              <w:right w:type="dxa" w:w="110"/>
            </w:tcMar>
            <w:vAlign w:val="center"/>
          </w:tcPr>
          <w:p>
            <w:r>
              <w:rPr>
                <w:rFonts w:ascii="Helvetica" w:cs="Helvetica" w:eastAsia="Helvetica" w:hAnsi="Helvetica"/>
                <w:color w:val="000000"/>
                <w:sz w:val="19"/>
                <w:szCs w:val="19"/>
              </w:rPr>
              <w:t xml:space="preserve">"Our owners only care about NOI."</w:t>
            </w:r>
          </w:p>
        </w:tc>
        <w:tc>
          <w:tcPr>
            <w:tcW w:type="dxa" w:w="6660"/>
            <w:tcMar>
              <w:top w:type="dxa" w:w="80"/>
              <w:left w:type="dxa" w:w="110"/>
              <w:bottom w:type="dxa" w:w="80"/>
              <w:right w:type="dxa" w:w="110"/>
            </w:tcMar>
            <w:vAlign w:val="center"/>
          </w:tcPr>
          <w:p>
            <w:r>
              <w:rPr>
                <w:rFonts w:ascii="Helvetica" w:cs="Helvetica" w:eastAsia="Helvetica" w:hAnsi="Helvetica"/>
                <w:color w:val="000000"/>
                <w:sz w:val="19"/>
                <w:szCs w:val="19"/>
              </w:rPr>
              <w:t xml:space="preserve">JLL's guidance to owners is the answer: embedded sustainability means lower operating costs, better access to green financing, and lower regulatory exposure. Add the utility savings from the practices the assessment rewards and this is an NOI conversation.</w:t>
            </w:r>
          </w:p>
        </w:tc>
      </w:tr>
      <w:tr>
        <w:trPr>
          <w:tblHeader w:val="false"/>
        </w:trPr>
        <w:tc>
          <w:tcPr>
            <w:tcW w:type="dxa" w:w="270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"We looked at LEED; too expensive."</w:t>
            </w:r>
          </w:p>
        </w:tc>
        <w:tc>
          <w:tcPr>
            <w:tcW w:type="dxa" w:w="666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Different animal. LEED certifies how a building was constructed; we certify how a hotel operates. No construction, no retrofit requirement, no capital gate. Existing assets are the point, not the problem.</w:t>
            </w:r>
          </w:p>
        </w:tc>
      </w:tr>
      <w:tr>
        <w:trPr>
          <w:tblHeader w:val="false"/>
        </w:trPr>
        <w:tc>
          <w:tcPr>
            <w:tcW w:type="dxa" w:w="2700"/>
            <w:tcMar>
              <w:top w:type="dxa" w:w="80"/>
              <w:left w:type="dxa" w:w="110"/>
              <w:bottom w:type="dxa" w:w="80"/>
              <w:right w:type="dxa" w:w="110"/>
            </w:tcMar>
            <w:vAlign w:val="center"/>
          </w:tcPr>
          <w:p>
            <w:r>
              <w:rPr>
                <w:rFonts w:ascii="Helvetica" w:cs="Helvetica" w:eastAsia="Helvetica" w:hAnsi="Helvetica"/>
                <w:color w:val="000000"/>
                <w:sz w:val="19"/>
                <w:szCs w:val="19"/>
              </w:rPr>
              <w:t xml:space="preserve">"Timing is bad; we're heads-down."</w:t>
            </w:r>
          </w:p>
        </w:tc>
        <w:tc>
          <w:tcPr>
            <w:tcW w:type="dxa" w:w="6660"/>
            <w:tcMar>
              <w:top w:type="dxa" w:w="80"/>
              <w:left w:type="dxa" w:w="110"/>
              <w:bottom w:type="dxa" w:w="80"/>
              <w:right w:type="dxa" w:w="110"/>
            </w:tcMar>
            <w:vAlign w:val="center"/>
          </w:tcPr>
          <w:p>
            <w:r>
              <w:rPr>
                <w:rFonts w:ascii="Helvetica" w:cs="Helvetica" w:eastAsia="Helvetica" w:hAnsi="Helvetica"/>
                <w:color w:val="000000"/>
                <w:sz w:val="19"/>
                <w:szCs w:val="19"/>
              </w:rPr>
              <w:t xml:space="preserve">The 2026 redesign was built for that: average completion is about eleven days, the focused work is hours not weeks, and the portal saves progress across multiple users. A pilot cohort fits inside one quarter.</w:t>
            </w:r>
          </w:p>
        </w:tc>
      </w:tr>
      <w:tr>
        <w:trPr>
          <w:tblHeader w:val="false"/>
        </w:trPr>
        <w:tc>
          <w:tcPr>
            <w:tcW w:type="dxa" w:w="270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"Which properties would even qualify?"</w:t>
            </w:r>
          </w:p>
        </w:tc>
        <w:tc>
          <w:tcPr>
            <w:tcW w:type="dxa" w:w="666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All of them. Select-service properties opt out of F&amp;B and conference sections with no scoring penalty, and any rating from one to five Keys is full certification. Start the whole cohort at the Core Criteria and let each property climb from there.</w:t>
            </w:r>
          </w:p>
        </w:tc>
      </w:tr>
      <w:tr>
        <w:trPr>
          <w:tblHeader w:val="false"/>
        </w:trPr>
        <w:tc>
          <w:tcPr>
            <w:tcW w:type="dxa" w:w="2700"/>
            <w:tcMar>
              <w:top w:type="dxa" w:w="80"/>
              <w:left w:type="dxa" w:w="110"/>
              <w:bottom w:type="dxa" w:w="80"/>
              <w:right w:type="dxa" w:w="110"/>
            </w:tcMar>
            <w:vAlign w:val="center"/>
          </w:tcPr>
          <w:p>
            <w:r>
              <w:rPr>
                <w:rFonts w:ascii="Helvetica" w:cs="Helvetica" w:eastAsia="Helvetica" w:hAnsi="Helvetica"/>
                <w:color w:val="000000"/>
                <w:sz w:val="19"/>
                <w:szCs w:val="19"/>
              </w:rPr>
              <w:t xml:space="preserve">"What are the hidden costs at renewal?"</w:t>
            </w:r>
          </w:p>
        </w:tc>
        <w:tc>
          <w:tcPr>
            <w:tcW w:type="dxa" w:w="6660"/>
            <w:tcMar>
              <w:top w:type="dxa" w:w="80"/>
              <w:left w:type="dxa" w:w="110"/>
              <w:bottom w:type="dxa" w:w="80"/>
              <w:right w:type="dxa" w:w="110"/>
            </w:tcMar>
            <w:vAlign w:val="center"/>
          </w:tcPr>
          <w:p>
            <w:r>
              <w:rPr>
                <w:rFonts w:ascii="Helvetica" w:cs="Helvetica" w:eastAsia="Helvetica" w:hAnsi="Helvetica"/>
                <w:color w:val="000000"/>
                <w:sz w:val="19"/>
                <w:szCs w:val="19"/>
              </w:rPr>
              <w:t xml:space="preserve">There are none to hide: flat published fees, membership renewed annually, one audit per three-year cycle, recertification on the same terms. Pricing is on our website; partnership terms improve on it.</w:t>
            </w:r>
          </w:p>
        </w:tc>
      </w:tr>
    </w:tbl>
    <w:p>
      <w:pPr>
        <w:pStyle w:val="Heading1"/>
        <w:spacing w:after="180" w:before="340"/>
      </w:pPr>
      <w:r>
        <w:rPr>
          <w:rFonts w:ascii="Montserrat" w:cs="Montserrat" w:eastAsia="Montserrat" w:hAnsi="Montserrat"/>
          <w:b/>
          <w:bCs/>
          <w:color w:val="14402A"/>
          <w:sz w:val="29"/>
          <w:szCs w:val="29"/>
        </w:rPr>
        <w:t xml:space="preserve">Key Numbers Cheat Sheet</w:t>
      </w:r>
    </w:p>
    <w:p>
      <w:pPr>
        <w:spacing w:after="140" w:line="258"/>
      </w:pPr>
      <w:r>
        <w:rPr>
          <w:rFonts w:ascii="Helvetica" w:cs="Helvetica" w:eastAsia="Helvetica" w:hAnsi="Helvetica"/>
          <w:sz w:val="21"/>
          <w:szCs w:val="21"/>
        </w:rPr>
        <w:t xml:space="preserve">Say any of these out loud with confidence; the source is beside each.</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5160"/>
      </w:tblGrid>
      <w:tr>
        <w:trPr>
          <w:tblHeader/>
        </w:trPr>
        <w:tc>
          <w:tcPr>
            <w:tcW w:type="dxa" w:w="4200"/>
            <w:shd w:fill="196B24" w:val="clear"/>
            <w:tcMar>
              <w:top w:type="dxa" w:w="80"/>
              <w:left w:type="dxa" w:w="110"/>
              <w:bottom w:type="dxa" w:w="80"/>
              <w:right w:type="dxa" w:w="110"/>
            </w:tcMar>
            <w:vAlign w:val="center"/>
          </w:tcPr>
          <w:p>
            <w:r>
              <w:rPr>
                <w:rFonts w:ascii="Helvetica" w:cs="Helvetica" w:eastAsia="Helvetica" w:hAnsi="Helvetica"/>
                <w:b/>
                <w:bCs/>
                <w:color w:val="FFFFFF"/>
                <w:sz w:val="19"/>
                <w:szCs w:val="19"/>
              </w:rPr>
              <w:t xml:space="preserve">Number</w:t>
            </w:r>
          </w:p>
        </w:tc>
        <w:tc>
          <w:tcPr>
            <w:tcW w:type="dxa" w:w="5160"/>
            <w:shd w:fill="196B24" w:val="clear"/>
            <w:tcMar>
              <w:top w:type="dxa" w:w="80"/>
              <w:left w:type="dxa" w:w="110"/>
              <w:bottom w:type="dxa" w:w="80"/>
              <w:right w:type="dxa" w:w="110"/>
            </w:tcMar>
            <w:vAlign w:val="center"/>
          </w:tcPr>
          <w:p>
            <w:r>
              <w:rPr>
                <w:rFonts w:ascii="Helvetica" w:cs="Helvetica" w:eastAsia="Helvetica" w:hAnsi="Helvetica"/>
                <w:b/>
                <w:bCs/>
                <w:color w:val="FFFFFF"/>
                <w:sz w:val="19"/>
                <w:szCs w:val="19"/>
              </w:rPr>
              <w:t xml:space="preserve">Source</w:t>
            </w:r>
          </w:p>
        </w:tc>
      </w:tr>
      <w:tr>
        <w:trPr>
          <w:tblHeader w:val="false"/>
        </w:trPr>
        <w:tc>
          <w:tcPr>
            <w:tcW w:type="dxa" w:w="4200"/>
            <w:tcMar>
              <w:top w:type="dxa" w:w="80"/>
              <w:left w:type="dxa" w:w="110"/>
              <w:bottom w:type="dxa" w:w="80"/>
              <w:right w:type="dxa" w:w="110"/>
            </w:tcMar>
            <w:vAlign w:val="center"/>
          </w:tcPr>
          <w:p>
            <w:r>
              <w:rPr>
                <w:rFonts w:ascii="Helvetica" w:cs="Helvetica" w:eastAsia="Helvetica" w:hAnsi="Helvetica"/>
                <w:color w:val="000000"/>
                <w:sz w:val="19"/>
                <w:szCs w:val="19"/>
              </w:rPr>
              <w:t xml:space="preserve">3,000+ certified properties; founded 1993; AHLA + Hotels Canada JV (2024)</w:t>
            </w:r>
          </w:p>
        </w:tc>
        <w:tc>
          <w:tcPr>
            <w:tcW w:type="dxa" w:w="5160"/>
            <w:tcMar>
              <w:top w:type="dxa" w:w="80"/>
              <w:left w:type="dxa" w:w="110"/>
              <w:bottom w:type="dxa" w:w="80"/>
              <w:right w:type="dxa" w:w="110"/>
            </w:tcMar>
            <w:vAlign w:val="center"/>
          </w:tcPr>
          <w:p>
            <w:r>
              <w:rPr>
                <w:rFonts w:ascii="Helvetica" w:cs="Helvetica" w:eastAsia="Helvetica" w:hAnsi="Helvetica"/>
                <w:color w:val="000000"/>
                <w:sz w:val="19"/>
                <w:szCs w:val="19"/>
              </w:rPr>
              <w:t xml:space="preserve">Green Key Global program data</w:t>
            </w:r>
          </w:p>
        </w:tc>
      </w:tr>
      <w:tr>
        <w:trPr>
          <w:tblHeader w:val="false"/>
        </w:trPr>
        <w:tc>
          <w:tcPr>
            <w:tcW w:type="dxa" w:w="420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37 Core Criteria; ~11 days average completion (down from ~80); 4 to 6 hours of focused work</w:t>
            </w:r>
          </w:p>
        </w:tc>
        <w:tc>
          <w:tcPr>
            <w:tcW w:type="dxa" w:w="516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Green Key Global program data, 2026</w:t>
            </w:r>
          </w:p>
        </w:tc>
      </w:tr>
      <w:tr>
        <w:trPr>
          <w:tblHeader w:val="false"/>
        </w:trPr>
        <w:tc>
          <w:tcPr>
            <w:tcW w:type="dxa" w:w="4200"/>
            <w:tcMar>
              <w:top w:type="dxa" w:w="80"/>
              <w:left w:type="dxa" w:w="110"/>
              <w:bottom w:type="dxa" w:w="80"/>
              <w:right w:type="dxa" w:w="110"/>
            </w:tcMar>
            <w:vAlign w:val="center"/>
          </w:tcPr>
          <w:p>
            <w:r>
              <w:rPr>
                <w:rFonts w:ascii="Helvetica" w:cs="Helvetica" w:eastAsia="Helvetica" w:hAnsi="Helvetica"/>
                <w:color w:val="000000"/>
                <w:sz w:val="19"/>
                <w:szCs w:val="19"/>
              </w:rPr>
              <w:t xml:space="preserve">$750/yr U.S. membership; $500 virtual audit per 3-year cycle; under $80/month; $950 CAD in Canada</w:t>
            </w:r>
          </w:p>
        </w:tc>
        <w:tc>
          <w:tcPr>
            <w:tcW w:type="dxa" w:w="5160"/>
            <w:tcMar>
              <w:top w:type="dxa" w:w="80"/>
              <w:left w:type="dxa" w:w="110"/>
              <w:bottom w:type="dxa" w:w="80"/>
              <w:right w:type="dxa" w:w="110"/>
            </w:tcMar>
            <w:vAlign w:val="center"/>
          </w:tcPr>
          <w:p>
            <w:r>
              <w:rPr>
                <w:rFonts w:ascii="Helvetica" w:cs="Helvetica" w:eastAsia="Helvetica" w:hAnsi="Helvetica"/>
                <w:color w:val="000000"/>
                <w:sz w:val="19"/>
                <w:szCs w:val="19"/>
              </w:rPr>
              <w:t xml:space="preserve">greenkeyglobal.com published pricing, July 2026</w:t>
            </w:r>
          </w:p>
        </w:tc>
      </w:tr>
      <w:tr>
        <w:trPr>
          <w:tblHeader w:val="false"/>
        </w:trPr>
        <w:tc>
          <w:tcPr>
            <w:tcW w:type="dxa" w:w="420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3x corporate room nights (622 vs 202); 97% vs 70% won corporate business</w:t>
            </w:r>
          </w:p>
        </w:tc>
        <w:tc>
          <w:tcPr>
            <w:tcW w:type="dxa" w:w="516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Alō Index, 5,082 assessed hotels, 2025</w:t>
            </w:r>
          </w:p>
        </w:tc>
      </w:tr>
      <w:tr>
        <w:trPr>
          <w:tblHeader w:val="false"/>
        </w:trPr>
        <w:tc>
          <w:tcPr>
            <w:tcW w:type="dxa" w:w="4200"/>
            <w:tcMar>
              <w:top w:type="dxa" w:w="80"/>
              <w:left w:type="dxa" w:w="110"/>
              <w:bottom w:type="dxa" w:w="80"/>
              <w:right w:type="dxa" w:w="110"/>
            </w:tcMar>
            <w:vAlign w:val="center"/>
          </w:tcPr>
          <w:p>
            <w:r>
              <w:rPr>
                <w:rFonts w:ascii="Helvetica" w:cs="Helvetica" w:eastAsia="Helvetica" w:hAnsi="Helvetica"/>
                <w:color w:val="000000"/>
                <w:sz w:val="19"/>
                <w:szCs w:val="19"/>
              </w:rPr>
              <w:t xml:space="preserve">90% of consumers look for sustainable options</w:t>
            </w:r>
          </w:p>
        </w:tc>
        <w:tc>
          <w:tcPr>
            <w:tcW w:type="dxa" w:w="5160"/>
            <w:tcMar>
              <w:top w:type="dxa" w:w="80"/>
              <w:left w:type="dxa" w:w="110"/>
              <w:bottom w:type="dxa" w:w="80"/>
              <w:right w:type="dxa" w:w="110"/>
            </w:tcMar>
            <w:vAlign w:val="center"/>
          </w:tcPr>
          <w:p>
            <w:r>
              <w:rPr>
                <w:rFonts w:ascii="Helvetica" w:cs="Helvetica" w:eastAsia="Helvetica" w:hAnsi="Helvetica"/>
                <w:color w:val="000000"/>
                <w:sz w:val="19"/>
                <w:szCs w:val="19"/>
              </w:rPr>
              <w:t xml:space="preserve">Expedia Group, Sustainable Travel Study (2022)</w:t>
            </w:r>
          </w:p>
        </w:tc>
      </w:tr>
      <w:tr>
        <w:trPr>
          <w:tblHeader w:val="false"/>
        </w:trPr>
        <w:tc>
          <w:tcPr>
            <w:tcW w:type="dxa" w:w="420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83% of global travelers say sustainable travel is vital</w:t>
            </w:r>
          </w:p>
        </w:tc>
        <w:tc>
          <w:tcPr>
            <w:tcW w:type="dxa" w:w="516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Booking.com, Sustainable Travel Report (2021)</w:t>
            </w:r>
          </w:p>
        </w:tc>
      </w:tr>
      <w:tr>
        <w:trPr>
          <w:tblHeader w:val="false"/>
        </w:trPr>
        <w:tc>
          <w:tcPr>
            <w:tcW w:type="dxa" w:w="4200"/>
            <w:tcMar>
              <w:top w:type="dxa" w:w="80"/>
              <w:left w:type="dxa" w:w="110"/>
              <w:bottom w:type="dxa" w:w="80"/>
              <w:right w:type="dxa" w:w="110"/>
            </w:tcMar>
            <w:vAlign w:val="center"/>
          </w:tcPr>
          <w:p>
            <w:r>
              <w:rPr>
                <w:rFonts w:ascii="Helvetica" w:cs="Helvetica" w:eastAsia="Helvetica" w:hAnsi="Helvetica"/>
                <w:color w:val="000000"/>
                <w:sz w:val="19"/>
                <w:szCs w:val="19"/>
              </w:rPr>
              <w:t xml:space="preserve">76% of travel buyers adding sustainability clauses</w:t>
            </w:r>
          </w:p>
        </w:tc>
        <w:tc>
          <w:tcPr>
            <w:tcW w:type="dxa" w:w="5160"/>
            <w:tcMar>
              <w:top w:type="dxa" w:w="80"/>
              <w:left w:type="dxa" w:w="110"/>
              <w:bottom w:type="dxa" w:w="80"/>
              <w:right w:type="dxa" w:w="110"/>
            </w:tcMar>
            <w:vAlign w:val="center"/>
          </w:tcPr>
          <w:p>
            <w:r>
              <w:rPr>
                <w:rFonts w:ascii="Helvetica" w:cs="Helvetica" w:eastAsia="Helvetica" w:hAnsi="Helvetica"/>
                <w:color w:val="000000"/>
                <w:sz w:val="19"/>
                <w:szCs w:val="19"/>
              </w:rPr>
              <w:t xml:space="preserve">GBTA Foundation, State of Climate Action in Business Travel (2023)</w:t>
            </w:r>
          </w:p>
        </w:tc>
      </w:tr>
      <w:tr>
        <w:trPr>
          <w:tblHeader w:val="false"/>
        </w:trPr>
        <w:tc>
          <w:tcPr>
            <w:tcW w:type="dxa" w:w="420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8,000+ hotels in 85 countries in WTTC Basics, now moving to independent certification</w:t>
            </w:r>
          </w:p>
        </w:tc>
        <w:tc>
          <w:tcPr>
            <w:tcW w:type="dxa" w:w="516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WTTC, 25 June 2026</w:t>
            </w:r>
          </w:p>
        </w:tc>
      </w:tr>
      <w:tr>
        <w:trPr>
          <w:tblHeader w:val="false"/>
        </w:trPr>
        <w:tc>
          <w:tcPr>
            <w:tcW w:type="dxa" w:w="4200"/>
            <w:tcMar>
              <w:top w:type="dxa" w:w="80"/>
              <w:left w:type="dxa" w:w="110"/>
              <w:bottom w:type="dxa" w:w="80"/>
              <w:right w:type="dxa" w:w="110"/>
            </w:tcMar>
            <w:vAlign w:val="center"/>
          </w:tcPr>
          <w:p>
            <w:r>
              <w:rPr>
                <w:rFonts w:ascii="Helvetica" w:cs="Helvetica" w:eastAsia="Helvetica" w:hAnsi="Helvetica"/>
                <w:color w:val="000000"/>
                <w:sz w:val="19"/>
                <w:szCs w:val="19"/>
              </w:rPr>
              <w:t xml:space="preserve">EU green-claims directive in force 27 September 2026</w:t>
            </w:r>
          </w:p>
        </w:tc>
        <w:tc>
          <w:tcPr>
            <w:tcW w:type="dxa" w:w="5160"/>
            <w:tcMar>
              <w:top w:type="dxa" w:w="80"/>
              <w:left w:type="dxa" w:w="110"/>
              <w:bottom w:type="dxa" w:w="80"/>
              <w:right w:type="dxa" w:w="110"/>
            </w:tcMar>
            <w:vAlign w:val="center"/>
          </w:tcPr>
          <w:p>
            <w:r>
              <w:rPr>
                <w:rFonts w:ascii="Helvetica" w:cs="Helvetica" w:eastAsia="Helvetica" w:hAnsi="Helvetica"/>
                <w:color w:val="000000"/>
                <w:sz w:val="19"/>
                <w:szCs w:val="19"/>
              </w:rPr>
              <w:t xml:space="preserve">Directive (EU) 2024/825</w:t>
            </w:r>
          </w:p>
        </w:tc>
      </w:tr>
      <w:tr>
        <w:trPr>
          <w:tblHeader w:val="false"/>
        </w:trPr>
        <w:tc>
          <w:tcPr>
            <w:tcW w:type="dxa" w:w="420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Lower opex, green financing access, lower regulatory risk for sustainability-embedded hotels</w:t>
            </w:r>
          </w:p>
        </w:tc>
        <w:tc>
          <w:tcPr>
            <w:tcW w:type="dxa" w:w="516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JLL, Greener returns, 18 November 2025</w:t>
            </w:r>
          </w:p>
        </w:tc>
      </w:tr>
    </w:tbl>
    <w:p>
      <w:pPr>
        <w:spacing w:after="160"/>
      </w:pPr>
    </w:p>
    <w:p>
      <w:pPr>
        <w:spacing w:after="140" w:line="258"/>
      </w:pPr>
      <w:r>
        <w:rPr>
          <w:rFonts w:ascii="Helvetica" w:cs="Helvetica" w:eastAsia="Helvetica" w:hAnsi="Helvetica"/>
          <w:b/>
          <w:bCs/>
          <w:sz w:val="21"/>
          <w:szCs w:val="21"/>
        </w:rPr>
        <w:t xml:space="preserve">One rule: </w:t>
      </w:r>
      <w:r>
        <w:rPr>
          <w:rFonts w:ascii="Helvetica" w:cs="Helvetica" w:eastAsia="Helvetica" w:hAnsi="Helvetica"/>
          <w:sz w:val="21"/>
          <w:szCs w:val="21"/>
        </w:rPr>
        <w:t xml:space="preserve">never promise a specific discount level in the room. Partnership pricing is agreed in the term sheet; in conversation, say "portfolio agreements improve on list pricing" and book the follow-up.</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w:cs="Helvetica" w:eastAsia="Helvetica" w:hAnsi="Helvetica"/>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2026-07-19T02:29:11.252Z</dcterms:created>
  <dcterms:modified xsi:type="dcterms:W3CDTF">2026-07-19T02:29:11.279Z</dcterms:modified>
</cp:coreProperties>
</file>

<file path=docProps/custom.xml><?xml version="1.0" encoding="utf-8"?>
<Properties xmlns="http://schemas.openxmlformats.org/officeDocument/2006/custom-properties" xmlns:vt="http://schemas.openxmlformats.org/officeDocument/2006/docPropsVTypes"/>
</file>