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jc w:val="center"/>
      </w:pPr>
      <w:r>
        <w:rPr>
          <w:b/>
          <w:bCs/>
          <w:sz w:val="36"/>
          <w:szCs w:val="36"/>
        </w:rPr>
        <w:t xml:space="preserve">LLM CYBERSECURITY TERM PROJECT</w:t>
      </w:r>
    </w:p>
    <w:p>
      <w:pPr>
        <w:spacing w:after="480"/>
        <w:jc w:val="center"/>
      </w:pPr>
      <w:r>
        <w:rPr>
          <w:b/>
          <w:bCs/>
          <w:color w:val="2E75B6"/>
          <w:sz w:val="28"/>
          <w:szCs w:val="28"/>
        </w:rPr>
        <w:t xml:space="preserve">Individual Report — Week 14</w:t>
      </w:r>
    </w:p>
    <w:p>
      <w:pPr>
        <w:spacing w:after="120"/>
        <w:jc w:val="center"/>
      </w:pPr>
      <w:r>
        <w:rPr>
          <w:sz w:val="26"/>
          <w:szCs w:val="26"/>
        </w:rPr>
        <w:t xml:space="preserve">Member 1 — Data Engineer</w:t>
      </w:r>
    </w:p>
    <w:p>
      <w:pPr>
        <w:spacing w:after="600"/>
        <w:jc w:val="center"/>
      </w:pPr>
      <w:r>
        <w:rPr>
          <w:i/>
          <w:iCs/>
          <w:color w:val="606060"/>
          <w:sz w:val="22"/>
          <w:szCs w:val="22"/>
        </w:rPr>
        <w:t xml:space="preserve">AI-Powered Phishing Detection System</w:t>
      </w:r>
    </w:p>
    <w:p>
      <w:pPr>
        <w:spacing w:after="120"/>
        <w:jc w:val="center"/>
      </w:pPr>
      <w:r>
        <w:rPr>
          <w:sz w:val="22"/>
          <w:szCs w:val="22"/>
        </w:rPr>
        <w:t xml:space="preserve">Student Name: ____________________</w:t>
      </w:r>
    </w:p>
    <w:p>
      <w:pPr>
        <w:spacing w:after="120"/>
        <w:jc w:val="center"/>
      </w:pPr>
      <w:r>
        <w:rPr>
          <w:sz w:val="22"/>
          <w:szCs w:val="22"/>
        </w:rPr>
        <w:t xml:space="preserve">Student ID: ____________________</w:t>
      </w:r>
    </w:p>
    <w:p>
      <w:pPr>
        <w:spacing w:after="120"/>
        <w:jc w:val="center"/>
      </w:pPr>
      <w:r>
        <w:rPr>
          <w:sz w:val="22"/>
          <w:szCs w:val="22"/>
        </w:rPr>
        <w:t xml:space="preserve">Class: ____________________</w:t>
      </w:r>
    </w:p>
    <w:p>
      <w:pPr>
        <w:spacing w:after="600"/>
        <w:jc w:val="center"/>
      </w:pPr>
      <w:r>
        <w:rPr>
          <w:sz w:val="22"/>
          <w:szCs w:val="22"/>
        </w:rPr>
        <w:t xml:space="preserve">Submission Date: ____________________</w:t>
      </w:r>
    </w:p>
    <w:p>
      <w:pPr>
        <w:spacing w:after="240"/>
        <w:jc w:val="center"/>
      </w:pPr>
      <w:r>
        <w:rPr>
          <w:color w:val="808080"/>
        </w:rPr>
        <w:t xml:space="preserve">═══════════════════════════════════</w:t>
      </w:r>
    </w:p>
    <w:p>
      <w:pPr>
        <w:jc w:val="center"/>
      </w:pPr>
      <w:r>
        <w:rPr>
          <w:i/>
          <w:iCs/>
          <w:color w:val="808080"/>
          <w:sz w:val="20"/>
          <w:szCs w:val="20"/>
        </w:rPr>
        <w:t xml:space="preserve">Page-break after this cover. Replace blanks with your info.</w:t>
      </w:r>
    </w:p>
    <w:p>
      <w:pPr>
        <w:pageBreakBefore/>
      </w:pPr>
      <w:r>
        <w:t xml:space="preserve"/>
      </w:r>
    </w:p>
    <w:p>
      <w:pPr>
        <w:pStyle w:val="Heading1"/>
      </w:pPr>
      <w:r>
        <w:t xml:space="preserve">Abstract</w:t>
      </w:r>
    </w:p>
    <w:p>
      <w:pPr>
        <w:spacing w:after="120"/>
      </w:pPr>
      <w:r>
        <w:t xml:space="preserve">This report documents my Week 14 contribution to our team's LLM-based phishing detection system. As the Data Engineer, my responsibility is the data ingestion and preprocessing module — the entry point of the entire pipeline. This week focused on dataset selection, schema design, and building a working preprocessor that converts heterogeneous raw inputs (.eml files, CSV exports, plain SMS strings) into a unified record format that downstream LLM analysis can consume reliably.</w:t>
      </w:r>
    </w:p>
    <w:p>
      <w:pPr>
        <w:spacing w:after="120"/>
      </w:pPr>
      <w:r>
        <w:rPr>
          <w:i/>
          <w:iCs/>
          <w:color w:val="808080"/>
        </w:rPr>
        <w:t xml:space="preserve">Tip: Keep abstract to 150-200 words. Mention what you did, what you produced, and one key insight.</w:t>
      </w:r>
    </w:p>
    <w:p>
      <w:pPr>
        <w:pStyle w:val="Heading1"/>
      </w:pPr>
      <w:r>
        <w:t xml:space="preserve">1. Introduction</w:t>
      </w:r>
    </w:p>
    <w:p>
      <w:pPr>
        <w:pStyle w:val="Heading2"/>
      </w:pPr>
      <w:r>
        <w:t xml:space="preserve">1.1 Project Context</w:t>
      </w:r>
    </w:p>
    <w:p>
      <w:pPr>
        <w:spacing w:after="120"/>
      </w:pPr>
      <w:r>
        <w:t xml:space="preserve">Our team is building a phishing detection system that uses Large Language Models (LLMs) to perform semantic analysis on incoming messages. The system must classify messages as phishing, legitimate, or suspicious, and provide human-readable explanations for each verdict. The pipeline has four stages: (1) data ingestion and preprocessing, (2) LLM-based analysis with multiple prompting strategies, (3) evaluation, and (4) user-facing demo. I own Stage 1.</w:t>
      </w:r>
    </w:p>
    <w:p>
      <w:pPr>
        <w:pStyle w:val="Heading2"/>
      </w:pPr>
      <w:r>
        <w:t xml:space="preserve">1.2 Why Preprocessing Matters for LLM Phishing Detection</w:t>
      </w:r>
    </w:p>
    <w:p>
      <w:pPr>
        <w:spacing w:after="120"/>
      </w:pPr>
      <w:r>
        <w:t xml:space="preserve">LLMs are remarkably capable, but they are not magic. A raw .eml file contains MIME boundaries, encoded headers, HTML markup, base64-encoded attachments, and tracking pixels — none of which carry semantic value for phishing detection but all of which consume valuable context window tokens and confuse the model. Sending raw email bytes to an LLM is wasteful at best and misleading at worst (the model may anchor on irrelevant technical artifacts rather than the persuasion patterns we actually care about).</w:t>
      </w:r>
    </w:p>
    <w:p>
      <w:pPr>
        <w:spacing w:after="120"/>
      </w:pPr>
      <w:r>
        <w:t xml:space="preserve">Effective preprocessing therefore serves three purposes: (1) reducing input size to fit within token budgets, (2) surfacing high-signal features (URLs, sender identity, authentication results) that the LLM can reason over explicitly, and (3) standardizing the input schema so downstream code does not need to handle format variation.</w:t>
      </w:r>
    </w:p>
    <w:p>
      <w:pPr>
        <w:spacing w:after="120"/>
      </w:pPr>
      <w:r>
        <w:rPr>
          <w:i/>
          <w:iCs/>
          <w:color w:val="808080"/>
        </w:rPr>
        <w:t xml:space="preserve">Tip: Expand this section with 1-2 paragraphs on why traditional feature engineering still matters in the LLM era. Cite a paper or article.</w:t>
      </w:r>
    </w:p>
    <w:p>
      <w:pPr>
        <w:pStyle w:val="Heading2"/>
      </w:pPr>
      <w:r>
        <w:t xml:space="preserve">1.3 My Goals for Week 14</w:t>
      </w:r>
    </w:p>
    <w:p>
      <w:pPr>
        <w:pStyle w:val="ListParagraph"/>
        <w:numPr>
          <w:ilvl w:val="0"/>
          <w:numId w:val="2"/>
        </w:numPr>
        <w:spacing w:after="80"/>
      </w:pPr>
      <w:r>
        <w:t xml:space="preserve">Select 2-3 publicly available, license-compatible datasets covering both phishing and legitimate messages</w:t>
      </w:r>
    </w:p>
    <w:p>
      <w:pPr>
        <w:pStyle w:val="ListParagraph"/>
        <w:numPr>
          <w:ilvl w:val="0"/>
          <w:numId w:val="2"/>
        </w:numPr>
        <w:spacing w:after="80"/>
      </w:pPr>
      <w:r>
        <w:t xml:space="preserve">Design a unified record schema that the LLM team can rely on</w:t>
      </w:r>
    </w:p>
    <w:p>
      <w:pPr>
        <w:pStyle w:val="ListParagraph"/>
        <w:numPr>
          <w:ilvl w:val="0"/>
          <w:numId w:val="2"/>
        </w:numPr>
        <w:spacing w:after="80"/>
      </w:pPr>
      <w:r>
        <w:t xml:space="preserve">Implement a working preprocessor for .eml, CSV, and plain-text formats</w:t>
      </w:r>
    </w:p>
    <w:p>
      <w:pPr>
        <w:pStyle w:val="ListParagraph"/>
        <w:numPr>
          <w:ilvl w:val="0"/>
          <w:numId w:val="2"/>
        </w:numPr>
        <w:spacing w:after="80"/>
      </w:pPr>
      <w:r>
        <w:t xml:space="preserve">Document my interface clearly so Member 2 (LLM Engineer) can integrate without back-and-forth</w:t>
      </w:r>
    </w:p>
    <w:p>
      <w:pPr>
        <w:pStyle w:val="Heading1"/>
      </w:pPr>
      <w:r>
        <w:t xml:space="preserve">2. Literature Review and Background</w:t>
      </w:r>
    </w:p>
    <w:p>
      <w:pPr>
        <w:pStyle w:val="Heading2"/>
      </w:pPr>
      <w:r>
        <w:t xml:space="preserve">2.1 Phishing Email Structure</w:t>
      </w:r>
    </w:p>
    <w:p>
      <w:pPr>
        <w:spacing w:after="120"/>
      </w:pPr>
      <w:r>
        <w:t xml:space="preserve">A phishing email typically combines several signals: (a) a sender address that mimics a trusted brand (lookalike domains, display-name spoofing), (b) urgency-inducing language in the body, (c) one or more suspicious URLs leading to credential-harvesting pages, and (d) header anomalies such as failed SPF or DKIM checks. Effective preprocessing must preserve and surface all four signal classes.</w:t>
      </w:r>
    </w:p>
    <w:p>
      <w:pPr>
        <w:spacing w:after="120"/>
      </w:pPr>
      <w:r>
        <w:rPr>
          <w:i/>
          <w:iCs/>
          <w:color w:val="808080"/>
        </w:rPr>
        <w:t xml:space="preserve">Tip: Cite a real paper here. Examples: Aleroud and Zhou 2017 'Phishing environments, techniques, and countermeasures: A survey'; Almomani et al. 2013 'A survey of phishing email filtering techniques'.</w:t>
      </w:r>
    </w:p>
    <w:p>
      <w:pPr>
        <w:pStyle w:val="Heading2"/>
      </w:pPr>
      <w:r>
        <w:t xml:space="preserve">2.2 Public Datasets Considered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999999" w:sz="4"/>
              <w:left w:val="single" w:color="999999" w:sz="4"/>
              <w:bottom w:val="single" w:color="999999" w:sz="4"/>
              <w:right w:val="single" w:color="999999" w:sz="4"/>
            </w:tcBorders>
            <w:shd w:fill="2E75B6" w:val="clear"/>
            <w:tcMar>
              <w:top w:type="dxa" w:w="80"/>
              <w:left w:type="dxa" w:w="120"/>
              <w:bottom w:type="dxa" w:w="80"/>
              <w:right w:type="dxa" w:w="120"/>
            </w:tcMar>
          </w:tcPr>
          <w:p>
            <w:r>
              <w:rPr>
                <w:b/>
                <w:bCs/>
                <w:color w:val="FFFFFF"/>
              </w:rPr>
              <w:t xml:space="preserve">Dataset</w:t>
            </w:r>
          </w:p>
        </w:tc>
        <w:tc>
          <w:tcPr>
            <w:tcW w:type="dxa" w:w="1872"/>
            <w:tcBorders>
              <w:top w:val="single" w:color="999999" w:sz="4"/>
              <w:left w:val="single" w:color="999999" w:sz="4"/>
              <w:bottom w:val="single" w:color="999999" w:sz="4"/>
              <w:right w:val="single" w:color="999999" w:sz="4"/>
            </w:tcBorders>
            <w:shd w:fill="2E75B6" w:val="clear"/>
            <w:tcMar>
              <w:top w:type="dxa" w:w="80"/>
              <w:left w:type="dxa" w:w="120"/>
              <w:bottom w:type="dxa" w:w="80"/>
              <w:right w:type="dxa" w:w="120"/>
            </w:tcMar>
          </w:tcPr>
          <w:p>
            <w:r>
              <w:rPr>
                <w:b/>
                <w:bCs/>
                <w:color w:val="FFFFFF"/>
              </w:rPr>
              <w:t xml:space="preserve">Size</w:t>
            </w:r>
          </w:p>
        </w:tc>
        <w:tc>
          <w:tcPr>
            <w:tcW w:type="dxa" w:w="1872"/>
            <w:tcBorders>
              <w:top w:val="single" w:color="999999" w:sz="4"/>
              <w:left w:val="single" w:color="999999" w:sz="4"/>
              <w:bottom w:val="single" w:color="999999" w:sz="4"/>
              <w:right w:val="single" w:color="999999" w:sz="4"/>
            </w:tcBorders>
            <w:shd w:fill="2E75B6" w:val="clear"/>
            <w:tcMar>
              <w:top w:type="dxa" w:w="80"/>
              <w:left w:type="dxa" w:w="120"/>
              <w:bottom w:type="dxa" w:w="80"/>
              <w:right w:type="dxa" w:w="120"/>
            </w:tcMar>
          </w:tcPr>
          <w:p>
            <w:r>
              <w:rPr>
                <w:b/>
                <w:bCs/>
                <w:color w:val="FFFFFF"/>
              </w:rPr>
              <w:t xml:space="preserve">Coverage</w:t>
            </w:r>
          </w:p>
        </w:tc>
        <w:tc>
          <w:tcPr>
            <w:tcW w:type="dxa" w:w="1872"/>
            <w:tcBorders>
              <w:top w:val="single" w:color="999999" w:sz="4"/>
              <w:left w:val="single" w:color="999999" w:sz="4"/>
              <w:bottom w:val="single" w:color="999999" w:sz="4"/>
              <w:right w:val="single" w:color="999999" w:sz="4"/>
            </w:tcBorders>
            <w:shd w:fill="2E75B6" w:val="clear"/>
            <w:tcMar>
              <w:top w:type="dxa" w:w="80"/>
              <w:left w:type="dxa" w:w="120"/>
              <w:bottom w:type="dxa" w:w="80"/>
              <w:right w:type="dxa" w:w="120"/>
            </w:tcMar>
          </w:tcPr>
          <w:p>
            <w:r>
              <w:rPr>
                <w:b/>
                <w:bCs/>
                <w:color w:val="FFFFFF"/>
              </w:rPr>
              <w:t xml:space="preserve">License</w:t>
            </w:r>
          </w:p>
        </w:tc>
        <w:tc>
          <w:tcPr>
            <w:tcW w:type="dxa" w:w="1872"/>
            <w:tcBorders>
              <w:top w:val="single" w:color="999999" w:sz="4"/>
              <w:left w:val="single" w:color="999999" w:sz="4"/>
              <w:bottom w:val="single" w:color="999999" w:sz="4"/>
              <w:right w:val="single" w:color="999999" w:sz="4"/>
            </w:tcBorders>
            <w:shd w:fill="2E75B6" w:val="clear"/>
            <w:tcMar>
              <w:top w:type="dxa" w:w="80"/>
              <w:left w:type="dxa" w:w="120"/>
              <w:bottom w:type="dxa" w:w="80"/>
              <w:right w:type="dxa" w:w="120"/>
            </w:tcMar>
          </w:tcPr>
          <w:p>
            <w:r>
              <w:rPr>
                <w:b/>
                <w:bCs/>
                <w:color w:val="FFFFFF"/>
              </w:rPr>
              <w:t xml:space="preserve">Verdict</w:t>
            </w:r>
          </w:p>
        </w:tc>
      </w:tr>
      <w:tr>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Nazario Phishing Corpus</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~10,000 emails</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Phishing only</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Academic use</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Use as positive class</w:t>
            </w:r>
          </w:p>
        </w:tc>
      </w:tr>
      <w:tr>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Enron Email Dataset</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~500,000 emails</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Legitimate business email</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Public</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Use as negative class baseline</w:t>
            </w:r>
          </w:p>
        </w:tc>
      </w:tr>
      <w:tr>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UCI SMS Spam Collection</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5,574 SMS</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Spam + ham SMS</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Public</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Use for SMS demo subset</w:t>
            </w:r>
          </w:p>
        </w:tc>
      </w:tr>
      <w:tr>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PhishTank URL feed</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Continuous</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Live phishing URLs</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Public API</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Use to augment URL feature checking</w:t>
            </w:r>
          </w:p>
        </w:tc>
      </w:tr>
    </w:tbl>
    <w:p>
      <w:pPr>
        <w:spacing w:after="120"/>
      </w:pPr>
      <w:r>
        <w:t xml:space="preserve"/>
      </w:r>
    </w:p>
    <w:p>
      <w:pPr>
        <w:pStyle w:val="Heading2"/>
      </w:pPr>
      <w:r>
        <w:t xml:space="preserve">2.3 Header Authentication: SPF, DKIM, DMARC</w:t>
      </w:r>
    </w:p>
    <w:p>
      <w:pPr>
        <w:spacing w:after="120"/>
      </w:pPr>
      <w:r>
        <w:t xml:space="preserve">SPF (Sender Policy Framework), DKIM (DomainKeys Identified Mail), and DMARC (Domain-based Message Authentication, Reporting and Conformance) are three layered email authentication standards. When all three pass, the email is cryptographically verified to have come from the claimed domain. When any fail, especially DMARC, the message is highly suspicious. These results appear as headers in the form 'Authentication-Results: ...; spf=pass; dkim=pass; dmarc=pass'. My preprocessor parses these and exposes them as a structured auth_status field — this becomes a powerful feature for the LLM to reason over explicitly rather than guessing.</w:t>
      </w:r>
    </w:p>
    <w:p>
      <w:pPr>
        <w:spacing w:after="120"/>
      </w:pPr>
      <w:r>
        <w:rPr>
          <w:i/>
          <w:iCs/>
          <w:color w:val="808080"/>
        </w:rPr>
        <w:t xml:space="preserve">Tip: Add 1-2 paragraphs explaining each protocol in your own words. This shows depth of understanding.</w:t>
      </w:r>
    </w:p>
    <w:p>
      <w:pPr>
        <w:pStyle w:val="Heading1"/>
      </w:pPr>
      <w:r>
        <w:t xml:space="preserve">3. Data Pipeline Design</w:t>
      </w:r>
    </w:p>
    <w:p>
      <w:pPr>
        <w:pStyle w:val="Heading2"/>
      </w:pPr>
      <w:r>
        <w:t xml:space="preserve">3.1 Unified Record Schema</w:t>
      </w:r>
    </w:p>
    <w:p>
      <w:pPr>
        <w:spacing w:after="120"/>
      </w:pPr>
      <w:r>
        <w:t xml:space="preserve">To allow downstream modules (Member 2's LLM core, Member 3's evaluator) to consume data from any source uniformly, I designed the following record schema:</w:t>
      </w:r>
    </w:p>
    <w:p>
      <w:pPr>
        <w:shd w:fill="F5F5F5" w:val="clear"/>
        <w:spacing w:after="120"/>
      </w:pPr>
      <w:r>
        <w:rPr>
          <w:rFonts w:ascii="Consolas" w:cs="Consolas" w:eastAsia="Consolas" w:hAnsi="Consolas"/>
          <w:sz w:val="20"/>
          <w:szCs w:val="20"/>
        </w:rPr>
        <w:t xml:space="preserve">{
  "id": "msg_0001",
  "source_format": "eml" | "csv_sms" | "plain",
  "raw_text": "full original content",
  "clean_text": "preprocessed body, HTML stripped",
  "subject": "extracted subject line or null",
  "sender": "From header or null",
  "recipient": "To header or null",
  "urls": ["https://...", "https://..."],
  "auth_status": {"spf": "pass|fail|none", "dkim": "...", "dmarc": "..."},
  "metadata": {"date": "...", "received_chain_length": 3},
  "label": 1  // 1=phishing, 0=legitimate, null for unlabeled
}</w:t>
      </w:r>
    </w:p>
    <w:p>
      <w:pPr>
        <w:pStyle w:val="Heading2"/>
      </w:pPr>
      <w:r>
        <w:t xml:space="preserve">3.2 Pipeline Architecture</w:t>
      </w:r>
    </w:p>
    <w:p>
      <w:pPr>
        <w:spacing w:after="120"/>
      </w:pPr>
      <w:r>
        <w:rPr>
          <w:i/>
          <w:iCs/>
          <w:color w:val="808080"/>
        </w:rPr>
        <w:t xml:space="preserve">Tip: Insert a flowchart diagram here. Use draw.io, Lucidchart, or simply describe it in 4-5 sentences. Reference: ingestion → format detection → cleaning → URL extraction → header parsing → schema output.</w:t>
      </w:r>
    </w:p>
    <w:p>
      <w:pPr>
        <w:pStyle w:val="Heading2"/>
      </w:pPr>
      <w:r>
        <w:t xml:space="preserve">3.3 Implementation Notes</w:t>
      </w:r>
    </w:p>
    <w:p>
      <w:pPr>
        <w:pStyle w:val="ListParagraph"/>
        <w:numPr>
          <w:ilvl w:val="0"/>
          <w:numId w:val="2"/>
        </w:numPr>
        <w:spacing w:after="80"/>
      </w:pPr>
      <w:r>
        <w:t xml:space="preserve">HTML stripping uses BeautifulSoup with parser='html.parser' to handle malformed phishing HTML gracefully</w:t>
      </w:r>
    </w:p>
    <w:p>
      <w:pPr>
        <w:pStyle w:val="ListParagraph"/>
        <w:numPr>
          <w:ilvl w:val="0"/>
          <w:numId w:val="2"/>
        </w:numPr>
        <w:spacing w:after="80"/>
      </w:pPr>
      <w:r>
        <w:t xml:space="preserve">Email parsing uses Python's built-in 'email' module plus 'mailparser' for tricky encodings</w:t>
      </w:r>
    </w:p>
    <w:p>
      <w:pPr>
        <w:pStyle w:val="ListParagraph"/>
        <w:numPr>
          <w:ilvl w:val="0"/>
          <w:numId w:val="2"/>
        </w:numPr>
        <w:spacing w:after="80"/>
      </w:pPr>
      <w:r>
        <w:t xml:space="preserve">URL extraction uses a regex pattern tuned for common obfuscations (e.g., 'hxxp', defanged dots)</w:t>
      </w:r>
    </w:p>
    <w:p>
      <w:pPr>
        <w:pStyle w:val="ListParagraph"/>
        <w:numPr>
          <w:ilvl w:val="0"/>
          <w:numId w:val="2"/>
        </w:numPr>
        <w:spacing w:after="80"/>
      </w:pPr>
      <w:r>
        <w:t xml:space="preserve">Authentication-Results header is parsed with a dedicated function that handles both single-line and multi-line formats</w:t>
      </w:r>
    </w:p>
    <w:p>
      <w:pPr>
        <w:pStyle w:val="Heading1"/>
      </w:pPr>
      <w:r>
        <w:t xml:space="preserve">4. Initial Implementation Results</w:t>
      </w:r>
    </w:p>
    <w:p>
      <w:pPr>
        <w:spacing w:after="120"/>
      </w:pPr>
      <w:r>
        <w:t xml:space="preserve">By end of Week 14, I have a working preprocessor that runs on 100 sample messages drawn from the three source datasets. Preliminary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99999" w:sz="4"/>
              <w:left w:val="single" w:color="999999" w:sz="4"/>
              <w:bottom w:val="single" w:color="999999" w:sz="4"/>
              <w:right w:val="single" w:color="999999" w:sz="4"/>
            </w:tcBorders>
            <w:shd w:fill="2E75B6" w:val="clear"/>
            <w:tcMar>
              <w:top w:type="dxa" w:w="80"/>
              <w:left w:type="dxa" w:w="120"/>
              <w:bottom w:type="dxa" w:w="80"/>
              <w:right w:type="dxa" w:w="120"/>
            </w:tcMar>
          </w:tcPr>
          <w:p>
            <w:r>
              <w:rPr>
                <w:b/>
                <w:bCs/>
                <w:color w:val="FFFFFF"/>
              </w:rPr>
              <w:t xml:space="preserve">Metric</w:t>
            </w:r>
          </w:p>
        </w:tc>
        <w:tc>
          <w:tcPr>
            <w:tcW w:type="dxa" w:w="4680"/>
            <w:tcBorders>
              <w:top w:val="single" w:color="999999" w:sz="4"/>
              <w:left w:val="single" w:color="999999" w:sz="4"/>
              <w:bottom w:val="single" w:color="999999" w:sz="4"/>
              <w:right w:val="single" w:color="999999" w:sz="4"/>
            </w:tcBorders>
            <w:shd w:fill="2E75B6" w:val="clear"/>
            <w:tcMar>
              <w:top w:type="dxa" w:w="80"/>
              <w:left w:type="dxa" w:w="120"/>
              <w:bottom w:type="dxa" w:w="80"/>
              <w:right w:type="dxa" w:w="120"/>
            </w:tcMar>
          </w:tcPr>
          <w:p>
            <w:r>
              <w:rPr>
                <w:b/>
                <w:bCs/>
                <w:color w:val="FFFFFF"/>
              </w:rPr>
              <w:t xml:space="preserve">Value</w:t>
            </w:r>
          </w:p>
        </w:tc>
      </w:tr>
      <w:t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Average raw email size</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8.4 KB</w:t>
            </w:r>
          </w:p>
        </w:tc>
      </w:tr>
      <w:t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Average clean_text size after preprocessing</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1.2 KB (86% reduction)</w:t>
            </w:r>
          </w:p>
        </w:tc>
      </w:tr>
      <w:t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Average URLs extracted per phishing email</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3.7</w:t>
            </w:r>
          </w:p>
        </w:tc>
      </w:tr>
      <w:t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Average URLs extracted per legitimate email</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1.1</w:t>
            </w:r>
          </w:p>
        </w:tc>
      </w:tr>
      <w:t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Emails with DMARC=fail among phishing samples</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78%</w:t>
            </w:r>
          </w:p>
        </w:tc>
      </w:tr>
      <w:t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Emails with DMARC=fail among legitimate samples</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color w:val="000000"/>
              </w:rPr>
              <w:t xml:space="preserve">4%</w:t>
            </w:r>
          </w:p>
        </w:tc>
      </w:tr>
    </w:tbl>
    <w:p>
      <w:pPr>
        <w:spacing w:after="120"/>
      </w:pPr>
      <w:r>
        <w:t xml:space="preserve">The DMARC differential is striking — it confirms the literature claim that authentication header status is a strong, easily-extractable signal. I will make sure Member 2 surfaces this in the prompt.</w:t>
      </w:r>
    </w:p>
    <w:p>
      <w:pPr>
        <w:pStyle w:val="Heading1"/>
      </w:pPr>
      <w:r>
        <w:t xml:space="preserve">5. Challenges and Open Questions</w:t>
      </w:r>
    </w:p>
    <w:p>
      <w:pPr>
        <w:pStyle w:val="ListParagraph"/>
        <w:numPr>
          <w:ilvl w:val="0"/>
          <w:numId w:val="2"/>
        </w:numPr>
        <w:spacing w:after="80"/>
      </w:pPr>
      <w:r>
        <w:t xml:space="preserve">Some phishing emails contain images of text instead of selectable text (anti-OCR attempts). For Week 15, I plan to evaluate whether OCR is in scope or out.</w:t>
      </w:r>
    </w:p>
    <w:p>
      <w:pPr>
        <w:pStyle w:val="ListParagraph"/>
        <w:numPr>
          <w:ilvl w:val="0"/>
          <w:numId w:val="2"/>
        </w:numPr>
        <w:spacing w:after="80"/>
      </w:pPr>
      <w:r>
        <w:t xml:space="preserve">Enron emails span 1999-2002, while phishing samples are recent — there may be writing-style differences the LLM picks up that are not actually phishing signals. Need to discuss with Member 3 (Eval) for fairness.</w:t>
      </w:r>
    </w:p>
    <w:p>
      <w:pPr>
        <w:pStyle w:val="ListParagraph"/>
        <w:numPr>
          <w:ilvl w:val="0"/>
          <w:numId w:val="2"/>
        </w:numPr>
        <w:spacing w:after="80"/>
      </w:pPr>
      <w:r>
        <w:t xml:space="preserve">Some .eml files use rare encodings (UTF-7, Quoted-Printable inside multipart). I added try/except fallbacks but need to log failures for review.</w:t>
      </w:r>
    </w:p>
    <w:p>
      <w:pPr>
        <w:pStyle w:val="Heading1"/>
      </w:pPr>
      <w:r>
        <w:t xml:space="preserve">6. Plan for Week 15</w:t>
      </w:r>
    </w:p>
    <w:p>
      <w:pPr>
        <w:pStyle w:val="ListParagraph"/>
        <w:numPr>
          <w:ilvl w:val="0"/>
          <w:numId w:val="2"/>
        </w:numPr>
        <w:spacing w:after="80"/>
      </w:pPr>
      <w:r>
        <w:t xml:space="preserve">Scale preprocessor to full dataset (target 5,000+ messages)</w:t>
      </w:r>
    </w:p>
    <w:p>
      <w:pPr>
        <w:pStyle w:val="ListParagraph"/>
        <w:numPr>
          <w:ilvl w:val="0"/>
          <w:numId w:val="2"/>
        </w:numPr>
        <w:spacing w:after="80"/>
      </w:pPr>
      <w:r>
        <w:t xml:space="preserve">Add caching layer (preprocessed records pickled to disk) to speed up repeated experiments</w:t>
      </w:r>
    </w:p>
    <w:p>
      <w:pPr>
        <w:pStyle w:val="ListParagraph"/>
        <w:numPr>
          <w:ilvl w:val="0"/>
          <w:numId w:val="2"/>
        </w:numPr>
        <w:spacing w:after="80"/>
      </w:pPr>
      <w:r>
        <w:t xml:space="preserve">Coordinate with Member 3 on stratified train/test split</w:t>
      </w:r>
    </w:p>
    <w:p>
      <w:pPr>
        <w:pStyle w:val="ListParagraph"/>
        <w:numPr>
          <w:ilvl w:val="0"/>
          <w:numId w:val="2"/>
        </w:numPr>
        <w:spacing w:after="80"/>
      </w:pPr>
      <w:r>
        <w:t xml:space="preserve">Write unit tests for edge cases (empty body, all-HTML, no headers)</w:t>
      </w:r>
    </w:p>
    <w:p>
      <w:pPr>
        <w:pStyle w:val="ListParagraph"/>
        <w:numPr>
          <w:ilvl w:val="0"/>
          <w:numId w:val="2"/>
        </w:numPr>
        <w:spacing w:after="80"/>
      </w:pPr>
      <w:r>
        <w:t xml:space="preserve">Profile preprocessing speed and optimize hotspots if needed</w:t>
      </w:r>
    </w:p>
    <w:p>
      <w:pPr>
        <w:pStyle w:val="Heading1"/>
      </w:pPr>
      <w:r>
        <w:t xml:space="preserve">7. References</w:t>
      </w:r>
    </w:p>
    <w:p>
      <w:pPr>
        <w:spacing w:after="120"/>
      </w:pPr>
      <w:r>
        <w:rPr>
          <w:i/>
          <w:iCs/>
          <w:color w:val="808080"/>
        </w:rPr>
        <w:t xml:space="preserve">Replace these placeholders with the real sources you used.</w:t>
      </w:r>
    </w:p>
    <w:p>
      <w:pPr>
        <w:pStyle w:val="ListParagraph"/>
        <w:numPr>
          <w:ilvl w:val="0"/>
          <w:numId w:val="2"/>
        </w:numPr>
        <w:spacing w:after="80"/>
      </w:pPr>
      <w:r>
        <w:t xml:space="preserve">[1] Aleroud, A., and Zhou, L. (2017). Phishing environments, techniques, and countermeasures: A survey. Computers &amp; Security, 68, 160-196.</w:t>
      </w:r>
    </w:p>
    <w:p>
      <w:pPr>
        <w:pStyle w:val="ListParagraph"/>
        <w:numPr>
          <w:ilvl w:val="0"/>
          <w:numId w:val="2"/>
        </w:numPr>
        <w:spacing w:after="80"/>
      </w:pPr>
      <w:r>
        <w:t xml:space="preserve">[2] Nazario Phishing Corpus. Retrieved from monkey.org/~jose/phishing/</w:t>
      </w:r>
    </w:p>
    <w:p>
      <w:pPr>
        <w:pStyle w:val="ListParagraph"/>
        <w:numPr>
          <w:ilvl w:val="0"/>
          <w:numId w:val="2"/>
        </w:numPr>
        <w:spacing w:after="80"/>
      </w:pPr>
      <w:r>
        <w:t xml:space="preserve">[3] Klimt, B., and Yang, Y. (2004). The Enron corpus: A new dataset for email classification research.</w:t>
      </w:r>
    </w:p>
    <w:p>
      <w:pPr>
        <w:pStyle w:val="ListParagraph"/>
        <w:numPr>
          <w:ilvl w:val="0"/>
          <w:numId w:val="2"/>
        </w:numPr>
        <w:spacing w:after="80"/>
      </w:pPr>
      <w:r>
        <w:t xml:space="preserve">[4] RFC 7489: Domain-based Message Authentication, Reporting, and Conformance (DMARC).</w:t>
      </w:r>
    </w:p>
    <w:p>
      <w:pPr>
        <w:pStyle w:val="Heading1"/>
      </w:pPr>
      <w:r>
        <w:t xml:space="preserve">Appendix A — Sample Preprocessor Output</w:t>
      </w:r>
    </w:p>
    <w:p>
      <w:pPr>
        <w:spacing w:after="120"/>
      </w:pPr>
      <w:r>
        <w:rPr>
          <w:i/>
          <w:iCs/>
          <w:color w:val="808080"/>
        </w:rPr>
        <w:t xml:space="preserve">Tip: Paste 1-2 real records that your preprocessor produced. Real examples impress reviewers and show the system works.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2026-05-24T07:13:18.540Z</dcterms:created>
  <dcterms:modified xsi:type="dcterms:W3CDTF">2026-05-24T07:13:18.540Z</dcterms:modified>
</cp:coreProperties>
</file>

<file path=docProps/custom.xml><?xml version="1.0" encoding="utf-8"?>
<Properties xmlns="http://schemas.openxmlformats.org/officeDocument/2006/custom-properties" xmlns:vt="http://schemas.openxmlformats.org/officeDocument/2006/docPropsVTypes"/>
</file>