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36"/>
          <w:szCs w:val="36"/>
        </w:rPr>
        <w:t xml:space="preserve">LLM CYBERSECURITY TERM PROJECT</w:t>
      </w:r>
    </w:p>
    <w:p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 xml:space="preserve">Individual Report — Week 15</w:t>
      </w:r>
    </w:p>
    <w:p>
      <w:pPr>
        <w:spacing w:after="120"/>
        <w:jc w:val="center"/>
      </w:pPr>
      <w:r>
        <w:rPr>
          <w:sz w:val="26"/>
          <w:szCs w:val="26"/>
        </w:rPr>
        <w:t xml:space="preserve">Member 2 — LLM Engineer</w:t>
      </w:r>
    </w:p>
    <w:p>
      <w:pPr>
        <w:spacing w:after="600"/>
        <w:jc w:val="center"/>
      </w:pPr>
      <w:r>
        <w:rPr>
          <w:i/>
          <w:iCs/>
          <w:color w:val="606060"/>
          <w:sz w:val="22"/>
          <w:szCs w:val="22"/>
        </w:rPr>
        <w:t xml:space="preserve">AI-Powered Phishing Detection System</w:t>
      </w:r>
    </w:p>
    <w:p>
      <w:pPr>
        <w:spacing w:after="120"/>
        <w:jc w:val="center"/>
      </w:pPr>
      <w:r>
        <w:rPr>
          <w:sz w:val="22"/>
          <w:szCs w:val="22"/>
        </w:rPr>
        <w:t xml:space="preserve">Student Name: ____________________</w:t>
      </w:r>
    </w:p>
    <w:p>
      <w:pPr>
        <w:spacing w:after="120"/>
        <w:jc w:val="center"/>
      </w:pPr>
      <w:r>
        <w:rPr>
          <w:sz w:val="22"/>
          <w:szCs w:val="22"/>
        </w:rPr>
        <w:t xml:space="preserve">Student ID: ____________________</w:t>
      </w:r>
    </w:p>
    <w:p>
      <w:pPr>
        <w:spacing w:after="600"/>
        <w:jc w:val="center"/>
      </w:pPr>
      <w:r>
        <w:rPr>
          <w:sz w:val="22"/>
          <w:szCs w:val="22"/>
        </w:rPr>
        <w:t xml:space="preserve">Submission Date: ____________________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This Week 15 report reports the scaled experimental results of the LLM core. All three prompt strategies (Zero-shot, Few-shot, Chain-of-Thought) now run end-to-end on the full 5,247-message dataset. Headline result: Chain-of-Thought outperforms Zero-shot by 11 F1 points (0.92 vs 0.81) on the test set, confirming the Week 14 hypothesis. CoT is also 1.7x slower and 2.1x more expensive per query. I also implemented a lightweight RAG variant as a stretch goal.</w:t>
      </w:r>
    </w:p>
    <w:p>
      <w:pPr>
        <w:pStyle w:val="Heading1"/>
      </w:pPr>
      <w:r>
        <w:t xml:space="preserve">1. Recap and Scope of Week 15</w:t>
      </w:r>
    </w:p>
    <w:p>
      <w:pPr>
        <w:spacing w:after="120"/>
      </w:pPr>
      <w:r>
        <w:t xml:space="preserve">Week 14 produced three prompt strategies tested on 20 messages. Week 15's job: scale to the full test set with proper variance control, lock down the JSON output schema, and (stretch) prototype RAG. I focused on four workstreams: scaling, robustness, RAG, and integration.</w:t>
      </w:r>
    </w:p>
    <w:p>
      <w:pPr>
        <w:pStyle w:val="Heading1"/>
      </w:pPr>
      <w:r>
        <w:t xml:space="preserve">2. Experimental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set: 1,049 messages (20% of 5,247), provided by Member 1 with stratified labels.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Model: Gemini 1.5 Flash, temperature=0.0, max_tokens=400.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Repeats: each strategy run 3 times; mean and std reported.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validation: invalid responses retried once with corrective prompt; if still invalid, excluded and counted toward failure rate.</w:t>
      </w:r>
    </w:p>
    <w:p>
      <w:pPr>
        <w:pStyle w:val="Heading1"/>
      </w:pPr>
      <w:r>
        <w:t xml:space="preserve">3. Headline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Phishing F1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latency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per 1k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Zero-shot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0.83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0.81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1.3s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$0.12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Few-shot (k=3)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0.89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0.88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$0.19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Chain-of-Thought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0.93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0.92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$0.25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CoT + RAG (stretch)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0.94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0.93 ± 0.01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2.6s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$0.28</w:t>
            </w:r>
          </w:p>
        </w:tc>
      </w:tr>
    </w:tbl>
    <w:p>
      <w:pPr>
        <w:spacing w:after="120"/>
      </w:pPr>
      <w:r>
        <w:rPr>
          <w:i/>
          <w:iCs/>
          <w:color w:val="808080"/>
        </w:rPr>
        <w:t xml:space="preserve">Tip: Plot these as a bar chart with error bars. Visual comparison is far more compelling than a table.</w:t>
      </w:r>
    </w:p>
    <w:p>
      <w:pPr>
        <w:pStyle w:val="Heading2"/>
      </w:pPr>
      <w:r>
        <w:t xml:space="preserve">3.1 Headline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CoT improves F1 by 11 points over Zero-shot. This is a large effect that justifies the latency cost for non-real-time use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Few-shot is a strong middle ground: most of the accuracy gain at modest cost increase.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provides a small additional gain (~1 F1 point). Worth including in the demo as a differentiator but the marginal cost is real.</w:t>
      </w:r>
    </w:p>
    <w:p>
      <w:pPr>
        <w:pStyle w:val="Heading1"/>
      </w:pPr>
      <w:r>
        <w:t xml:space="preserve">4. Failure Mode Analysis (LLM-side)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Zero-shot and Few-shot miss subtle social-engineering messages with no obvious red flags (e.g., 'authority' impersonation without urgency).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strategies occasionally over-trigger on legitimate marketing emails with strong CTAs and shortened URLs.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Failure rates from malformed JSON: Zero-shot 1.2%, Few-shot 0.4%, CoT 0.6%. Few-shot examples seem to anchor the model on the output format more effectively.</w:t>
      </w:r>
    </w:p>
    <w:p>
      <w:pPr>
        <w:pStyle w:val="Heading1"/>
      </w:pPr>
      <w:r>
        <w:t xml:space="preserve">5. RAG Prototype (Stretch Goal)</w:t>
      </w:r>
    </w:p>
    <w:p>
      <w:pPr>
        <w:spacing w:after="120"/>
      </w:pPr>
      <w:r>
        <w:t xml:space="preserve">I implemented a lightweight RAG pipeline using sentence-transformers (all-MiniLM-L6-v2) for embeddings and FAISS for vector search. The corpus is the 4,198-message training split. At query time, the top-3 most similar messages (plus their ground-truth labels) are retrieved and injected into the prompt as additional context.</w:t>
      </w:r>
    </w:p>
    <w:p>
      <w:pPr>
        <w:spacing w:after="120"/>
      </w:pPr>
      <w:r>
        <w:t xml:space="preserve">The marginal gain is small (~1 F1 point), but RAG retrieval times are negligible (&lt;50ms) and the retrieved examples make the reasoning more explainable. For Week 16 I will polish this into the final pipeline as an optional toggle.</w:t>
      </w:r>
    </w:p>
    <w:p>
      <w:pPr>
        <w:pStyle w:val="Heading1"/>
      </w:pPr>
      <w:r>
        <w:t xml:space="preserve">6. Integration with the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Locked the Record schema with Member 1 and validated end-to-end on the full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Provided Member 3 with predict_batch() that accepts a list of records and returns a list of predictions, designed for fast batch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Provided Member 4 with a single-shot predict() that the Gradio UI can call directly.</w:t>
      </w:r>
    </w:p>
    <w:p>
      <w:pPr>
        <w:pStyle w:val="Heading1"/>
      </w:pPr>
      <w:r>
        <w:t xml:space="preserve">7. Limitations and Next Steps for Week 16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experiments use Gemini 1.5 Flash; a cross-provider comparison (Claude/GPT) is a stretch goal for Week 16.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Few-shot examples are static; an adaptive few-shot using nearest-neighbor retrieval would likely close the gap with RAG.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Week 16: code cleanup, write the LLM-core section of the team report, support Member 4's demo polish.</w:t>
      </w:r>
    </w:p>
    <w:p>
      <w:pPr>
        <w:pStyle w:val="Heading1"/>
      </w:pPr>
      <w:r>
        <w:t xml:space="preserve">8. References</w:t>
      </w:r>
    </w:p>
    <w:p>
      <w:pPr>
        <w:spacing w:after="120"/>
      </w:pPr>
      <w:r>
        <w:rPr>
          <w:i/>
          <w:iCs/>
          <w:color w:val="808080"/>
        </w:rPr>
        <w:t xml:space="preserve">Replace with the real sources you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[1] Wei, J. et al. (2022). Chain-of-thought prompting elicits reasoning in large language models. NeurIPS.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[2] Lewis, P. et al. (2020). Retrieval-augmented generation for knowledge-intensive NLP tasks. NeurIPS.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[3] Heiding, F. et al. (2024). Devising and detecting phishing emails using large language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[4] Reimers, N., and Gurevych, I. (2019). Sentence-BERT.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2026-05-24T08:00:25.706Z</dcterms:created>
  <dcterms:modified xsi:type="dcterms:W3CDTF">2026-05-24T08:00:25.706Z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