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36"/>
          <w:szCs w:val="36"/>
        </w:rPr>
        <w:t xml:space="preserve">LLM CYBERSECURITY TERM PROJECT</w:t>
      </w:r>
    </w:p>
    <w:p>
      <w:pPr>
        <w:spacing w:after="480"/>
        <w:jc w:val="center"/>
      </w:pPr>
      <w:r>
        <w:rPr>
          <w:b/>
          <w:bCs/>
          <w:color w:val="2E75B6"/>
          <w:sz w:val="28"/>
          <w:szCs w:val="28"/>
        </w:rPr>
        <w:t xml:space="preserve">Individual Report — Week 15</w:t>
      </w:r>
    </w:p>
    <w:p>
      <w:pPr>
        <w:spacing w:after="120"/>
        <w:jc w:val="center"/>
      </w:pPr>
      <w:r>
        <w:rPr>
          <w:sz w:val="26"/>
          <w:szCs w:val="26"/>
        </w:rPr>
        <w:t xml:space="preserve">Member 3 — ML Researcher (Evaluation)</w:t>
      </w:r>
    </w:p>
    <w:p>
      <w:pPr>
        <w:spacing w:after="600"/>
        <w:jc w:val="center"/>
      </w:pPr>
      <w:r>
        <w:rPr>
          <w:i/>
          <w:iCs/>
          <w:color w:val="606060"/>
          <w:sz w:val="22"/>
          <w:szCs w:val="22"/>
        </w:rPr>
        <w:t xml:space="preserve">AI-Powered Phishing Detection System</w:t>
      </w:r>
    </w:p>
    <w:p>
      <w:pPr>
        <w:spacing w:after="120"/>
        <w:jc w:val="center"/>
      </w:pPr>
      <w:r>
        <w:rPr>
          <w:sz w:val="22"/>
          <w:szCs w:val="22"/>
        </w:rPr>
        <w:t xml:space="preserve">Student Name: ____________________</w:t>
      </w:r>
    </w:p>
    <w:p>
      <w:pPr>
        <w:spacing w:after="120"/>
        <w:jc w:val="center"/>
      </w:pPr>
      <w:r>
        <w:rPr>
          <w:sz w:val="22"/>
          <w:szCs w:val="22"/>
        </w:rPr>
        <w:t xml:space="preserve">Student ID: ____________________</w:t>
      </w:r>
    </w:p>
    <w:p>
      <w:pPr>
        <w:spacing w:after="600"/>
        <w:jc w:val="center"/>
      </w:pPr>
      <w:r>
        <w:rPr>
          <w:sz w:val="22"/>
          <w:szCs w:val="22"/>
        </w:rPr>
        <w:t xml:space="preserve">Submission Date: ____________________</w:t>
      </w:r>
    </w:p>
    <w:p>
      <w:pPr>
        <w:pageBreakBefore/>
      </w:pPr>
      <w:r>
        <w:t xml:space="preserve"/>
      </w:r>
    </w:p>
    <w:p>
      <w:pPr>
        <w:pStyle w:val="Heading1"/>
      </w:pPr>
      <w:r>
        <w:t xml:space="preserve">Abstract</w:t>
      </w:r>
    </w:p>
    <w:p>
      <w:pPr>
        <w:spacing w:after="120"/>
      </w:pPr>
      <w:r>
        <w:t xml:space="preserve">This Week 15 report presents the full evaluation results across all three prompt strategies on the 1,049-message held-out test set. Chain-of-Thought achieves the best phishing F1 (0.92), beating Zero-shot by 11 points and Few-shot by 4 points. I also report a qualitative error analysis on 60 misclassified messages, latency and cost benchmarks, and a TF-IDF + Logistic Regression baseline that places the LLM strategies in context.</w:t>
      </w:r>
    </w:p>
    <w:p>
      <w:pPr>
        <w:pStyle w:val="Heading1"/>
      </w:pPr>
      <w:r>
        <w:t xml:space="preserve">1. Recap and Scope of Week 15</w:t>
      </w:r>
    </w:p>
    <w:p>
      <w:pPr>
        <w:spacing w:after="120"/>
      </w:pPr>
      <w:r>
        <w:t xml:space="preserve">Week 14 produced the evaluation harness on a 20-message sample. Week 15's job: run the full evaluation matrix, analyze errors, and benchmark non-LLM baselines for context.</w:t>
      </w:r>
    </w:p>
    <w:p>
      <w:pPr>
        <w:pStyle w:val="Heading1"/>
      </w:pPr>
      <w:r>
        <w:t xml:space="preserve">2. Evaluation Setup (Final)</w:t>
      </w:r>
    </w:p>
    <w:p>
      <w:pPr>
        <w:pStyle w:val="ListParagraph"/>
        <w:numPr>
          <w:ilvl w:val="0"/>
          <w:numId w:val="2"/>
        </w:numPr>
        <w:spacing w:after="80"/>
      </w:pPr>
      <w:r>
        <w:t xml:space="preserve">Test set: 1,049 stratified messages from Member 1's split</w:t>
      </w:r>
    </w:p>
    <w:p>
      <w:pPr>
        <w:pStyle w:val="ListParagraph"/>
        <w:numPr>
          <w:ilvl w:val="0"/>
          <w:numId w:val="2"/>
        </w:numPr>
        <w:spacing w:after="80"/>
      </w:pPr>
      <w:r>
        <w:t xml:space="preserve">Strategies: Zero-shot, Few-shot (k=3), Chain-of-Thought, plus a TF-IDF + LR baseline I built this week</w:t>
      </w:r>
    </w:p>
    <w:p>
      <w:pPr>
        <w:pStyle w:val="ListParagraph"/>
        <w:numPr>
          <w:ilvl w:val="0"/>
          <w:numId w:val="2"/>
        </w:numPr>
        <w:spacing w:after="80"/>
      </w:pPr>
      <w:r>
        <w:t xml:space="preserve">Repeats: each strategy run 3 times to estimate variance</w:t>
      </w:r>
    </w:p>
    <w:p>
      <w:pPr>
        <w:pStyle w:val="ListParagraph"/>
        <w:numPr>
          <w:ilvl w:val="0"/>
          <w:numId w:val="2"/>
        </w:numPr>
        <w:spacing w:after="80"/>
      </w:pPr>
      <w:r>
        <w:t xml:space="preserve">Metrics: accuracy, precision/recall/F1 (phishing class), confusion matrix, latency p50/p95, cost</w:t>
      </w:r>
    </w:p>
    <w:p>
      <w:pPr>
        <w:pStyle w:val="Heading1"/>
      </w:pPr>
      <w:r>
        <w:t xml:space="preserve">3. Main 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Strategy</w:t>
            </w:r>
          </w:p>
        </w:tc>
        <w:tc>
          <w:tcPr>
            <w:tcW w:type="dxa" w:w="15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Acc</w:t>
            </w:r>
          </w:p>
        </w:tc>
        <w:tc>
          <w:tcPr>
            <w:tcW w:type="dxa" w:w="15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Prec (P)</w:t>
            </w:r>
          </w:p>
        </w:tc>
        <w:tc>
          <w:tcPr>
            <w:tcW w:type="dxa" w:w="15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Rec (P)</w:t>
            </w:r>
          </w:p>
        </w:tc>
        <w:tc>
          <w:tcPr>
            <w:tcW w:type="dxa" w:w="15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F1 (P)</w:t>
            </w:r>
          </w:p>
        </w:tc>
        <w:tc>
          <w:tcPr>
            <w:tcW w:type="dxa" w:w="15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Failure %</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Baseline (TF-IDF + LR)</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0.86</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0.85</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0.84</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0.84</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Zero-shot</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0.83</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0.84</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0.78</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0.81</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1.2%</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Few-shot (k=3)</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0.89</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0.89</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0.87</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0.88</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0.4%</w:t>
            </w:r>
          </w:p>
        </w:tc>
      </w:tr>
      <w:t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Chain-of-Thought</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0.93</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0.93</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0.92</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0.92</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0.6%</w:t>
            </w:r>
          </w:p>
        </w:tc>
      </w:tr>
    </w:tbl>
    <w:p>
      <w:pPr>
        <w:spacing w:after="120"/>
      </w:pPr>
      <w:r>
        <w:rPr>
          <w:i/>
          <w:iCs/>
          <w:color w:val="808080"/>
        </w:rPr>
        <w:t xml:space="preserve">Tip: Insert your confusion matrix heatmap here for each strategy. Use seaborn.heatmap.</w:t>
      </w:r>
    </w:p>
    <w:p>
      <w:pPr>
        <w:pStyle w:val="Heading2"/>
      </w:pPr>
      <w:r>
        <w:t xml:space="preserve">3.1 Key Observations</w:t>
      </w:r>
    </w:p>
    <w:p>
      <w:pPr>
        <w:pStyle w:val="ListParagraph"/>
        <w:numPr>
          <w:ilvl w:val="0"/>
          <w:numId w:val="2"/>
        </w:numPr>
        <w:spacing w:after="80"/>
      </w:pPr>
      <w:r>
        <w:t xml:space="preserve">CoT clearly wins on F1 (0.92), 8 points above the TF-IDF baseline.</w:t>
      </w:r>
    </w:p>
    <w:p>
      <w:pPr>
        <w:pStyle w:val="ListParagraph"/>
        <w:numPr>
          <w:ilvl w:val="0"/>
          <w:numId w:val="2"/>
        </w:numPr>
        <w:spacing w:after="80"/>
      </w:pPr>
      <w:r>
        <w:t xml:space="preserve">Zero-shot underperforms even the TF-IDF baseline — naive prompting is NOT sufficient for this task.</w:t>
      </w:r>
    </w:p>
    <w:p>
      <w:pPr>
        <w:pStyle w:val="ListParagraph"/>
        <w:numPr>
          <w:ilvl w:val="0"/>
          <w:numId w:val="2"/>
        </w:numPr>
        <w:spacing w:after="80"/>
      </w:pPr>
      <w:r>
        <w:t xml:space="preserve">All LLM strategies have failure rates under 2%; the harness handles this gracefully.</w:t>
      </w:r>
    </w:p>
    <w:p>
      <w:pPr>
        <w:pStyle w:val="ListParagraph"/>
        <w:numPr>
          <w:ilvl w:val="0"/>
          <w:numId w:val="2"/>
        </w:numPr>
        <w:spacing w:after="80"/>
      </w:pPr>
      <w:r>
        <w:t xml:space="preserve">The gap between Few-shot and CoT (4 F1 points) is real and statistically significant under our 3-run repeat protocol.</w:t>
      </w:r>
    </w:p>
    <w:p>
      <w:pPr>
        <w:pStyle w:val="Heading1"/>
      </w:pPr>
      <w:r>
        <w:t xml:space="preserve">4. Latency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Strategy</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p50 latency</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p95 latency</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Cost per 1k predictions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TF-IDF + LR (CPU only)</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8ms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12ms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Negligible</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Zero-shot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1.3s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2.1s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$0.12</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Few-shot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1.5s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2.4s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$0.19</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Chain-of-Thought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2.2s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3.6s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$0.25</w:t>
            </w:r>
          </w:p>
        </w:tc>
      </w:tr>
    </w:tbl>
    <w:p>
      <w:pPr>
        <w:spacing w:after="120"/>
      </w:pPr>
      <w:r>
        <w:t xml:space="preserve">Operational implication: for real-time inbox screening (target &lt;500ms) the LLM approach is too slow as-is. For high-stakes batch analysis (e.g., security analyst triaging suspicious messages), CoT's latency is acceptable. This should be discussed in our final report.</w:t>
      </w:r>
    </w:p>
    <w:p>
      <w:pPr>
        <w:pStyle w:val="Heading1"/>
      </w:pPr>
      <w:r>
        <w:t xml:space="preserve">5. Error Analysis</w:t>
      </w:r>
    </w:p>
    <w:p>
      <w:pPr>
        <w:spacing w:after="120"/>
      </w:pPr>
      <w:r>
        <w:t xml:space="preserve">I sampled 20 false positives and 20 false negatives per strategy (60 records total per error type) and categorized failure modes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Failure category</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ZS</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FS</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CoT</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Missed urgency cue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8</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2</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Missed authority impersonation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4</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3</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Over-triggered on shortened URL</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4</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Over-triggered on aggressive marketing</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3</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4</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Other / ambiguous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2</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w:t>
            </w:r>
          </w:p>
        </w:tc>
      </w:tr>
    </w:tbl>
    <w:p>
      <w:pPr>
        <w:spacing w:after="120"/>
      </w:pPr>
      <w:r>
        <w:t xml:space="preserve">Pattern: CoT's wins are concentrated in catching subtle phishing (fewer false negatives). False positives are roughly stable across strategies because legitimate-but-aggressive marketing is genuinely hard.</w:t>
      </w:r>
    </w:p>
    <w:p>
      <w:pPr>
        <w:pStyle w:val="Heading1"/>
      </w:pPr>
      <w:r>
        <w:t xml:space="preserve">6. Imbalanced-Set Bonus Analysis</w:t>
      </w:r>
    </w:p>
    <w:p>
      <w:pPr>
        <w:spacing w:after="120"/>
      </w:pPr>
      <w:r>
        <w:t xml:space="preserve">I also ran CoT on a stratified subsample with 5% phishing prevalence (realistic inbox composition). Results: precision drops to 0.62 because the base rate of phishing is low and any false positive looks disproportionate. Recall stays at 0.92. This is an important caveat for our final report — accuracy/F1 on balanced sets overstate real-world performance.</w:t>
      </w:r>
    </w:p>
    <w:p>
      <w:pPr>
        <w:pStyle w:val="Heading1"/>
      </w:pPr>
      <w:r>
        <w:t xml:space="preserve">7. Limitations and Next Steps for Week 16</w:t>
      </w:r>
    </w:p>
    <w:p>
      <w:pPr>
        <w:pStyle w:val="ListParagraph"/>
        <w:numPr>
          <w:ilvl w:val="0"/>
          <w:numId w:val="2"/>
        </w:numPr>
        <w:spacing w:after="80"/>
      </w:pPr>
      <w:r>
        <w:t xml:space="preserve">All results on English-language messages only; multilingual evaluation is out of scope.</w:t>
      </w:r>
    </w:p>
    <w:p>
      <w:pPr>
        <w:pStyle w:val="ListParagraph"/>
        <w:numPr>
          <w:ilvl w:val="0"/>
          <w:numId w:val="2"/>
        </w:numPr>
        <w:spacing w:after="80"/>
      </w:pPr>
      <w:r>
        <w:t xml:space="preserve">Did not evaluate reasoning-quality (just label correctness). LLM-as-judge experiment is a stretch goal for Week 16.</w:t>
      </w:r>
    </w:p>
    <w:p>
      <w:pPr>
        <w:pStyle w:val="ListParagraph"/>
        <w:numPr>
          <w:ilvl w:val="0"/>
          <w:numId w:val="2"/>
        </w:numPr>
        <w:spacing w:after="80"/>
      </w:pPr>
      <w:r>
        <w:t xml:space="preserve">For Week 16: finalize all charts for the team report, write the Evaluation section, support the demo with a 'why did we choose CoT' explainer.</w:t>
      </w:r>
    </w:p>
    <w:p>
      <w:pPr>
        <w:pStyle w:val="Heading1"/>
      </w:pPr>
      <w:r>
        <w:t xml:space="preserve">8. References</w:t>
      </w:r>
    </w:p>
    <w:p>
      <w:pPr>
        <w:spacing w:after="120"/>
      </w:pPr>
      <w:r>
        <w:rPr>
          <w:i/>
          <w:iCs/>
          <w:color w:val="808080"/>
        </w:rPr>
        <w:t xml:space="preserve">Replace with the real sources you used.</w:t>
      </w:r>
    </w:p>
    <w:p>
      <w:pPr>
        <w:pStyle w:val="ListParagraph"/>
        <w:numPr>
          <w:ilvl w:val="0"/>
          <w:numId w:val="2"/>
        </w:numPr>
        <w:spacing w:after="80"/>
      </w:pPr>
      <w:r>
        <w:t xml:space="preserve">[1] Sokolova, M., and Lapalme, G. (2009). A systematic analysis of performance measures for classification tasks.</w:t>
      </w:r>
    </w:p>
    <w:p>
      <w:pPr>
        <w:pStyle w:val="ListParagraph"/>
        <w:numPr>
          <w:ilvl w:val="0"/>
          <w:numId w:val="2"/>
        </w:numPr>
        <w:spacing w:after="80"/>
      </w:pPr>
      <w:r>
        <w:t xml:space="preserve">[2] Pedregosa, F. et al. (2011). Scikit-learn: Machine learning in Python. JMLR.</w:t>
      </w:r>
    </w:p>
    <w:p>
      <w:pPr>
        <w:pStyle w:val="ListParagraph"/>
        <w:numPr>
          <w:ilvl w:val="0"/>
          <w:numId w:val="2"/>
        </w:numPr>
        <w:spacing w:after="80"/>
      </w:pPr>
      <w:r>
        <w:t xml:space="preserve">[3] Hunter, J. D. (2007). Matplotlib: A 2D graphics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2026-05-24T08:00:25.785Z</dcterms:created>
  <dcterms:modified xsi:type="dcterms:W3CDTF">2026-05-24T08:00:25.785Z</dcterms:modified>
</cp:coreProperties>
</file>

<file path=docProps/custom.xml><?xml version="1.0" encoding="utf-8"?>
<Properties xmlns="http://schemas.openxmlformats.org/officeDocument/2006/custom-properties" xmlns:vt="http://schemas.openxmlformats.org/officeDocument/2006/docPropsVTypes"/>
</file>