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E66F0" w14:textId="58601F4D" w:rsidR="0089005C" w:rsidRDefault="00095529">
      <w:pPr>
        <w:spacing w:after="1058" w:line="259" w:lineRule="auto"/>
        <w:ind w:left="248" w:firstLine="0"/>
        <w:jc w:val="left"/>
      </w:pPr>
      <w:r>
        <w:rPr>
          <w:noProof/>
        </w:rPr>
        <w:drawing>
          <wp:inline distT="0" distB="0" distL="0" distR="0" wp14:anchorId="50025CF1" wp14:editId="05B460EC">
            <wp:extent cx="1219200" cy="726415"/>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
                    <a:stretch>
                      <a:fillRect/>
                    </a:stretch>
                  </pic:blipFill>
                  <pic:spPr>
                    <a:xfrm>
                      <a:off x="0" y="0"/>
                      <a:ext cx="1219200" cy="726415"/>
                    </a:xfrm>
                    <a:prstGeom prst="rect">
                      <a:avLst/>
                    </a:prstGeom>
                  </pic:spPr>
                </pic:pic>
              </a:graphicData>
            </a:graphic>
          </wp:inline>
        </w:drawing>
      </w:r>
    </w:p>
    <w:p w14:paraId="349FB3F2" w14:textId="77777777" w:rsidR="0089005C" w:rsidRDefault="00095529">
      <w:pPr>
        <w:spacing w:after="34" w:line="259" w:lineRule="auto"/>
        <w:ind w:left="0" w:firstLine="0"/>
        <w:jc w:val="left"/>
      </w:pPr>
      <w:r>
        <w:rPr>
          <w:noProof/>
        </w:rPr>
        <w:drawing>
          <wp:inline distT="0" distB="0" distL="0" distR="0" wp14:anchorId="73F6E944" wp14:editId="625FC3FF">
            <wp:extent cx="1627505" cy="13335"/>
            <wp:effectExtent l="0" t="0" r="0" b="0"/>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9"/>
                    <a:stretch>
                      <a:fillRect/>
                    </a:stretch>
                  </pic:blipFill>
                  <pic:spPr>
                    <a:xfrm>
                      <a:off x="0" y="0"/>
                      <a:ext cx="1627505" cy="13335"/>
                    </a:xfrm>
                    <a:prstGeom prst="rect">
                      <a:avLst/>
                    </a:prstGeom>
                  </pic:spPr>
                </pic:pic>
              </a:graphicData>
            </a:graphic>
          </wp:inline>
        </w:drawing>
      </w:r>
    </w:p>
    <w:p w14:paraId="6DC70B93" w14:textId="77777777" w:rsidR="0089005C" w:rsidRDefault="00095529">
      <w:pPr>
        <w:spacing w:after="3" w:line="249" w:lineRule="auto"/>
        <w:ind w:left="-5"/>
        <w:jc w:val="left"/>
      </w:pPr>
      <w:proofErr w:type="spellStart"/>
      <w:r>
        <w:rPr>
          <w:color w:val="7F7F7F"/>
          <w:sz w:val="16"/>
          <w:lang w:val="pt"/>
        </w:rPr>
        <w:t>Journal</w:t>
      </w:r>
      <w:proofErr w:type="spellEnd"/>
      <w:r>
        <w:rPr>
          <w:color w:val="7F7F7F"/>
          <w:sz w:val="16"/>
          <w:lang w:val="pt"/>
        </w:rPr>
        <w:t xml:space="preserve"> </w:t>
      </w:r>
      <w:proofErr w:type="spellStart"/>
      <w:r>
        <w:rPr>
          <w:color w:val="7F7F7F"/>
          <w:sz w:val="16"/>
          <w:lang w:val="pt"/>
        </w:rPr>
        <w:t>of</w:t>
      </w:r>
      <w:proofErr w:type="spellEnd"/>
      <w:r>
        <w:rPr>
          <w:color w:val="7F7F7F"/>
          <w:sz w:val="16"/>
          <w:lang w:val="pt"/>
        </w:rPr>
        <w:t xml:space="preserve"> </w:t>
      </w:r>
      <w:proofErr w:type="spellStart"/>
      <w:r>
        <w:rPr>
          <w:color w:val="7F7F7F"/>
          <w:sz w:val="16"/>
          <w:lang w:val="pt"/>
        </w:rPr>
        <w:t>Information</w:t>
      </w:r>
      <w:proofErr w:type="spellEnd"/>
      <w:r>
        <w:rPr>
          <w:color w:val="7F7F7F"/>
          <w:sz w:val="16"/>
          <w:lang w:val="pt"/>
        </w:rPr>
        <w:t xml:space="preserve"> System Security é uma publicação do Instituto de Informações. A  missão</w:t>
      </w:r>
      <w:r>
        <w:rPr>
          <w:lang w:val="pt"/>
        </w:rPr>
        <w:t xml:space="preserve"> </w:t>
      </w:r>
      <w:r>
        <w:rPr>
          <w:color w:val="7F7F7F"/>
          <w:sz w:val="16"/>
          <w:lang w:val="pt"/>
        </w:rPr>
        <w:t xml:space="preserve">da </w:t>
      </w:r>
      <w:proofErr w:type="spellStart"/>
      <w:r>
        <w:rPr>
          <w:color w:val="7F7F7F"/>
          <w:sz w:val="16"/>
          <w:lang w:val="pt"/>
        </w:rPr>
        <w:t>JISSec</w:t>
      </w:r>
      <w:proofErr w:type="spellEnd"/>
      <w:r>
        <w:rPr>
          <w:color w:val="7F7F7F"/>
          <w:sz w:val="16"/>
          <w:lang w:val="pt"/>
        </w:rPr>
        <w:t xml:space="preserve"> é  expandir significativamente o domínio</w:t>
      </w:r>
      <w:r>
        <w:rPr>
          <w:lang w:val="pt"/>
        </w:rPr>
        <w:t xml:space="preserve"> da </w:t>
      </w:r>
      <w:r>
        <w:rPr>
          <w:color w:val="7F7F7F"/>
          <w:sz w:val="16"/>
          <w:lang w:val="pt"/>
        </w:rPr>
        <w:t xml:space="preserve"> pesquisa</w:t>
      </w:r>
      <w:r>
        <w:rPr>
          <w:lang w:val="pt"/>
        </w:rPr>
        <w:t xml:space="preserve"> de </w:t>
      </w:r>
      <w:r>
        <w:rPr>
          <w:color w:val="7F7F7F"/>
          <w:sz w:val="16"/>
          <w:lang w:val="pt"/>
        </w:rPr>
        <w:t>segurança</w:t>
      </w:r>
      <w:r>
        <w:rPr>
          <w:lang w:val="pt"/>
        </w:rPr>
        <w:t xml:space="preserve"> do </w:t>
      </w:r>
      <w:r>
        <w:rPr>
          <w:color w:val="7F7F7F"/>
          <w:sz w:val="16"/>
          <w:lang w:val="pt"/>
        </w:rPr>
        <w:t xml:space="preserve"> sistema  de informação para um público amplo  e eclético de acadêmicos, consultores e executivos que estão   envolvidos na  gestão da segurança e, geralmente, na manutenção da integridade</w:t>
      </w:r>
      <w:r>
        <w:rPr>
          <w:lang w:val="pt"/>
        </w:rPr>
        <w:t xml:space="preserve"> das </w:t>
      </w:r>
      <w:r>
        <w:rPr>
          <w:color w:val="7F7F7F"/>
          <w:sz w:val="16"/>
          <w:lang w:val="pt"/>
        </w:rPr>
        <w:t xml:space="preserve">operações do negócio. </w:t>
      </w:r>
    </w:p>
    <w:p w14:paraId="0813FD3E" w14:textId="77777777" w:rsidR="0089005C" w:rsidRDefault="00095529">
      <w:pPr>
        <w:spacing w:after="0" w:line="259" w:lineRule="auto"/>
        <w:ind w:left="0" w:firstLine="0"/>
        <w:jc w:val="left"/>
      </w:pPr>
      <w:r>
        <w:rPr>
          <w:color w:val="7F7F7F"/>
          <w:sz w:val="16"/>
        </w:rPr>
        <w:t xml:space="preserve"> </w:t>
      </w:r>
    </w:p>
    <w:p w14:paraId="01E6EA4D" w14:textId="77777777" w:rsidR="0089005C" w:rsidRDefault="00095529">
      <w:pPr>
        <w:spacing w:after="35" w:line="259" w:lineRule="auto"/>
        <w:ind w:left="0" w:firstLine="0"/>
        <w:jc w:val="left"/>
      </w:pPr>
      <w:r>
        <w:rPr>
          <w:noProof/>
        </w:rPr>
        <w:drawing>
          <wp:inline distT="0" distB="0" distL="0" distR="0" wp14:anchorId="0EEEF5DE" wp14:editId="005AEC2A">
            <wp:extent cx="1627505" cy="13335"/>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9"/>
                    <a:stretch>
                      <a:fillRect/>
                    </a:stretch>
                  </pic:blipFill>
                  <pic:spPr>
                    <a:xfrm>
                      <a:off x="0" y="0"/>
                      <a:ext cx="1627505" cy="13335"/>
                    </a:xfrm>
                    <a:prstGeom prst="rect">
                      <a:avLst/>
                    </a:prstGeom>
                  </pic:spPr>
                </pic:pic>
              </a:graphicData>
            </a:graphic>
          </wp:inline>
        </w:drawing>
      </w:r>
    </w:p>
    <w:p w14:paraId="12B736FC" w14:textId="77777777" w:rsidR="0089005C" w:rsidRDefault="00095529">
      <w:pPr>
        <w:spacing w:after="3" w:line="249" w:lineRule="auto"/>
        <w:ind w:left="-5"/>
        <w:jc w:val="left"/>
      </w:pPr>
      <w:r>
        <w:rPr>
          <w:color w:val="7F7F7F"/>
          <w:sz w:val="16"/>
          <w:lang w:val="pt"/>
        </w:rPr>
        <w:t>Editor-chefe</w:t>
      </w:r>
    </w:p>
    <w:p w14:paraId="19C51F11" w14:textId="77777777" w:rsidR="0089005C" w:rsidRDefault="00095529">
      <w:pPr>
        <w:spacing w:after="3" w:line="249" w:lineRule="auto"/>
        <w:ind w:left="-5"/>
        <w:jc w:val="left"/>
      </w:pPr>
      <w:proofErr w:type="spellStart"/>
      <w:r>
        <w:rPr>
          <w:color w:val="7F7F7F"/>
          <w:sz w:val="16"/>
          <w:lang w:val="pt"/>
        </w:rPr>
        <w:t>Gurpreet</w:t>
      </w:r>
      <w:proofErr w:type="spellEnd"/>
      <w:r>
        <w:rPr>
          <w:color w:val="7F7F7F"/>
          <w:sz w:val="16"/>
          <w:lang w:val="pt"/>
        </w:rPr>
        <w:t xml:space="preserve"> </w:t>
      </w:r>
      <w:proofErr w:type="spellStart"/>
      <w:r>
        <w:rPr>
          <w:color w:val="7F7F7F"/>
          <w:sz w:val="16"/>
          <w:lang w:val="pt"/>
        </w:rPr>
        <w:t>Dhillon</w:t>
      </w:r>
      <w:proofErr w:type="spellEnd"/>
    </w:p>
    <w:p w14:paraId="3A459E87" w14:textId="77777777" w:rsidR="0089005C" w:rsidRDefault="00095529">
      <w:pPr>
        <w:spacing w:after="3" w:line="249" w:lineRule="auto"/>
        <w:ind w:left="-5"/>
        <w:jc w:val="left"/>
      </w:pPr>
      <w:r>
        <w:rPr>
          <w:color w:val="7F7F7F"/>
          <w:sz w:val="16"/>
          <w:lang w:val="pt"/>
        </w:rPr>
        <w:t xml:space="preserve">Virginia Commonwealth </w:t>
      </w:r>
      <w:proofErr w:type="spellStart"/>
      <w:r>
        <w:rPr>
          <w:color w:val="7F7F7F"/>
          <w:sz w:val="16"/>
          <w:lang w:val="pt"/>
        </w:rPr>
        <w:t>University</w:t>
      </w:r>
      <w:proofErr w:type="spellEnd"/>
      <w:r>
        <w:rPr>
          <w:color w:val="7F7F7F"/>
          <w:sz w:val="16"/>
          <w:lang w:val="pt"/>
        </w:rPr>
        <w:t xml:space="preserve">, </w:t>
      </w:r>
    </w:p>
    <w:p w14:paraId="1BDF623C" w14:textId="77777777" w:rsidR="0089005C" w:rsidRDefault="00095529">
      <w:pPr>
        <w:spacing w:after="3" w:line="249" w:lineRule="auto"/>
        <w:ind w:left="-5"/>
        <w:jc w:val="left"/>
      </w:pPr>
      <w:r>
        <w:rPr>
          <w:color w:val="7F7F7F"/>
          <w:sz w:val="16"/>
          <w:lang w:val="pt"/>
        </w:rPr>
        <w:t xml:space="preserve">EUA </w:t>
      </w:r>
    </w:p>
    <w:p w14:paraId="63C84C52" w14:textId="77777777" w:rsidR="0089005C" w:rsidRDefault="00095529">
      <w:pPr>
        <w:spacing w:after="0" w:line="259" w:lineRule="auto"/>
        <w:ind w:left="0" w:firstLine="0"/>
        <w:jc w:val="left"/>
      </w:pPr>
      <w:r>
        <w:rPr>
          <w:color w:val="7F7F7F"/>
          <w:sz w:val="16"/>
        </w:rPr>
        <w:t xml:space="preserve"> </w:t>
      </w:r>
    </w:p>
    <w:p w14:paraId="1624CC4B" w14:textId="77777777" w:rsidR="0089005C" w:rsidRDefault="00095529">
      <w:pPr>
        <w:spacing w:after="3" w:line="249" w:lineRule="auto"/>
        <w:ind w:left="-5"/>
        <w:jc w:val="left"/>
      </w:pPr>
      <w:r>
        <w:rPr>
          <w:color w:val="7F7F7F"/>
          <w:sz w:val="16"/>
          <w:lang w:val="pt"/>
        </w:rPr>
        <w:t xml:space="preserve"> Editor-chefe </w:t>
      </w:r>
    </w:p>
    <w:p w14:paraId="1CBE1F4E" w14:textId="77777777" w:rsidR="0089005C" w:rsidRDefault="00095529">
      <w:pPr>
        <w:spacing w:after="3" w:line="249" w:lineRule="auto"/>
        <w:ind w:left="-5"/>
        <w:jc w:val="left"/>
      </w:pPr>
      <w:r>
        <w:rPr>
          <w:color w:val="7F7F7F"/>
          <w:sz w:val="16"/>
          <w:lang w:val="pt"/>
        </w:rPr>
        <w:t xml:space="preserve">Filipe de </w:t>
      </w:r>
      <w:proofErr w:type="spellStart"/>
      <w:r>
        <w:rPr>
          <w:color w:val="7F7F7F"/>
          <w:sz w:val="16"/>
          <w:lang w:val="pt"/>
        </w:rPr>
        <w:t>Sá-Soares</w:t>
      </w:r>
      <w:proofErr w:type="spellEnd"/>
    </w:p>
    <w:p w14:paraId="44C3C6CE" w14:textId="77777777" w:rsidR="0089005C" w:rsidRDefault="00095529">
      <w:pPr>
        <w:spacing w:after="3" w:line="249" w:lineRule="auto"/>
        <w:ind w:left="-5" w:right="688"/>
        <w:jc w:val="left"/>
      </w:pPr>
      <w:r>
        <w:rPr>
          <w:color w:val="7F7F7F"/>
          <w:sz w:val="16"/>
          <w:lang w:val="pt"/>
        </w:rPr>
        <w:t xml:space="preserve">Universidade do Minho, Portugal  </w:t>
      </w:r>
    </w:p>
    <w:p w14:paraId="25AEB404" w14:textId="77777777" w:rsidR="0089005C" w:rsidRDefault="00095529">
      <w:pPr>
        <w:spacing w:after="36" w:line="259" w:lineRule="auto"/>
        <w:ind w:left="0" w:firstLine="0"/>
        <w:jc w:val="left"/>
      </w:pPr>
      <w:r>
        <w:rPr>
          <w:noProof/>
        </w:rPr>
        <w:drawing>
          <wp:inline distT="0" distB="0" distL="0" distR="0" wp14:anchorId="3B22C8AC" wp14:editId="407937EA">
            <wp:extent cx="1627505" cy="12700"/>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9"/>
                    <a:stretch>
                      <a:fillRect/>
                    </a:stretch>
                  </pic:blipFill>
                  <pic:spPr>
                    <a:xfrm>
                      <a:off x="0" y="0"/>
                      <a:ext cx="1627505" cy="12700"/>
                    </a:xfrm>
                    <a:prstGeom prst="rect">
                      <a:avLst/>
                    </a:prstGeom>
                  </pic:spPr>
                </pic:pic>
              </a:graphicData>
            </a:graphic>
          </wp:inline>
        </w:drawing>
      </w:r>
    </w:p>
    <w:p w14:paraId="3A3CB580" w14:textId="77777777" w:rsidR="0089005C" w:rsidRDefault="00095529">
      <w:pPr>
        <w:spacing w:after="3" w:line="249" w:lineRule="auto"/>
        <w:ind w:left="-5" w:right="1008"/>
        <w:jc w:val="left"/>
      </w:pPr>
      <w:r>
        <w:rPr>
          <w:color w:val="7F7F7F"/>
          <w:sz w:val="16"/>
          <w:lang w:val="pt"/>
        </w:rPr>
        <w:t xml:space="preserve">ISSN: 1551-0123 Volume 10, Edição 3 </w:t>
      </w:r>
    </w:p>
    <w:p w14:paraId="460BC43E" w14:textId="77777777" w:rsidR="0089005C" w:rsidRDefault="00095529">
      <w:pPr>
        <w:spacing w:after="36" w:line="259" w:lineRule="auto"/>
        <w:ind w:left="0" w:firstLine="0"/>
        <w:jc w:val="left"/>
      </w:pPr>
      <w:r>
        <w:rPr>
          <w:noProof/>
        </w:rPr>
        <w:drawing>
          <wp:inline distT="0" distB="0" distL="0" distR="0" wp14:anchorId="0562F489" wp14:editId="404BEE28">
            <wp:extent cx="1627505" cy="13335"/>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9"/>
                    <a:stretch>
                      <a:fillRect/>
                    </a:stretch>
                  </pic:blipFill>
                  <pic:spPr>
                    <a:xfrm>
                      <a:off x="0" y="0"/>
                      <a:ext cx="1627505" cy="13335"/>
                    </a:xfrm>
                    <a:prstGeom prst="rect">
                      <a:avLst/>
                    </a:prstGeom>
                  </pic:spPr>
                </pic:pic>
              </a:graphicData>
            </a:graphic>
          </wp:inline>
        </w:drawing>
      </w:r>
    </w:p>
    <w:p w14:paraId="4C746912" w14:textId="77777777" w:rsidR="0089005C" w:rsidRDefault="00095529">
      <w:pPr>
        <w:spacing w:after="3" w:line="249" w:lineRule="auto"/>
        <w:ind w:left="-5"/>
        <w:jc w:val="left"/>
      </w:pPr>
      <w:r>
        <w:rPr>
          <w:color w:val="7F7F7F"/>
          <w:sz w:val="16"/>
          <w:lang w:val="pt"/>
        </w:rPr>
        <w:t xml:space="preserve">www.jissec.org </w:t>
      </w:r>
    </w:p>
    <w:p w14:paraId="28EFBC9E" w14:textId="77777777" w:rsidR="0089005C" w:rsidRDefault="00095529">
      <w:pPr>
        <w:spacing w:after="0" w:line="259" w:lineRule="auto"/>
        <w:ind w:left="0" w:firstLine="0"/>
        <w:jc w:val="left"/>
      </w:pPr>
      <w:r>
        <w:rPr>
          <w:color w:val="7F7F7F"/>
          <w:sz w:val="16"/>
        </w:rPr>
        <w:t xml:space="preserve"> </w:t>
      </w:r>
    </w:p>
    <w:p w14:paraId="1023D484" w14:textId="77777777" w:rsidR="0089005C" w:rsidRDefault="00095529">
      <w:pPr>
        <w:spacing w:after="0" w:line="259" w:lineRule="auto"/>
        <w:ind w:left="0" w:firstLine="0"/>
        <w:jc w:val="left"/>
      </w:pPr>
      <w:r>
        <w:rPr>
          <w:noProof/>
        </w:rPr>
        <w:drawing>
          <wp:inline distT="0" distB="0" distL="0" distR="0" wp14:anchorId="3BFC4BD3" wp14:editId="58F5A894">
            <wp:extent cx="1627505" cy="13335"/>
            <wp:effectExtent l="0" t="0" r="0" b="0"/>
            <wp:docPr id="132" name="Picture 132"/>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9"/>
                    <a:stretch>
                      <a:fillRect/>
                    </a:stretch>
                  </pic:blipFill>
                  <pic:spPr>
                    <a:xfrm>
                      <a:off x="0" y="0"/>
                      <a:ext cx="1627505" cy="13335"/>
                    </a:xfrm>
                    <a:prstGeom prst="rect">
                      <a:avLst/>
                    </a:prstGeom>
                  </pic:spPr>
                </pic:pic>
              </a:graphicData>
            </a:graphic>
          </wp:inline>
        </w:drawing>
      </w:r>
    </w:p>
    <w:p w14:paraId="499C7AA2" w14:textId="77777777" w:rsidR="0089005C" w:rsidRDefault="00095529">
      <w:pPr>
        <w:spacing w:after="30" w:line="259" w:lineRule="auto"/>
        <w:ind w:left="-5"/>
        <w:jc w:val="left"/>
      </w:pPr>
      <w:r>
        <w:rPr>
          <w:b/>
          <w:sz w:val="24"/>
          <w:lang w:val="pt"/>
        </w:rPr>
        <w:t xml:space="preserve">A CIA CONTRA-ATACA: REDEFININDO </w:t>
      </w:r>
    </w:p>
    <w:p w14:paraId="131978EA" w14:textId="77777777" w:rsidR="0089005C" w:rsidRDefault="00095529">
      <w:pPr>
        <w:spacing w:after="354" w:line="259" w:lineRule="auto"/>
        <w:ind w:left="-5"/>
        <w:jc w:val="left"/>
      </w:pPr>
      <w:r>
        <w:rPr>
          <w:b/>
          <w:sz w:val="24"/>
          <w:lang w:val="pt"/>
        </w:rPr>
        <w:t xml:space="preserve">CONFIDENCIALIDADE, INTEGRIDADE E DISPONIBILIDADE NA SEGURANÇA  </w:t>
      </w:r>
    </w:p>
    <w:p w14:paraId="5340573D" w14:textId="77777777" w:rsidR="0089005C" w:rsidRDefault="00095529">
      <w:pPr>
        <w:spacing w:after="381" w:line="265" w:lineRule="auto"/>
        <w:ind w:left="-5"/>
        <w:jc w:val="left"/>
      </w:pPr>
      <w:proofErr w:type="spellStart"/>
      <w:r>
        <w:rPr>
          <w:b/>
          <w:lang w:val="pt"/>
        </w:rPr>
        <w:t>Spyridon</w:t>
      </w:r>
      <w:proofErr w:type="spellEnd"/>
      <w:r>
        <w:rPr>
          <w:b/>
          <w:lang w:val="pt"/>
        </w:rPr>
        <w:t xml:space="preserve"> </w:t>
      </w:r>
      <w:proofErr w:type="spellStart"/>
      <w:proofErr w:type="gramStart"/>
      <w:r>
        <w:rPr>
          <w:b/>
          <w:lang w:val="pt"/>
        </w:rPr>
        <w:t>Samonas</w:t>
      </w:r>
      <w:proofErr w:type="spellEnd"/>
      <w:r>
        <w:rPr>
          <w:b/>
          <w:lang w:val="pt"/>
        </w:rPr>
        <w:t xml:space="preserve">  Virginia</w:t>
      </w:r>
      <w:proofErr w:type="gramEnd"/>
      <w:r>
        <w:rPr>
          <w:b/>
          <w:lang w:val="pt"/>
        </w:rPr>
        <w:t xml:space="preserve"> Commonwealth </w:t>
      </w:r>
      <w:proofErr w:type="spellStart"/>
      <w:r>
        <w:rPr>
          <w:b/>
          <w:lang w:val="pt"/>
        </w:rPr>
        <w:t>University</w:t>
      </w:r>
      <w:proofErr w:type="spellEnd"/>
      <w:r>
        <w:rPr>
          <w:b/>
          <w:lang w:val="pt"/>
        </w:rPr>
        <w:t xml:space="preserve">, EUA </w:t>
      </w:r>
    </w:p>
    <w:p w14:paraId="665F9BC5" w14:textId="77777777" w:rsidR="0089005C" w:rsidRDefault="00095529">
      <w:pPr>
        <w:spacing w:after="35" w:line="653" w:lineRule="auto"/>
        <w:ind w:left="-5"/>
        <w:jc w:val="left"/>
      </w:pPr>
      <w:r>
        <w:rPr>
          <w:b/>
          <w:lang w:val="pt"/>
        </w:rPr>
        <w:t xml:space="preserve">David </w:t>
      </w:r>
      <w:proofErr w:type="spellStart"/>
      <w:r>
        <w:rPr>
          <w:b/>
          <w:lang w:val="pt"/>
        </w:rPr>
        <w:t>Coss</w:t>
      </w:r>
      <w:proofErr w:type="spellEnd"/>
      <w:r>
        <w:rPr>
          <w:b/>
          <w:lang w:val="pt"/>
        </w:rPr>
        <w:t xml:space="preserve"> Virginia </w:t>
      </w:r>
      <w:proofErr w:type="spellStart"/>
      <w:r>
        <w:rPr>
          <w:b/>
          <w:lang w:val="pt"/>
        </w:rPr>
        <w:t>State</w:t>
      </w:r>
      <w:proofErr w:type="spellEnd"/>
      <w:r>
        <w:rPr>
          <w:b/>
          <w:lang w:val="pt"/>
        </w:rPr>
        <w:t xml:space="preserve"> </w:t>
      </w:r>
      <w:proofErr w:type="spellStart"/>
      <w:r>
        <w:rPr>
          <w:b/>
          <w:lang w:val="pt"/>
        </w:rPr>
        <w:t>University</w:t>
      </w:r>
      <w:proofErr w:type="spellEnd"/>
      <w:r>
        <w:rPr>
          <w:b/>
          <w:lang w:val="pt"/>
        </w:rPr>
        <w:t xml:space="preserve">, EUA ssamonas@vcu.edu; dcoss@vsu.edu </w:t>
      </w:r>
    </w:p>
    <w:p w14:paraId="7CE7C1E2" w14:textId="77777777" w:rsidR="0089005C" w:rsidRDefault="00095529">
      <w:pPr>
        <w:spacing w:after="177" w:line="259" w:lineRule="auto"/>
        <w:ind w:left="0" w:firstLine="0"/>
        <w:jc w:val="left"/>
      </w:pPr>
      <w:r>
        <w:rPr>
          <w:b/>
          <w:sz w:val="24"/>
        </w:rPr>
        <w:t xml:space="preserve"> </w:t>
      </w:r>
    </w:p>
    <w:p w14:paraId="6205FBD4" w14:textId="77777777" w:rsidR="0089005C" w:rsidRDefault="00095529">
      <w:pPr>
        <w:pStyle w:val="Ttulo1"/>
        <w:ind w:left="-5"/>
      </w:pPr>
      <w:r>
        <w:rPr>
          <w:lang w:val="pt"/>
        </w:rPr>
        <w:t xml:space="preserve">Abstrair </w:t>
      </w:r>
    </w:p>
    <w:p w14:paraId="1A9AD041" w14:textId="77777777" w:rsidR="0089005C" w:rsidRDefault="00095529">
      <w:pPr>
        <w:spacing w:after="356"/>
        <w:ind w:left="-5" w:right="44"/>
      </w:pPr>
      <w:r>
        <w:rPr>
          <w:lang w:val="pt"/>
        </w:rPr>
        <w:t xml:space="preserve">Este artigo revisa a história da Tríade da CIA (Confidencialidade, Integridade e Disponibilidade)  sob as perspectivas de profissionais  e estudiosos de  segurança da  informação.  Embora os primeiros tenham confiado na orientação técnica da  tríade como um  ponto de referência único na  segurança da informação,  estes dois têm questionado a capacidade da tríade de abordar a amplitude das questões sociotécnicas que surgiram  na segurança desde os anos 2000.  Através de  uma revisita dos   princípios-chave  da tríade, o papel concilia essas duas abordagens,  aparentemente  fragmentadas. O  principal argumento é que a tríade da CIA   continuará a assumir um papel importante na  prática da  segurança da informação.  No entanto, isso não se deve ao fato de que  os profissionais descartaram, ou rejeitaram os aprimoramentos que  os estudiosos  de  segurança sociotécnica propuseram  ao longo do  anos;  em vez disso, é porque esses aprimoramentos podem ser acomodados por uma  reconceituação mais ampla da tríade original da CIA. O artigo conclui com áreas potenciais para futuras pesquisas. </w:t>
      </w:r>
    </w:p>
    <w:p w14:paraId="40341818" w14:textId="77777777" w:rsidR="0089005C" w:rsidRDefault="00095529">
      <w:pPr>
        <w:spacing w:after="360"/>
        <w:ind w:left="-5" w:right="44"/>
      </w:pPr>
      <w:r>
        <w:rPr>
          <w:b/>
          <w:lang w:val="pt"/>
        </w:rPr>
        <w:t>Palavras-chave</w:t>
      </w:r>
      <w:r>
        <w:rPr>
          <w:lang w:val="pt"/>
        </w:rPr>
        <w:t>: Confidencialidade, integridade, disponibilidade,  segurança sociotécnica</w:t>
      </w:r>
    </w:p>
    <w:p w14:paraId="298D1953" w14:textId="77777777" w:rsidR="0089005C" w:rsidRDefault="00095529">
      <w:pPr>
        <w:spacing w:after="205" w:line="259" w:lineRule="auto"/>
        <w:ind w:left="0" w:firstLine="0"/>
        <w:jc w:val="left"/>
      </w:pPr>
      <w:r>
        <w:t xml:space="preserve"> </w:t>
      </w:r>
    </w:p>
    <w:p w14:paraId="25115F5E" w14:textId="77777777" w:rsidR="0089005C" w:rsidRDefault="00095529">
      <w:pPr>
        <w:pStyle w:val="Ttulo1"/>
        <w:ind w:left="-5"/>
      </w:pPr>
      <w:r>
        <w:rPr>
          <w:lang w:val="pt"/>
        </w:rPr>
        <w:t>Introdução</w:t>
      </w:r>
    </w:p>
    <w:p w14:paraId="2684674D" w14:textId="77777777" w:rsidR="0089005C" w:rsidRDefault="00095529">
      <w:pPr>
        <w:spacing w:after="32"/>
        <w:ind w:left="-5" w:right="44"/>
      </w:pPr>
      <w:r>
        <w:rPr>
          <w:lang w:val="pt"/>
        </w:rPr>
        <w:t xml:space="preserve">Por quase 40 anos, desde os dias dos modelos   </w:t>
      </w:r>
      <w:proofErr w:type="spellStart"/>
      <w:r>
        <w:rPr>
          <w:lang w:val="pt"/>
        </w:rPr>
        <w:t>Bell-La</w:t>
      </w:r>
      <w:proofErr w:type="spellEnd"/>
      <w:r>
        <w:rPr>
          <w:lang w:val="pt"/>
        </w:rPr>
        <w:t xml:space="preserve"> </w:t>
      </w:r>
      <w:proofErr w:type="spellStart"/>
      <w:r>
        <w:rPr>
          <w:lang w:val="pt"/>
        </w:rPr>
        <w:t>Padula</w:t>
      </w:r>
      <w:proofErr w:type="spellEnd"/>
      <w:r>
        <w:rPr>
          <w:lang w:val="pt"/>
        </w:rPr>
        <w:t xml:space="preserve"> e  Biba, que se referiam à confidencialidade e integridade dos dados,  respectivamente (</w:t>
      </w:r>
      <w:proofErr w:type="spellStart"/>
      <w:r>
        <w:rPr>
          <w:lang w:val="pt"/>
        </w:rPr>
        <w:t>Dhillon</w:t>
      </w:r>
      <w:proofErr w:type="spellEnd"/>
      <w:r>
        <w:rPr>
          <w:lang w:val="pt"/>
        </w:rPr>
        <w:t xml:space="preserve"> e </w:t>
      </w:r>
      <w:proofErr w:type="spellStart"/>
      <w:r>
        <w:rPr>
          <w:lang w:val="pt"/>
        </w:rPr>
        <w:t>Backhouse</w:t>
      </w:r>
      <w:proofErr w:type="spellEnd"/>
      <w:r>
        <w:rPr>
          <w:lang w:val="pt"/>
        </w:rPr>
        <w:t xml:space="preserve">, </w:t>
      </w:r>
    </w:p>
    <w:p w14:paraId="407BB9C2" w14:textId="77777777" w:rsidR="0089005C" w:rsidRDefault="00095529">
      <w:pPr>
        <w:spacing w:after="41" w:line="285" w:lineRule="auto"/>
        <w:ind w:left="-5"/>
        <w:jc w:val="left"/>
      </w:pPr>
      <w:r>
        <w:rPr>
          <w:lang w:val="pt"/>
        </w:rPr>
        <w:t xml:space="preserve">2001), os termos  "confidencialidade", "integridade" e "disponibilidade" têm sido amplamente utilizados na  prática de  segurança da informação e na  literatura acadêmica. A 'Tríade da CIA', como ela </w:t>
      </w:r>
    </w:p>
    <w:p w14:paraId="65921793" w14:textId="77777777" w:rsidR="0089005C" w:rsidRDefault="0089005C">
      <w:pPr>
        <w:sectPr w:rsidR="0089005C">
          <w:footerReference w:type="even" r:id="rId10"/>
          <w:footerReference w:type="default" r:id="rId11"/>
          <w:footerReference w:type="first" r:id="rId12"/>
          <w:pgSz w:w="12240" w:h="15840"/>
          <w:pgMar w:top="1440" w:right="1438" w:bottom="1440" w:left="1072" w:header="720" w:footer="880" w:gutter="0"/>
          <w:pgNumType w:start="21"/>
          <w:cols w:num="2" w:space="720" w:equalWidth="0">
            <w:col w:w="2619" w:space="254"/>
            <w:col w:w="6858"/>
          </w:cols>
        </w:sectPr>
      </w:pPr>
    </w:p>
    <w:p w14:paraId="309F42E9" w14:textId="77777777" w:rsidR="0089005C" w:rsidRDefault="00095529">
      <w:pPr>
        <w:spacing w:after="0"/>
        <w:ind w:left="-5" w:right="44"/>
      </w:pPr>
      <w:r>
        <w:rPr>
          <w:lang w:val="pt"/>
        </w:rPr>
        <w:t xml:space="preserve">é conhecido, refere-se originalmente aos elementos  fundamentais  dos  controles de segurança nos  sistemas de informação.  Esses três termos-chave  não só moldaram e informaram nossa compreensão teórica da  segurança  da informação,  mas  também as próprias práticas pelas quais a  segurança é desenvolvida  e implementado em organizações. </w:t>
      </w:r>
    </w:p>
    <w:p w14:paraId="68D6BCAF" w14:textId="77777777" w:rsidR="0089005C" w:rsidRDefault="00095529">
      <w:pPr>
        <w:ind w:left="-5" w:right="44"/>
      </w:pPr>
      <w:r>
        <w:rPr>
          <w:lang w:val="pt"/>
        </w:rPr>
        <w:lastRenderedPageBreak/>
        <w:t xml:space="preserve">Tradicionalmente, essas  práticas de segurança se concentram em controles técnicos que protegem a confidencialidade, </w:t>
      </w:r>
      <w:proofErr w:type="spellStart"/>
      <w:r>
        <w:rPr>
          <w:lang w:val="pt"/>
        </w:rPr>
        <w:t>nategrity</w:t>
      </w:r>
      <w:proofErr w:type="spellEnd"/>
      <w:r>
        <w:rPr>
          <w:lang w:val="pt"/>
        </w:rPr>
        <w:t xml:space="preserve"> e na disponibilidade de informações.   Desde o início da década de 1990,  os estudiosos de  segurança da informação têm reavaliado consistentemente  a dependência excessiva dos   controles técnicos à luz da  evolução  sociotécnica da  literatura sobre      Sistemas de Informação (IS), </w:t>
      </w:r>
      <w:proofErr w:type="spellStart"/>
      <w:r>
        <w:rPr>
          <w:lang w:val="pt"/>
        </w:rPr>
        <w:t>umdeles</w:t>
      </w:r>
      <w:proofErr w:type="spellEnd"/>
      <w:r>
        <w:rPr>
          <w:lang w:val="pt"/>
        </w:rPr>
        <w:t xml:space="preserve"> tem repetidamente enfatizado a necessidade de explicar diferentes questões não técnicas na  gestão da segurança. A tríade da CIA   tem sido criticada em várias ocasiões por sua  estreita orientação técnica e foco, e, portanto, sua  utilidade limitada quando aspectos  organizacionais e sociais  mais amplos de  segurança precisa  ser levada em consideração (Anderson, 2002;  </w:t>
      </w:r>
      <w:proofErr w:type="spellStart"/>
      <w:r>
        <w:rPr>
          <w:lang w:val="pt"/>
        </w:rPr>
        <w:t>Dhillon</w:t>
      </w:r>
      <w:proofErr w:type="spellEnd"/>
      <w:r>
        <w:rPr>
          <w:lang w:val="pt"/>
        </w:rPr>
        <w:t xml:space="preserve"> e </w:t>
      </w:r>
      <w:proofErr w:type="spellStart"/>
      <w:r>
        <w:rPr>
          <w:lang w:val="pt"/>
        </w:rPr>
        <w:t>Backhouse</w:t>
      </w:r>
      <w:proofErr w:type="spellEnd"/>
      <w:r>
        <w:rPr>
          <w:lang w:val="pt"/>
        </w:rPr>
        <w:t xml:space="preserve">, 2000;  </w:t>
      </w:r>
      <w:proofErr w:type="spellStart"/>
      <w:r>
        <w:rPr>
          <w:lang w:val="pt"/>
        </w:rPr>
        <w:t>Dhillon</w:t>
      </w:r>
      <w:proofErr w:type="spellEnd"/>
      <w:r>
        <w:rPr>
          <w:lang w:val="pt"/>
        </w:rPr>
        <w:t xml:space="preserve"> e </w:t>
      </w:r>
      <w:proofErr w:type="spellStart"/>
      <w:r>
        <w:rPr>
          <w:lang w:val="pt"/>
        </w:rPr>
        <w:t>Torkzadeh</w:t>
      </w:r>
      <w:proofErr w:type="spellEnd"/>
      <w:r>
        <w:rPr>
          <w:lang w:val="pt"/>
        </w:rPr>
        <w:t xml:space="preserve">, 2006; Harris, 2002; </w:t>
      </w:r>
      <w:proofErr w:type="spellStart"/>
      <w:r>
        <w:rPr>
          <w:lang w:val="pt"/>
        </w:rPr>
        <w:t>Kolkowska</w:t>
      </w:r>
      <w:proofErr w:type="spellEnd"/>
      <w:r>
        <w:rPr>
          <w:lang w:val="pt"/>
        </w:rPr>
        <w:t xml:space="preserve"> et al., 2009).  </w:t>
      </w:r>
    </w:p>
    <w:p w14:paraId="11116FD3" w14:textId="77777777" w:rsidR="0089005C" w:rsidRDefault="00095529">
      <w:pPr>
        <w:ind w:left="-5" w:right="44"/>
      </w:pPr>
      <w:r>
        <w:rPr>
          <w:noProof/>
          <w:lang w:val="pt"/>
        </w:rPr>
        <w:drawing>
          <wp:anchor distT="0" distB="0" distL="114300" distR="114300" simplePos="0" relativeHeight="251658240" behindDoc="0" locked="0" layoutInCell="1" allowOverlap="0" wp14:anchorId="6351282E" wp14:editId="3B7F5490">
            <wp:simplePos x="0" y="0"/>
            <wp:positionH relativeFrom="page">
              <wp:posOffset>5850255</wp:posOffset>
            </wp:positionH>
            <wp:positionV relativeFrom="page">
              <wp:posOffset>1707921</wp:posOffset>
            </wp:positionV>
            <wp:extent cx="1219200" cy="726415"/>
            <wp:effectExtent l="0" t="0" r="0" b="0"/>
            <wp:wrapSquare wrapText="bothSides"/>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8"/>
                    <a:stretch>
                      <a:fillRect/>
                    </a:stretch>
                  </pic:blipFill>
                  <pic:spPr>
                    <a:xfrm>
                      <a:off x="0" y="0"/>
                      <a:ext cx="1219200" cy="726415"/>
                    </a:xfrm>
                    <a:prstGeom prst="rect">
                      <a:avLst/>
                    </a:prstGeom>
                  </pic:spPr>
                </pic:pic>
              </a:graphicData>
            </a:graphic>
          </wp:anchor>
        </w:drawing>
      </w:r>
      <w:r>
        <w:rPr>
          <w:lang w:val="pt"/>
        </w:rPr>
        <w:t xml:space="preserve">No entanto,  os profissionais de segurança da informação ainda valorizam  as propriedades simbólicas da tríade da CIA  , pois ela  lhes fornece uma  maneira simples de entender e resolver problemas que se relacionam com informações  segurança. A  literatura acadêmica não descarta a tríade da CIA  , mas  tenta introduzir vários aprimoramentos a ela.  Estes são principalmente na  forma de adições  de termos-chave,  que  essencialmente expandem o escopo e a utilidade da  tríade para refletir uma  compreensão mais rica da  segurança  gestão em  organizações contemporâneas. A aparente discrepância nas  opiniões dos estudiosos e praticantes sobre a evolução e o uso da  tríade da CIA  qualifica-se como um oximoro: Por que os praticantes continuam para colocar grande confiança em um modelo que  a literatura acadêmica considerou  em grande parte insuficiente? Esta questão é de particular interesse para os autores  deste artigo  , ambos que trabalharam  na  indústria como praticantes do EI na análise de sistemas  e  auditoria.  </w:t>
      </w:r>
    </w:p>
    <w:p w14:paraId="64FBBADB" w14:textId="77777777" w:rsidR="0089005C" w:rsidRDefault="00095529">
      <w:pPr>
        <w:ind w:left="-5" w:right="44"/>
      </w:pPr>
      <w:r>
        <w:rPr>
          <w:lang w:val="pt"/>
        </w:rPr>
        <w:t xml:space="preserve">No entanto, é também uma questão que está ligada à   defasagem entre a literatura acadêmica e a  prática no EI.  Um </w:t>
      </w:r>
      <w:proofErr w:type="spellStart"/>
      <w:r>
        <w:rPr>
          <w:lang w:val="pt"/>
        </w:rPr>
        <w:t>assortment</w:t>
      </w:r>
      <w:proofErr w:type="spellEnd"/>
      <w:r>
        <w:rPr>
          <w:lang w:val="pt"/>
        </w:rPr>
        <w:t xml:space="preserve"> dos estudiosos do EI  têm comentado sobre essa defasagem, e   identificaram  um  estado pobre na  relação entre literatura  e prática do EI  (</w:t>
      </w:r>
      <w:proofErr w:type="spellStart"/>
      <w:r>
        <w:rPr>
          <w:lang w:val="pt"/>
        </w:rPr>
        <w:t>Benbasat</w:t>
      </w:r>
      <w:proofErr w:type="spellEnd"/>
      <w:r>
        <w:rPr>
          <w:lang w:val="pt"/>
        </w:rPr>
        <w:t xml:space="preserve"> e </w:t>
      </w:r>
      <w:proofErr w:type="spellStart"/>
      <w:r>
        <w:rPr>
          <w:lang w:val="pt"/>
        </w:rPr>
        <w:t>Zmud</w:t>
      </w:r>
      <w:proofErr w:type="spellEnd"/>
      <w:r>
        <w:rPr>
          <w:lang w:val="pt"/>
        </w:rPr>
        <w:t xml:space="preserve"> , 1999; Pearson et al., 2005). Com base em uma  análise bibliográfica, </w:t>
      </w:r>
      <w:proofErr w:type="spellStart"/>
      <w:r>
        <w:rPr>
          <w:lang w:val="pt"/>
        </w:rPr>
        <w:t>Baskerville</w:t>
      </w:r>
      <w:proofErr w:type="spellEnd"/>
      <w:r>
        <w:rPr>
          <w:lang w:val="pt"/>
        </w:rPr>
        <w:t xml:space="preserve"> e Myers (2009) </w:t>
      </w:r>
      <w:proofErr w:type="spellStart"/>
      <w:r>
        <w:rPr>
          <w:lang w:val="pt"/>
        </w:rPr>
        <w:t>suggest</w:t>
      </w:r>
      <w:proofErr w:type="spellEnd"/>
      <w:r>
        <w:rPr>
          <w:lang w:val="pt"/>
        </w:rPr>
        <w:t xml:space="preserve"> that, enquanto a literatura acadêmica está alinhada com a literatura praticante durante as ascensões da moda,  o mesmo não se aplica durante as asas de moda. Em resposta a este argumento, Gill e </w:t>
      </w:r>
      <w:proofErr w:type="spellStart"/>
      <w:r>
        <w:rPr>
          <w:lang w:val="pt"/>
        </w:rPr>
        <w:t>Bhattacherjee</w:t>
      </w:r>
      <w:proofErr w:type="spellEnd"/>
      <w:r>
        <w:rPr>
          <w:lang w:val="pt"/>
        </w:rPr>
        <w:t xml:space="preserve"> (2009) ainda observam que os estudiosos do EI podem se interessar por tópicos que não são mais relevantes para os praticantes. No  caso da tríade da CIA, parece que os aprimoramentos propostos para a tríade não foram levados em conta pelos praticantes para   desenvolver  um  modelo revisado. </w:t>
      </w:r>
    </w:p>
    <w:p w14:paraId="283C4F28" w14:textId="77777777" w:rsidR="0089005C" w:rsidRDefault="00095529">
      <w:pPr>
        <w:ind w:left="-5" w:right="44"/>
      </w:pPr>
      <w:r>
        <w:rPr>
          <w:lang w:val="pt"/>
        </w:rPr>
        <w:t xml:space="preserve">A partir da literatura acadêmica e praticante, este artigo contribui   , fazendo uma ponte entre teoria e prática. Este artigo afirma que os  aprimoramentos apresentados  </w:t>
      </w:r>
      <w:r>
        <w:rPr>
          <w:lang w:val="pt"/>
        </w:rPr>
        <w:lastRenderedPageBreak/>
        <w:t xml:space="preserve">pelos estudiosos significam uma saída das origens puramente técnicas da CIA </w:t>
      </w:r>
      <w:proofErr w:type="spellStart"/>
      <w:r>
        <w:rPr>
          <w:lang w:val="pt"/>
        </w:rPr>
        <w:t>triad</w:t>
      </w:r>
      <w:proofErr w:type="spellEnd"/>
      <w:r>
        <w:rPr>
          <w:lang w:val="pt"/>
        </w:rPr>
        <w:t xml:space="preserve"> e erram em direção a um   socio-  reconsideração técnica de seus conceitos principais. Uma   desconstrução e reconstrução dos termos "confidencialidade", "integridade" e "disponibilidade" podem explicar o suficiente por que os  praticantes ainda tratam a tríade da CIA  como um  em modelo </w:t>
      </w:r>
      <w:proofErr w:type="spellStart"/>
      <w:r>
        <w:rPr>
          <w:lang w:val="pt"/>
        </w:rPr>
        <w:t>blemático</w:t>
      </w:r>
      <w:proofErr w:type="spellEnd"/>
      <w:r>
        <w:rPr>
          <w:lang w:val="pt"/>
        </w:rPr>
        <w:t xml:space="preserve"> na  governança da segurança da informação.  </w:t>
      </w:r>
    </w:p>
    <w:p w14:paraId="2CB58514" w14:textId="77777777" w:rsidR="0089005C" w:rsidRDefault="00095529">
      <w:pPr>
        <w:spacing w:after="356"/>
        <w:ind w:left="-5" w:right="44"/>
      </w:pPr>
      <w:r>
        <w:rPr>
          <w:lang w:val="pt"/>
        </w:rPr>
        <w:t xml:space="preserve">O papel está estruturado da seguinte forma. Na   seção seguinte, fornecemos uma  visão geral histórica da tríade da CIA  desde suas origens como modelo de   controles técnicos em segurança,  até a versão  mais recente </w:t>
      </w:r>
      <w:proofErr w:type="spellStart"/>
      <w:r>
        <w:rPr>
          <w:lang w:val="pt"/>
        </w:rPr>
        <w:t>revised</w:t>
      </w:r>
      <w:proofErr w:type="spellEnd"/>
      <w:r>
        <w:rPr>
          <w:lang w:val="pt"/>
        </w:rPr>
        <w:t xml:space="preserve">  que apareceu na  literatura acadêmica em 2011. Na  terceira seção    examinamos alguns  conceitos-chave da evolução do  pensamento sociotécnico na segurança do EI  e na  quarta seção  reavaliamos  o significado de cada um dos  os componentes da tríade </w:t>
      </w:r>
      <w:proofErr w:type="spellStart"/>
      <w:r>
        <w:rPr>
          <w:lang w:val="pt"/>
        </w:rPr>
        <w:t>the</w:t>
      </w:r>
      <w:proofErr w:type="spellEnd"/>
      <w:r>
        <w:rPr>
          <w:lang w:val="pt"/>
        </w:rPr>
        <w:t xml:space="preserve"> CIA  de uma  perspectiva sociotécnica. O artigo conclui com observações sobre o futuro da tríade  da CIA  e a relação entre a teoria e a  prática do EI. </w:t>
      </w:r>
    </w:p>
    <w:p w14:paraId="4ABF180C" w14:textId="77777777" w:rsidR="0089005C" w:rsidRDefault="00095529">
      <w:pPr>
        <w:pStyle w:val="Ttulo1"/>
        <w:ind w:left="-5"/>
      </w:pPr>
      <w:r>
        <w:rPr>
          <w:lang w:val="pt"/>
        </w:rPr>
        <w:t>A História da Tríade da CIA: Uma  visão praticante</w:t>
      </w:r>
    </w:p>
    <w:p w14:paraId="200A5EA6" w14:textId="77777777" w:rsidR="0089005C" w:rsidRDefault="00095529">
      <w:pPr>
        <w:ind w:left="-5" w:right="44"/>
      </w:pPr>
      <w:r>
        <w:rPr>
          <w:noProof/>
          <w:lang w:val="pt"/>
        </w:rPr>
        <w:drawing>
          <wp:anchor distT="0" distB="0" distL="114300" distR="114300" simplePos="0" relativeHeight="251659264" behindDoc="0" locked="0" layoutInCell="1" allowOverlap="0" wp14:anchorId="1EDBE8B7" wp14:editId="757B6422">
            <wp:simplePos x="0" y="0"/>
            <wp:positionH relativeFrom="page">
              <wp:posOffset>838200</wp:posOffset>
            </wp:positionH>
            <wp:positionV relativeFrom="page">
              <wp:posOffset>1707921</wp:posOffset>
            </wp:positionV>
            <wp:extent cx="1219200" cy="726415"/>
            <wp:effectExtent l="0" t="0" r="0" b="0"/>
            <wp:wrapSquare wrapText="bothSides"/>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8"/>
                    <a:stretch>
                      <a:fillRect/>
                    </a:stretch>
                  </pic:blipFill>
                  <pic:spPr>
                    <a:xfrm>
                      <a:off x="0" y="0"/>
                      <a:ext cx="1219200" cy="726415"/>
                    </a:xfrm>
                    <a:prstGeom prst="rect">
                      <a:avLst/>
                    </a:prstGeom>
                  </pic:spPr>
                </pic:pic>
              </a:graphicData>
            </a:graphic>
          </wp:anchor>
        </w:drawing>
      </w:r>
      <w:r>
        <w:rPr>
          <w:lang w:val="pt"/>
        </w:rPr>
        <w:t xml:space="preserve">  Durante os primeiros dias de computadores e seu uso, houve  apenas algumas ameaças válidas à  proteção das informações. Isso se deveu principalmente ao  fato de que  os computadores eram  caros, raros e bem protegidos. Os  sistemas de computador que continham as informações só foram  expostos a um  número </w:t>
      </w:r>
      <w:proofErr w:type="spellStart"/>
      <w:r>
        <w:rPr>
          <w:lang w:val="pt"/>
        </w:rPr>
        <w:t>limited</w:t>
      </w:r>
      <w:proofErr w:type="spellEnd"/>
      <w:r>
        <w:rPr>
          <w:lang w:val="pt"/>
        </w:rPr>
        <w:t xml:space="preserve"> de pessoas com  habilidades  de programação computacional que tinham acesso às  informações e podiam  isso potencialmente é uma  ameaça válida.  Portanto, o foco inicial para proteger as informações era  garantir a confiabilidade do próprio sistema,  a fim  de  garantir que ele seria consistentemente  operável quando necessário. Como resultado, a proteção da informação  foi alcançada principalmente através do controle do acesso físico aos computadores. À medida que o custo da tecnologia de  computador diminuiu, e seu uso aumentou,  houve um shift no  foco da  proteção dos computadores para o  proteção da informação.  Considerando que antes a confiabilidade dos computadores era dominante, a noção de confidencialidade, integridade e disponibilidade começou a ganhar importância. </w:t>
      </w:r>
    </w:p>
    <w:p w14:paraId="48DDDB6C" w14:textId="77777777" w:rsidR="0089005C" w:rsidRDefault="00095529">
      <w:pPr>
        <w:ind w:left="-5" w:right="44"/>
      </w:pPr>
      <w:r>
        <w:rPr>
          <w:lang w:val="pt"/>
        </w:rPr>
        <w:t xml:space="preserve">As   raízes  da CIA </w:t>
      </w:r>
      <w:proofErr w:type="spellStart"/>
      <w:r>
        <w:rPr>
          <w:lang w:val="pt"/>
        </w:rPr>
        <w:t>triad</w:t>
      </w:r>
      <w:proofErr w:type="spellEnd"/>
      <w:r>
        <w:rPr>
          <w:lang w:val="pt"/>
        </w:rPr>
        <w:t xml:space="preserve"> estão profundamente enraizadas na  mentalidade de segurança militar, que  sempre foi focada em proteger informações contra  ameaças externas.  No início, havia  uma estreita ligação entre o profissional ou o profissional de  segurança da  informação, e o acadêmico   ou pesquisador de segurança da  informação, no  que se refere ao  que eles acreditavam  ser importante para a proteção de  ativos informativos.  Muitos dos estudos iniciais de segurança de  computadores foram financiados  pelo governo federal  ou por agências militares.   Dois desses estudos, o relatório RAND R-609,   Sistemas de Controles de Segurança  </w:t>
      </w:r>
      <w:r>
        <w:rPr>
          <w:lang w:val="pt"/>
        </w:rPr>
        <w:lastRenderedPageBreak/>
        <w:t xml:space="preserve">(The </w:t>
      </w:r>
      <w:proofErr w:type="spellStart"/>
      <w:r>
        <w:rPr>
          <w:lang w:val="pt"/>
        </w:rPr>
        <w:t>Ware</w:t>
      </w:r>
      <w:proofErr w:type="spellEnd"/>
      <w:r>
        <w:rPr>
          <w:lang w:val="pt"/>
        </w:rPr>
        <w:t xml:space="preserve"> </w:t>
      </w:r>
      <w:proofErr w:type="spellStart"/>
      <w:r>
        <w:rPr>
          <w:lang w:val="pt"/>
        </w:rPr>
        <w:t>Report</w:t>
      </w:r>
      <w:proofErr w:type="spellEnd"/>
      <w:r>
        <w:rPr>
          <w:lang w:val="pt"/>
        </w:rPr>
        <w:t xml:space="preserve">, 1970) e o Computer Security Technology Planning </w:t>
      </w:r>
      <w:proofErr w:type="spellStart"/>
      <w:r>
        <w:rPr>
          <w:lang w:val="pt"/>
        </w:rPr>
        <w:t>Study</w:t>
      </w:r>
      <w:proofErr w:type="spellEnd"/>
      <w:r>
        <w:rPr>
          <w:lang w:val="pt"/>
        </w:rPr>
        <w:t xml:space="preserve"> (The Anderson </w:t>
      </w:r>
      <w:proofErr w:type="spellStart"/>
      <w:r>
        <w:rPr>
          <w:lang w:val="pt"/>
        </w:rPr>
        <w:t>Report</w:t>
      </w:r>
      <w:proofErr w:type="spellEnd"/>
      <w:r>
        <w:rPr>
          <w:lang w:val="pt"/>
        </w:rPr>
        <w:t>, 1972), focado na proteção de informações  militares ou  governamentais classificadas (</w:t>
      </w:r>
      <w:proofErr w:type="spellStart"/>
      <w:r>
        <w:rPr>
          <w:lang w:val="pt"/>
        </w:rPr>
        <w:t>Gollmann</w:t>
      </w:r>
      <w:proofErr w:type="spellEnd"/>
      <w:r>
        <w:rPr>
          <w:lang w:val="pt"/>
        </w:rPr>
        <w:t xml:space="preserve">, 2010). Ambos os   </w:t>
      </w:r>
      <w:proofErr w:type="spellStart"/>
      <w:r>
        <w:rPr>
          <w:lang w:val="pt"/>
        </w:rPr>
        <w:t>relatóriose</w:t>
      </w:r>
      <w:proofErr w:type="spellEnd"/>
      <w:r>
        <w:rPr>
          <w:lang w:val="pt"/>
        </w:rPr>
        <w:t xml:space="preserve"> relatórios fornecem  extensas classificações de ameaças à informação, no entanto, eles se concentram principalmente na proteção de informações de um  divulgação externa ou um  ponto de vista de confidencialidade. Tanto o praticante quanto as  abordagens acadêmicas para a  segurança da informação evoluíram a partir desta  visão de  segurança militar/governamental sobre  segurança organizacional, que incluiu  ameaças internas adicionais. O Relatório Anderson, que foi encomendado pela  USAF, identificou as três categorias seguintes de riscos de  segurança </w:t>
      </w:r>
      <w:proofErr w:type="spellStart"/>
      <w:r>
        <w:rPr>
          <w:lang w:val="pt"/>
        </w:rPr>
        <w:t>potential</w:t>
      </w:r>
      <w:proofErr w:type="spellEnd"/>
      <w:r>
        <w:rPr>
          <w:lang w:val="pt"/>
        </w:rPr>
        <w:t xml:space="preserve"> que eventualmente se tornaram a fundação   da tríade da CIA. </w:t>
      </w:r>
    </w:p>
    <w:p w14:paraId="0237A544" w14:textId="77777777" w:rsidR="0089005C" w:rsidRDefault="00095529">
      <w:pPr>
        <w:numPr>
          <w:ilvl w:val="0"/>
          <w:numId w:val="1"/>
        </w:numPr>
        <w:ind w:right="44" w:hanging="284"/>
      </w:pPr>
      <w:r>
        <w:rPr>
          <w:lang w:val="pt"/>
        </w:rPr>
        <w:t xml:space="preserve">Liberação de informações não  autorizadas: uma pessoa não autorizada é capaz  de  ler e tirar proveito das informações armazenadas no  computador. Essa categoria de preocupação às vezes se estende à "análise de tráfego", na qual o intruso observa apenas os padrões de uso de </w:t>
      </w:r>
      <w:proofErr w:type="spellStart"/>
      <w:r>
        <w:rPr>
          <w:lang w:val="pt"/>
        </w:rPr>
        <w:t>informatidade</w:t>
      </w:r>
      <w:proofErr w:type="spellEnd"/>
      <w:r>
        <w:rPr>
          <w:lang w:val="pt"/>
        </w:rPr>
        <w:t xml:space="preserve">  . A partir desses padrões, o intruso pode inferir algum  conteúdo de informação. Esta categoria também inclui o uso  não autorizado de um  programa proprietário. (Confidencialidade) </w:t>
      </w:r>
    </w:p>
    <w:p w14:paraId="2BCBCBD0" w14:textId="77777777" w:rsidR="0089005C" w:rsidRDefault="00095529">
      <w:pPr>
        <w:numPr>
          <w:ilvl w:val="0"/>
          <w:numId w:val="1"/>
        </w:numPr>
        <w:ind w:right="44" w:hanging="284"/>
      </w:pPr>
      <w:r>
        <w:rPr>
          <w:noProof/>
          <w:lang w:val="pt"/>
        </w:rPr>
        <w:drawing>
          <wp:anchor distT="0" distB="0" distL="114300" distR="114300" simplePos="0" relativeHeight="251660288" behindDoc="0" locked="0" layoutInCell="1" allowOverlap="0" wp14:anchorId="19BD5A46" wp14:editId="103CF4E4">
            <wp:simplePos x="0" y="0"/>
            <wp:positionH relativeFrom="page">
              <wp:posOffset>5850255</wp:posOffset>
            </wp:positionH>
            <wp:positionV relativeFrom="page">
              <wp:posOffset>1707921</wp:posOffset>
            </wp:positionV>
            <wp:extent cx="1219200" cy="726415"/>
            <wp:effectExtent l="0" t="0" r="0" b="0"/>
            <wp:wrapSquare wrapText="bothSides"/>
            <wp:docPr id="291" name="Picture 291"/>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8"/>
                    <a:stretch>
                      <a:fillRect/>
                    </a:stretch>
                  </pic:blipFill>
                  <pic:spPr>
                    <a:xfrm>
                      <a:off x="0" y="0"/>
                      <a:ext cx="1219200" cy="726415"/>
                    </a:xfrm>
                    <a:prstGeom prst="rect">
                      <a:avLst/>
                    </a:prstGeom>
                  </pic:spPr>
                </pic:pic>
              </a:graphicData>
            </a:graphic>
          </wp:anchor>
        </w:drawing>
      </w:r>
      <w:r>
        <w:rPr>
          <w:lang w:val="pt"/>
        </w:rPr>
        <w:t xml:space="preserve"> Modificação de informações não autorizadas: uma pessoa não autorizada é capaz de  fazer </w:t>
      </w:r>
      <w:proofErr w:type="spellStart"/>
      <w:r>
        <w:rPr>
          <w:lang w:val="pt"/>
        </w:rPr>
        <w:t>changes</w:t>
      </w:r>
      <w:proofErr w:type="spellEnd"/>
      <w:r>
        <w:rPr>
          <w:lang w:val="pt"/>
        </w:rPr>
        <w:t xml:space="preserve"> em  informações armazenadas – uma forma de sabotagem.   Deve-se notar que, no  caso  desse tipo de violação, o intruso não  vê necessariamente as informações que ele mudou. (Integridade) </w:t>
      </w:r>
    </w:p>
    <w:p w14:paraId="4456C78D" w14:textId="77777777" w:rsidR="0089005C" w:rsidRDefault="00095529">
      <w:pPr>
        <w:numPr>
          <w:ilvl w:val="0"/>
          <w:numId w:val="1"/>
        </w:numPr>
        <w:ind w:right="44" w:hanging="284"/>
      </w:pPr>
      <w:r>
        <w:rPr>
          <w:lang w:val="pt"/>
        </w:rPr>
        <w:t xml:space="preserve"> Negação de uso  não autorizada: um intruso pode impedir que um usuário  </w:t>
      </w:r>
      <w:proofErr w:type="spellStart"/>
      <w:r>
        <w:rPr>
          <w:lang w:val="pt"/>
        </w:rPr>
        <w:t>authorized</w:t>
      </w:r>
      <w:proofErr w:type="spellEnd"/>
      <w:r>
        <w:rPr>
          <w:lang w:val="pt"/>
        </w:rPr>
        <w:t xml:space="preserve"> se refira  ou modifique informações, mesmo que o intruso possa não ser capaz de  se referir  para, nem modificar a informação em si. (Disponibilidade) </w:t>
      </w:r>
    </w:p>
    <w:p w14:paraId="503246A9" w14:textId="77777777" w:rsidR="0089005C" w:rsidRDefault="00095529">
      <w:pPr>
        <w:ind w:left="-5" w:right="44"/>
      </w:pPr>
      <w:r>
        <w:rPr>
          <w:lang w:val="pt"/>
        </w:rPr>
        <w:t xml:space="preserve"> Durante esse mesmo período,  pesquisadores acadêmicos de  segurança da  informação começaram a se manifestar sobre preocupações de segurança semelhantes.  </w:t>
      </w:r>
      <w:proofErr w:type="spellStart"/>
      <w:r>
        <w:rPr>
          <w:lang w:val="pt"/>
        </w:rPr>
        <w:t>Saltzer</w:t>
      </w:r>
      <w:proofErr w:type="spellEnd"/>
      <w:r>
        <w:rPr>
          <w:lang w:val="pt"/>
        </w:rPr>
        <w:t xml:space="preserve"> e Schroeder (1975) em seu artigo seminal  intitulado "A Proteção da Informação em Sistemas de Computadores", defendeu a noção de  que a principal preocupação da segurança deve ser a proteção do   informações  mantidas dentro de sistemas  de computador, em vez de  apenas a proteção do próprio sistema  de computador. A primeira seção do  artigo introduziu "princípios básicos" para a proteção das informações, que incluem a tríade de confidencialidade, integridade e disponibilidade.</w:t>
      </w:r>
    </w:p>
    <w:p w14:paraId="33CDA473" w14:textId="77777777" w:rsidR="0089005C" w:rsidRDefault="00095529">
      <w:pPr>
        <w:ind w:left="-5" w:right="44"/>
      </w:pPr>
      <w:r>
        <w:rPr>
          <w:lang w:val="pt"/>
        </w:rPr>
        <w:lastRenderedPageBreak/>
        <w:t xml:space="preserve">Esses tipos de relatórios iniciaram a mudança na  mentalidade de  segurança, que passou de proteger hardware e software  de  computador, para proteger as informações dentro deles.  No entanto, essa mudança começou como um  lento processo evolutivo que se concentrou primeiro na confidencialidade, depois na integridade, seguido de foco na disponibilidade. Os  modelos mais amplamente adotados  de  segurança da informação se concentraram principalmente em uma  abordagem técnica para se defender  contra esses tipos de ameaças à segurança.  </w:t>
      </w:r>
    </w:p>
    <w:p w14:paraId="732AAE8F" w14:textId="77777777" w:rsidR="0089005C" w:rsidRDefault="00095529">
      <w:pPr>
        <w:ind w:left="-5" w:right="44"/>
      </w:pPr>
      <w:r>
        <w:rPr>
          <w:lang w:val="pt"/>
        </w:rPr>
        <w:t xml:space="preserve"> O primeiro desses  modelos adotados  iniciais foi o </w:t>
      </w:r>
      <w:proofErr w:type="spellStart"/>
      <w:r>
        <w:rPr>
          <w:lang w:val="pt"/>
        </w:rPr>
        <w:t>Bell-La</w:t>
      </w:r>
      <w:proofErr w:type="spellEnd"/>
      <w:r>
        <w:rPr>
          <w:lang w:val="pt"/>
        </w:rPr>
        <w:t xml:space="preserve"> </w:t>
      </w:r>
      <w:proofErr w:type="spellStart"/>
      <w:r>
        <w:rPr>
          <w:lang w:val="pt"/>
        </w:rPr>
        <w:t>Padula</w:t>
      </w:r>
      <w:proofErr w:type="spellEnd"/>
      <w:r>
        <w:rPr>
          <w:lang w:val="pt"/>
        </w:rPr>
        <w:t xml:space="preserve"> Model (Bell </w:t>
      </w:r>
      <w:proofErr w:type="spellStart"/>
      <w:r>
        <w:rPr>
          <w:lang w:val="pt"/>
        </w:rPr>
        <w:t>and</w:t>
      </w:r>
      <w:proofErr w:type="spellEnd"/>
      <w:r>
        <w:rPr>
          <w:lang w:val="pt"/>
        </w:rPr>
        <w:t xml:space="preserve"> La </w:t>
      </w:r>
      <w:proofErr w:type="spellStart"/>
      <w:r>
        <w:rPr>
          <w:lang w:val="pt"/>
        </w:rPr>
        <w:t>Padula</w:t>
      </w:r>
      <w:proofErr w:type="spellEnd"/>
      <w:r>
        <w:rPr>
          <w:lang w:val="pt"/>
        </w:rPr>
        <w:t xml:space="preserve">, 1975). Este modelo se concentrou em estabelecer regras para fornecer confidencialidade e proteger informações,  limitando o acesso a objetos de informação.  Três   regras principais foram aplicadas: sem leitura, sem anotação e leitura/gravação apenas no mesmo nível.  Essas regras foram   fundamentadas principalmente  na  visão militar  para o conceito de conceder acesso à informação apenas para aqueles que "precisam saber". </w:t>
      </w:r>
    </w:p>
    <w:p w14:paraId="47779B89" w14:textId="77777777" w:rsidR="0089005C" w:rsidRDefault="00095529">
      <w:pPr>
        <w:ind w:left="-5" w:right="44"/>
      </w:pPr>
      <w:r>
        <w:rPr>
          <w:lang w:val="pt"/>
        </w:rPr>
        <w:t xml:space="preserve">  O segundo modelo desenvolvido   foi o Biba Model (Biba, 1975), que se concentrou na integridade dos  dados, em vez de confidencialidade, que foi o caso do Modelo  </w:t>
      </w:r>
      <w:proofErr w:type="spellStart"/>
      <w:r>
        <w:rPr>
          <w:lang w:val="pt"/>
        </w:rPr>
        <w:t>BellLa</w:t>
      </w:r>
      <w:proofErr w:type="spellEnd"/>
      <w:r>
        <w:rPr>
          <w:lang w:val="pt"/>
        </w:rPr>
        <w:t xml:space="preserve"> </w:t>
      </w:r>
      <w:proofErr w:type="spellStart"/>
      <w:r>
        <w:rPr>
          <w:lang w:val="pt"/>
        </w:rPr>
        <w:t>Padula</w:t>
      </w:r>
      <w:proofErr w:type="spellEnd"/>
      <w:r>
        <w:rPr>
          <w:lang w:val="pt"/>
        </w:rPr>
        <w:t xml:space="preserve">. Os objetivos do Modelo de Integridade biba  são  evitar a modificação de dados  por  partes não autorizadas,  evitar modificações de  dados  não autorizadas por partes autorais e   manter  consistência de  dados  internos e externos.  </w:t>
      </w:r>
    </w:p>
    <w:p w14:paraId="5296ACB6" w14:textId="77777777" w:rsidR="0089005C" w:rsidRDefault="00095529">
      <w:pPr>
        <w:ind w:left="-5" w:right="44"/>
      </w:pPr>
      <w:r>
        <w:rPr>
          <w:noProof/>
          <w:lang w:val="pt"/>
        </w:rPr>
        <w:drawing>
          <wp:anchor distT="0" distB="0" distL="114300" distR="114300" simplePos="0" relativeHeight="251661312" behindDoc="0" locked="0" layoutInCell="1" allowOverlap="0" wp14:anchorId="0D8B90EB" wp14:editId="3E4342CA">
            <wp:simplePos x="0" y="0"/>
            <wp:positionH relativeFrom="page">
              <wp:posOffset>838200</wp:posOffset>
            </wp:positionH>
            <wp:positionV relativeFrom="page">
              <wp:posOffset>1707921</wp:posOffset>
            </wp:positionV>
            <wp:extent cx="1219200" cy="726415"/>
            <wp:effectExtent l="0" t="0" r="0" b="0"/>
            <wp:wrapSquare wrapText="bothSides"/>
            <wp:docPr id="363" name="Picture 363"/>
            <wp:cNvGraphicFramePr/>
            <a:graphic xmlns:a="http://schemas.openxmlformats.org/drawingml/2006/main">
              <a:graphicData uri="http://schemas.openxmlformats.org/drawingml/2006/picture">
                <pic:pic xmlns:pic="http://schemas.openxmlformats.org/drawingml/2006/picture">
                  <pic:nvPicPr>
                    <pic:cNvPr id="363" name="Picture 363"/>
                    <pic:cNvPicPr/>
                  </pic:nvPicPr>
                  <pic:blipFill>
                    <a:blip r:embed="rId8"/>
                    <a:stretch>
                      <a:fillRect/>
                    </a:stretch>
                  </pic:blipFill>
                  <pic:spPr>
                    <a:xfrm>
                      <a:off x="0" y="0"/>
                      <a:ext cx="1219200" cy="726415"/>
                    </a:xfrm>
                    <a:prstGeom prst="rect">
                      <a:avLst/>
                    </a:prstGeom>
                  </pic:spPr>
                </pic:pic>
              </a:graphicData>
            </a:graphic>
          </wp:anchor>
        </w:drawing>
      </w:r>
      <w:r>
        <w:rPr>
          <w:lang w:val="pt"/>
        </w:rPr>
        <w:t xml:space="preserve">O  modelo  de detecção de intrusões de </w:t>
      </w:r>
      <w:proofErr w:type="spellStart"/>
      <w:r>
        <w:rPr>
          <w:lang w:val="pt"/>
        </w:rPr>
        <w:t>Denning</w:t>
      </w:r>
      <w:proofErr w:type="spellEnd"/>
      <w:r>
        <w:rPr>
          <w:lang w:val="pt"/>
        </w:rPr>
        <w:t xml:space="preserve"> se concentrou na defesa contra ameaças à disponibilidade (</w:t>
      </w:r>
      <w:proofErr w:type="spellStart"/>
      <w:r>
        <w:rPr>
          <w:lang w:val="pt"/>
        </w:rPr>
        <w:t>Denning</w:t>
      </w:r>
      <w:proofErr w:type="spellEnd"/>
      <w:r>
        <w:rPr>
          <w:lang w:val="pt"/>
        </w:rPr>
        <w:t xml:space="preserve">, 1987). Este modelo foi projetado como um sistema de detecção de intrusões em tempo real  , que é </w:t>
      </w:r>
      <w:proofErr w:type="spellStart"/>
      <w:r>
        <w:rPr>
          <w:lang w:val="pt"/>
        </w:rPr>
        <w:t>gde</w:t>
      </w:r>
      <w:proofErr w:type="spellEnd"/>
      <w:r>
        <w:rPr>
          <w:lang w:val="pt"/>
        </w:rPr>
        <w:t xml:space="preserve"> olho   na  detecção de invasões, penetrações e outras formas de abuso de computador. Este modelo   baseia-se na hipótese de  que  violações de segurança podem ser detectadas monitorando os registros de auditoria de  um  sistema para padrões anormais  de  uso do sistema.  </w:t>
      </w:r>
    </w:p>
    <w:p w14:paraId="796CA911" w14:textId="77777777" w:rsidR="0089005C" w:rsidRDefault="00095529">
      <w:pPr>
        <w:ind w:left="-5" w:right="44"/>
      </w:pPr>
      <w:r>
        <w:rPr>
          <w:lang w:val="pt"/>
        </w:rPr>
        <w:t xml:space="preserve"> Muitos desses modelos foram desenvolvidos em parcerias entre órgãos governamentais e/ou militares e acadêmicos;  no entanto, o reconhecimento das diferenças entre o setor  militar e comercial levou a uma mudança nas  metas de segurança. No  setor  de defesa, o </w:t>
      </w:r>
      <w:proofErr w:type="spellStart"/>
      <w:r>
        <w:rPr>
          <w:lang w:val="pt"/>
        </w:rPr>
        <w:t>protection</w:t>
      </w:r>
      <w:proofErr w:type="spellEnd"/>
      <w:r>
        <w:rPr>
          <w:lang w:val="pt"/>
        </w:rPr>
        <w:t xml:space="preserve"> de informações deve ser alcançado quase a qualquer custo. No  mundo  comercial, o custo da proteção da  informação deve ser equilibrado com o risco para os  negócios. Essa diferença  levou ao desenvolvimento e adoção de diversos padrões  de  segurança e certificações profissionais. A tríade da   CIA  está no  centro de vários padrões  de  governança de  segurança e códigos de prática que foram adotados por públicos, privados e não </w:t>
      </w:r>
      <w:r>
        <w:rPr>
          <w:lang w:val="pt"/>
        </w:rPr>
        <w:lastRenderedPageBreak/>
        <w:t>governamentais organizações nos últimos 15 anos</w:t>
      </w:r>
      <w:r>
        <w:rPr>
          <w:sz w:val="18"/>
          <w:vertAlign w:val="superscript"/>
          <w:lang w:val="pt"/>
        </w:rPr>
        <w:footnoteReference w:id="1"/>
      </w:r>
      <w:r>
        <w:rPr>
          <w:lang w:val="pt"/>
        </w:rPr>
        <w:t>. Mais especificamente, a segurança, a integridade e a disponibilidade são vistas como metas através das quais a  segurança da  informação é alcançada (veja o conjunto de práticas  ITIL  ), mas também   são referidos  como parte integrante  das  expectativas que os stakeholders de negócios têm para  a tecnologia da informação (veja o COBIT   família de estruturas de governança). A perda de confidencialidade, integridade e disponibilidade de informações ou sistemas de  informação é usada como base para a classificação e avaliação  qualitativa de  riscos de segurança da informação  (</w:t>
      </w:r>
      <w:proofErr w:type="spellStart"/>
      <w:r>
        <w:rPr>
          <w:lang w:val="pt"/>
        </w:rPr>
        <w:t>see</w:t>
      </w:r>
      <w:proofErr w:type="spellEnd"/>
      <w:r>
        <w:rPr>
          <w:lang w:val="pt"/>
        </w:rPr>
        <w:t xml:space="preserve"> NIST SP 800-30 Rev.1), bem como para o desenvolvimento de controles de segurança relevantes (ver NIST SP 800-53 Rev.3).   Da mesma forma, a tríade da CIA também é  a base para  as regras de privacidade e a proteção de informações de  saúde </w:t>
      </w:r>
      <w:proofErr w:type="spellStart"/>
      <w:r>
        <w:rPr>
          <w:lang w:val="pt"/>
        </w:rPr>
        <w:t>eletronicamenteprotegidas</w:t>
      </w:r>
      <w:proofErr w:type="spellEnd"/>
      <w:r>
        <w:rPr>
          <w:lang w:val="pt"/>
        </w:rPr>
        <w:t xml:space="preserve"> (veja o exemplo do HIPAA em os EUA). </w:t>
      </w:r>
    </w:p>
    <w:p w14:paraId="589EE10B" w14:textId="77777777" w:rsidR="0089005C" w:rsidRDefault="00095529">
      <w:pPr>
        <w:spacing w:after="356"/>
        <w:ind w:left="-5" w:right="44"/>
      </w:pPr>
      <w:r>
        <w:rPr>
          <w:lang w:val="pt"/>
        </w:rPr>
        <w:t xml:space="preserve">Complementando seu  uso generalizado em  padrões  de  governança de segurança, a tríade da CIA  é amplamente destaque  nos  principais currículos de segurança, auditoria e exame de  fraude de  vários profissionais   organismos de certificação. O escopo das certificações profissionais  que estão disponíveis pode variar significativamente, pois algumas  delas têm uma  orientação puramente técnica e foco em redes de computadores (veja o Programa de certificação  CCNA), enquanto outros abordam questões mais amplas de gerenciamento  de  segurança ou </w:t>
      </w:r>
      <w:proofErr w:type="spellStart"/>
      <w:r>
        <w:rPr>
          <w:lang w:val="pt"/>
        </w:rPr>
        <w:t>contra-fraude</w:t>
      </w:r>
      <w:proofErr w:type="spellEnd"/>
      <w:r>
        <w:rPr>
          <w:lang w:val="pt"/>
        </w:rPr>
        <w:t xml:space="preserve"> (consulte a certificação ACFE).  No entanto, todas essas certificações parecem  ter uma coisa em comum, que é que em seus currículos, tratam  a confidencialidade, integridade e disponibilidade de ativos de  informação  como um conjunto indispensável de controles e princípios para  a implementação da segurança.</w:t>
      </w:r>
    </w:p>
    <w:p w14:paraId="622C442D" w14:textId="77777777" w:rsidR="0089005C" w:rsidRDefault="00095529">
      <w:pPr>
        <w:spacing w:after="260" w:line="265" w:lineRule="auto"/>
        <w:ind w:left="-5"/>
        <w:jc w:val="left"/>
      </w:pPr>
      <w:r>
        <w:rPr>
          <w:b/>
          <w:lang w:val="pt"/>
        </w:rPr>
        <w:t>Tríade da CIA e além: Uma visão acadêmica</w:t>
      </w:r>
    </w:p>
    <w:p w14:paraId="574062BD" w14:textId="77777777" w:rsidR="0089005C" w:rsidRDefault="00095529">
      <w:pPr>
        <w:pStyle w:val="Ttulo1"/>
        <w:ind w:left="-5"/>
      </w:pPr>
      <w:r>
        <w:rPr>
          <w:lang w:val="pt"/>
        </w:rPr>
        <w:t>Aspectos sociotécnicos  da segurança</w:t>
      </w:r>
    </w:p>
    <w:p w14:paraId="5C18D82E" w14:textId="77777777" w:rsidR="0089005C" w:rsidRDefault="00095529">
      <w:pPr>
        <w:spacing w:after="176"/>
        <w:ind w:left="-5" w:right="44"/>
      </w:pPr>
      <w:r>
        <w:rPr>
          <w:noProof/>
          <w:lang w:val="pt"/>
        </w:rPr>
        <w:drawing>
          <wp:anchor distT="0" distB="0" distL="114300" distR="114300" simplePos="0" relativeHeight="251662336" behindDoc="0" locked="0" layoutInCell="1" allowOverlap="0" wp14:anchorId="35661ACC" wp14:editId="291ECEAA">
            <wp:simplePos x="0" y="0"/>
            <wp:positionH relativeFrom="page">
              <wp:posOffset>5850255</wp:posOffset>
            </wp:positionH>
            <wp:positionV relativeFrom="page">
              <wp:posOffset>1707921</wp:posOffset>
            </wp:positionV>
            <wp:extent cx="1219200" cy="726415"/>
            <wp:effectExtent l="0" t="0" r="0" b="0"/>
            <wp:wrapSquare wrapText="bothSides"/>
            <wp:docPr id="462" name="Picture 462"/>
            <wp:cNvGraphicFramePr/>
            <a:graphic xmlns:a="http://schemas.openxmlformats.org/drawingml/2006/main">
              <a:graphicData uri="http://schemas.openxmlformats.org/drawingml/2006/picture">
                <pic:pic xmlns:pic="http://schemas.openxmlformats.org/drawingml/2006/picture">
                  <pic:nvPicPr>
                    <pic:cNvPr id="462" name="Picture 462"/>
                    <pic:cNvPicPr/>
                  </pic:nvPicPr>
                  <pic:blipFill>
                    <a:blip r:embed="rId8"/>
                    <a:stretch>
                      <a:fillRect/>
                    </a:stretch>
                  </pic:blipFill>
                  <pic:spPr>
                    <a:xfrm>
                      <a:off x="0" y="0"/>
                      <a:ext cx="1219200" cy="726415"/>
                    </a:xfrm>
                    <a:prstGeom prst="rect">
                      <a:avLst/>
                    </a:prstGeom>
                  </pic:spPr>
                </pic:pic>
              </a:graphicData>
            </a:graphic>
          </wp:anchor>
        </w:drawing>
      </w:r>
      <w:r>
        <w:rPr>
          <w:lang w:val="pt"/>
        </w:rPr>
        <w:t>A pesquisa acadêmica  em informação e segurança de computadores tradicionalmente  adotou uma  abordagem funcionalista (</w:t>
      </w:r>
      <w:proofErr w:type="spellStart"/>
      <w:r>
        <w:rPr>
          <w:lang w:val="pt"/>
        </w:rPr>
        <w:t>Dhillon</w:t>
      </w:r>
      <w:proofErr w:type="spellEnd"/>
      <w:r>
        <w:rPr>
          <w:lang w:val="pt"/>
        </w:rPr>
        <w:t>, 2001). Essa abordagem tem consistentemente colocado ênfase nos  aspectos técnicos da segurança e também no desenvolvimento de controles que  se concentram na  confidencialidade, integridade e disponibilidade de  sistemas de informação e informação com  mínima consideração pelo  contexto de uso (</w:t>
      </w:r>
      <w:proofErr w:type="spellStart"/>
      <w:r>
        <w:rPr>
          <w:lang w:val="pt"/>
        </w:rPr>
        <w:t>Hedström</w:t>
      </w:r>
      <w:proofErr w:type="spellEnd"/>
      <w:r>
        <w:rPr>
          <w:lang w:val="pt"/>
        </w:rPr>
        <w:t xml:space="preserve"> et al., 2010). Como nota </w:t>
      </w:r>
      <w:proofErr w:type="spellStart"/>
      <w:r>
        <w:rPr>
          <w:lang w:val="pt"/>
        </w:rPr>
        <w:t>Dhillon</w:t>
      </w:r>
      <w:proofErr w:type="spellEnd"/>
      <w:r>
        <w:rPr>
          <w:lang w:val="pt"/>
        </w:rPr>
        <w:t xml:space="preserve"> e </w:t>
      </w:r>
      <w:proofErr w:type="spellStart"/>
      <w:r>
        <w:rPr>
          <w:lang w:val="pt"/>
        </w:rPr>
        <w:t>Backhouse</w:t>
      </w:r>
      <w:proofErr w:type="spellEnd"/>
      <w:r>
        <w:rPr>
          <w:lang w:val="pt"/>
        </w:rPr>
        <w:t xml:space="preserve"> (2001), o contexto para  o qual os controles técnicos,  como a tríade  da CIA, foram desenvolvidos e destinados, é substancialmente diferente do de  organizações modernas. Em um esforço para </w:t>
      </w:r>
      <w:r>
        <w:rPr>
          <w:lang w:val="pt"/>
        </w:rPr>
        <w:lastRenderedPageBreak/>
        <w:t xml:space="preserve">enfrentar essa deficiência,   os estudiosos de segurança gradualmente se interessam mais pela pesquisa que considera socioemocional e </w:t>
      </w:r>
      <w:proofErr w:type="spellStart"/>
      <w:r>
        <w:rPr>
          <w:lang w:val="pt"/>
        </w:rPr>
        <w:t>sociocomentrecional</w:t>
      </w:r>
      <w:proofErr w:type="spellEnd"/>
      <w:r>
        <w:rPr>
          <w:lang w:val="pt"/>
        </w:rPr>
        <w:t xml:space="preserve"> mais ampla questões de segurança (</w:t>
      </w:r>
      <w:proofErr w:type="spellStart"/>
      <w:r>
        <w:rPr>
          <w:lang w:val="pt"/>
        </w:rPr>
        <w:t>Hedström</w:t>
      </w:r>
      <w:proofErr w:type="spellEnd"/>
      <w:r>
        <w:rPr>
          <w:lang w:val="pt"/>
        </w:rPr>
        <w:t xml:space="preserve"> et al., 2010). Por exemplo,  fluxos significativos de literatura e preocupados com  treinamento em segurança, educação e/ou cultura (</w:t>
      </w:r>
      <w:proofErr w:type="spellStart"/>
      <w:r>
        <w:rPr>
          <w:lang w:val="pt"/>
        </w:rPr>
        <w:t>Katsikas</w:t>
      </w:r>
      <w:proofErr w:type="spellEnd"/>
      <w:r>
        <w:rPr>
          <w:lang w:val="pt"/>
        </w:rPr>
        <w:t xml:space="preserve">, 2000;  </w:t>
      </w:r>
      <w:proofErr w:type="spellStart"/>
      <w:r>
        <w:rPr>
          <w:lang w:val="pt"/>
        </w:rPr>
        <w:t>Vroom</w:t>
      </w:r>
      <w:proofErr w:type="spellEnd"/>
      <w:r>
        <w:rPr>
          <w:lang w:val="pt"/>
        </w:rPr>
        <w:t xml:space="preserve"> &amp; von </w:t>
      </w:r>
      <w:proofErr w:type="spellStart"/>
      <w:r>
        <w:rPr>
          <w:lang w:val="pt"/>
        </w:rPr>
        <w:t>Solms</w:t>
      </w:r>
      <w:proofErr w:type="spellEnd"/>
      <w:r>
        <w:rPr>
          <w:lang w:val="pt"/>
        </w:rPr>
        <w:t>, 2004), ou com vários aspectos criminológicos de  violações de segurança (</w:t>
      </w:r>
      <w:proofErr w:type="spellStart"/>
      <w:r>
        <w:rPr>
          <w:lang w:val="pt"/>
        </w:rPr>
        <w:t>Straub</w:t>
      </w:r>
      <w:proofErr w:type="spellEnd"/>
      <w:r>
        <w:rPr>
          <w:lang w:val="pt"/>
        </w:rPr>
        <w:t xml:space="preserve">, 1990;  </w:t>
      </w:r>
      <w:proofErr w:type="spellStart"/>
      <w:r>
        <w:rPr>
          <w:lang w:val="pt"/>
        </w:rPr>
        <w:t>Willison</w:t>
      </w:r>
      <w:proofErr w:type="spellEnd"/>
      <w:r>
        <w:rPr>
          <w:lang w:val="pt"/>
        </w:rPr>
        <w:t xml:space="preserve"> e </w:t>
      </w:r>
      <w:proofErr w:type="spellStart"/>
      <w:r>
        <w:rPr>
          <w:lang w:val="pt"/>
        </w:rPr>
        <w:t>Warkentin</w:t>
      </w:r>
      <w:proofErr w:type="spellEnd"/>
      <w:r>
        <w:rPr>
          <w:lang w:val="pt"/>
        </w:rPr>
        <w:t xml:space="preserve">, 2013). No entanto,  ainda há grande potencial para </w:t>
      </w:r>
      <w:proofErr w:type="spellStart"/>
      <w:r>
        <w:rPr>
          <w:lang w:val="pt"/>
        </w:rPr>
        <w:t>exminar</w:t>
      </w:r>
      <w:proofErr w:type="spellEnd"/>
      <w:r>
        <w:rPr>
          <w:lang w:val="pt"/>
        </w:rPr>
        <w:t xml:space="preserve"> a intersecção entre teoria e prática de  segurança, na menor parte da  literatura ainda é predominantemente  centradas em políticas e padrões  de segurança, bem como em diferentes facetas de  comportamento e conformidade (D'</w:t>
      </w:r>
      <w:proofErr w:type="spellStart"/>
      <w:r>
        <w:rPr>
          <w:lang w:val="pt"/>
        </w:rPr>
        <w:t>Arcy</w:t>
      </w:r>
      <w:proofErr w:type="spellEnd"/>
      <w:r>
        <w:rPr>
          <w:lang w:val="pt"/>
        </w:rPr>
        <w:t xml:space="preserve"> &amp; Greene, 2009).  </w:t>
      </w:r>
    </w:p>
    <w:p w14:paraId="402A4FA7" w14:textId="77777777" w:rsidR="0089005C" w:rsidRDefault="00095529">
      <w:pPr>
        <w:spacing w:after="176"/>
        <w:ind w:left="-5" w:right="44"/>
      </w:pPr>
      <w:r>
        <w:rPr>
          <w:lang w:val="pt"/>
        </w:rPr>
        <w:t>A  pesquisa socio-</w:t>
      </w:r>
      <w:proofErr w:type="spellStart"/>
      <w:r>
        <w:rPr>
          <w:lang w:val="pt"/>
        </w:rPr>
        <w:t>tecnológical</w:t>
      </w:r>
      <w:proofErr w:type="spellEnd"/>
      <w:r>
        <w:rPr>
          <w:lang w:val="pt"/>
        </w:rPr>
        <w:t xml:space="preserve"> defende  que  as organizações devem, idealmente, operar sob a  premissa de uma  relação harmoniosa entre seus  subsetores técnicos, sociais e ambientais (van </w:t>
      </w:r>
      <w:proofErr w:type="spellStart"/>
      <w:r>
        <w:rPr>
          <w:lang w:val="pt"/>
        </w:rPr>
        <w:t>Deursen</w:t>
      </w:r>
      <w:proofErr w:type="spellEnd"/>
      <w:r>
        <w:rPr>
          <w:lang w:val="pt"/>
        </w:rPr>
        <w:t xml:space="preserve"> , 2014). Portanto, a importância da  pesquisa sociotécnica de  segurança  </w:t>
      </w:r>
      <w:proofErr w:type="spellStart"/>
      <w:r>
        <w:rPr>
          <w:lang w:val="pt"/>
        </w:rPr>
        <w:t>éo</w:t>
      </w:r>
      <w:proofErr w:type="spellEnd"/>
      <w:r>
        <w:rPr>
          <w:lang w:val="pt"/>
        </w:rPr>
        <w:t xml:space="preserve">  reconhecimento da importância dos fatores sociais e humanos na  gestão da  segurança da informação (van </w:t>
      </w:r>
      <w:proofErr w:type="spellStart"/>
      <w:r>
        <w:rPr>
          <w:lang w:val="pt"/>
        </w:rPr>
        <w:t>Deursen</w:t>
      </w:r>
      <w:proofErr w:type="spellEnd"/>
      <w:r>
        <w:rPr>
          <w:lang w:val="pt"/>
        </w:rPr>
        <w:t xml:space="preserve"> , 2014). Os aspectos sociais da segurança  tornaram-se  gradualmente parte integrante  da literatura de segurança do EI  (Harris, 2010). As    próprias sementes de sua evolução  podem ser rastreadas até o final da década de 1980.  Com base em sua  pesquisa de doutorado e no trabalho seminal precoce  no  campo, </w:t>
      </w:r>
      <w:proofErr w:type="spellStart"/>
      <w:r>
        <w:rPr>
          <w:lang w:val="pt"/>
        </w:rPr>
        <w:t>Baskerville</w:t>
      </w:r>
      <w:proofErr w:type="spellEnd"/>
      <w:r>
        <w:rPr>
          <w:lang w:val="pt"/>
        </w:rPr>
        <w:t xml:space="preserve"> (1988; 1993) ressaltou a necessidade de alinhamento entre a teoria e a  prática do EI em a incorporação de controles de segurança e estratégias de redução de ameaças   ao desenho  lógico dos sistemas de informação.  </w:t>
      </w:r>
    </w:p>
    <w:p w14:paraId="323E8592" w14:textId="77777777" w:rsidR="0089005C" w:rsidRDefault="00095529">
      <w:pPr>
        <w:spacing w:after="176"/>
        <w:ind w:left="-5" w:right="44"/>
      </w:pPr>
      <w:r>
        <w:rPr>
          <w:lang w:val="pt"/>
        </w:rPr>
        <w:t xml:space="preserve"> Na mesma época, Angell e </w:t>
      </w:r>
      <w:proofErr w:type="spellStart"/>
      <w:r>
        <w:rPr>
          <w:lang w:val="pt"/>
        </w:rPr>
        <w:t>Smithson</w:t>
      </w:r>
      <w:proofErr w:type="spellEnd"/>
      <w:r>
        <w:rPr>
          <w:lang w:val="pt"/>
        </w:rPr>
        <w:t xml:space="preserve"> (1992) adotaram um ponto de  vista  teórico de sistemas para redefinir o conceito de risco nas organizações e discutir os aspectos  sociais  da  segurança dos computadores que foram previamente sistematicamente ignorados na  literatura, em favor dos  aspectos  estritamente técnicos  da segurança. Eles argumentam que a integridade dos  processos que mantêm a identidade  e estabilidade  de uma organização deve ser defendida a  todo custo, uma vez que a própria existência de um  organização depende de  sua "integridade organizacional" – termo que denota a coesão, coerência e integridade de uma organização (Angell e </w:t>
      </w:r>
      <w:proofErr w:type="spellStart"/>
      <w:r>
        <w:rPr>
          <w:lang w:val="pt"/>
        </w:rPr>
        <w:t>Smithson</w:t>
      </w:r>
      <w:proofErr w:type="spellEnd"/>
      <w:r>
        <w:rPr>
          <w:lang w:val="pt"/>
        </w:rPr>
        <w:t xml:space="preserve">, 1992).  Refletindo a perspectiva  teórico dos sistemas de Angell e </w:t>
      </w:r>
      <w:proofErr w:type="spellStart"/>
      <w:r>
        <w:rPr>
          <w:lang w:val="pt"/>
        </w:rPr>
        <w:t>Smithson</w:t>
      </w:r>
      <w:proofErr w:type="spellEnd"/>
      <w:r>
        <w:rPr>
          <w:lang w:val="pt"/>
        </w:rPr>
        <w:t xml:space="preserve"> (1992), </w:t>
      </w:r>
      <w:proofErr w:type="spellStart"/>
      <w:r>
        <w:rPr>
          <w:lang w:val="pt"/>
        </w:rPr>
        <w:t>Dhillon</w:t>
      </w:r>
      <w:proofErr w:type="spellEnd"/>
      <w:r>
        <w:rPr>
          <w:lang w:val="pt"/>
        </w:rPr>
        <w:t xml:space="preserve"> (1995) adotou o modelo  TFI (</w:t>
      </w:r>
      <w:proofErr w:type="spellStart"/>
      <w:r>
        <w:rPr>
          <w:lang w:val="pt"/>
        </w:rPr>
        <w:t>Technical</w:t>
      </w:r>
      <w:proofErr w:type="spellEnd"/>
      <w:r>
        <w:rPr>
          <w:lang w:val="pt"/>
        </w:rPr>
        <w:t xml:space="preserve"> Formal Informal) (ver seção abaixo) em seu doutorado  pesquisa para fornecer uma  abordagem holística para o exame dos  aspectos sociotécnicos  da segurança.    Baseando-se em dois estudos de  caso  empíricos, </w:t>
      </w:r>
      <w:proofErr w:type="spellStart"/>
      <w:r>
        <w:rPr>
          <w:lang w:val="pt"/>
        </w:rPr>
        <w:t>Dhillon</w:t>
      </w:r>
      <w:proofErr w:type="spellEnd"/>
      <w:r>
        <w:rPr>
          <w:lang w:val="pt"/>
        </w:rPr>
        <w:t xml:space="preserve"> e </w:t>
      </w:r>
      <w:proofErr w:type="spellStart"/>
      <w:r>
        <w:rPr>
          <w:lang w:val="pt"/>
        </w:rPr>
        <w:t>Backhouse</w:t>
      </w:r>
      <w:proofErr w:type="spellEnd"/>
      <w:r>
        <w:rPr>
          <w:lang w:val="pt"/>
        </w:rPr>
        <w:t xml:space="preserve"> (1996) argumentam que a não obtenção  de um  equilíbrio adequado entre os  três </w:t>
      </w:r>
      <w:proofErr w:type="spellStart"/>
      <w:r>
        <w:rPr>
          <w:lang w:val="pt"/>
        </w:rPr>
        <w:t>subsecimentos</w:t>
      </w:r>
      <w:proofErr w:type="spellEnd"/>
      <w:r>
        <w:rPr>
          <w:lang w:val="pt"/>
        </w:rPr>
        <w:t xml:space="preserve"> gera  incerteza, cria complexidade e também eventualmente introduz risco. Isso se deve às  interações  contínuas e fora de controle dos </w:t>
      </w:r>
      <w:proofErr w:type="spellStart"/>
      <w:r>
        <w:rPr>
          <w:lang w:val="pt"/>
        </w:rPr>
        <w:t>subsetos</w:t>
      </w:r>
      <w:proofErr w:type="spellEnd"/>
      <w:r>
        <w:rPr>
          <w:lang w:val="pt"/>
        </w:rPr>
        <w:t xml:space="preserve"> técnicos, formais e informais  (</w:t>
      </w:r>
      <w:proofErr w:type="spellStart"/>
      <w:r>
        <w:rPr>
          <w:lang w:val="pt"/>
        </w:rPr>
        <w:t>Dhillon</w:t>
      </w:r>
      <w:proofErr w:type="spellEnd"/>
      <w:r>
        <w:rPr>
          <w:lang w:val="pt"/>
        </w:rPr>
        <w:t xml:space="preserve"> e </w:t>
      </w:r>
      <w:proofErr w:type="spellStart"/>
      <w:r>
        <w:rPr>
          <w:lang w:val="pt"/>
        </w:rPr>
        <w:t>Backhouse</w:t>
      </w:r>
      <w:proofErr w:type="spellEnd"/>
      <w:r>
        <w:rPr>
          <w:lang w:val="pt"/>
        </w:rPr>
        <w:t xml:space="preserve">, 1996).  </w:t>
      </w:r>
    </w:p>
    <w:p w14:paraId="23970BF4" w14:textId="77777777" w:rsidR="0089005C" w:rsidRDefault="00095529">
      <w:pPr>
        <w:spacing w:after="356"/>
        <w:ind w:left="-5" w:right="44"/>
      </w:pPr>
      <w:r>
        <w:rPr>
          <w:noProof/>
          <w:lang w:val="pt"/>
        </w:rPr>
        <w:lastRenderedPageBreak/>
        <w:drawing>
          <wp:anchor distT="0" distB="0" distL="114300" distR="114300" simplePos="0" relativeHeight="251663360" behindDoc="0" locked="0" layoutInCell="1" allowOverlap="0" wp14:anchorId="1DEB1F56" wp14:editId="601DD5F8">
            <wp:simplePos x="0" y="0"/>
            <wp:positionH relativeFrom="page">
              <wp:posOffset>838200</wp:posOffset>
            </wp:positionH>
            <wp:positionV relativeFrom="page">
              <wp:posOffset>1707921</wp:posOffset>
            </wp:positionV>
            <wp:extent cx="1219200" cy="726415"/>
            <wp:effectExtent l="0" t="0" r="0" b="0"/>
            <wp:wrapSquare wrapText="bothSides"/>
            <wp:docPr id="548" name="Picture 548"/>
            <wp:cNvGraphicFramePr/>
            <a:graphic xmlns:a="http://schemas.openxmlformats.org/drawingml/2006/main">
              <a:graphicData uri="http://schemas.openxmlformats.org/drawingml/2006/picture">
                <pic:pic xmlns:pic="http://schemas.openxmlformats.org/drawingml/2006/picture">
                  <pic:nvPicPr>
                    <pic:cNvPr id="548" name="Picture 548"/>
                    <pic:cNvPicPr/>
                  </pic:nvPicPr>
                  <pic:blipFill>
                    <a:blip r:embed="rId8"/>
                    <a:stretch>
                      <a:fillRect/>
                    </a:stretch>
                  </pic:blipFill>
                  <pic:spPr>
                    <a:xfrm>
                      <a:off x="0" y="0"/>
                      <a:ext cx="1219200" cy="726415"/>
                    </a:xfrm>
                    <a:prstGeom prst="rect">
                      <a:avLst/>
                    </a:prstGeom>
                  </pic:spPr>
                </pic:pic>
              </a:graphicData>
            </a:graphic>
          </wp:anchor>
        </w:drawing>
      </w:r>
      <w:r>
        <w:rPr>
          <w:lang w:val="pt"/>
        </w:rPr>
        <w:t xml:space="preserve">Como parte da  mesma agenda  de  pesquisa sobre segurança  sociotécnica, </w:t>
      </w:r>
      <w:proofErr w:type="spellStart"/>
      <w:r>
        <w:rPr>
          <w:lang w:val="pt"/>
        </w:rPr>
        <w:t>Dhillon</w:t>
      </w:r>
      <w:proofErr w:type="spellEnd"/>
      <w:r>
        <w:rPr>
          <w:lang w:val="pt"/>
        </w:rPr>
        <w:t xml:space="preserve"> e </w:t>
      </w:r>
      <w:proofErr w:type="spellStart"/>
      <w:r>
        <w:rPr>
          <w:lang w:val="pt"/>
        </w:rPr>
        <w:t>Backhouse</w:t>
      </w:r>
      <w:proofErr w:type="spellEnd"/>
      <w:r>
        <w:rPr>
          <w:lang w:val="pt"/>
        </w:rPr>
        <w:t xml:space="preserve"> (2000), e </w:t>
      </w:r>
      <w:proofErr w:type="spellStart"/>
      <w:r>
        <w:rPr>
          <w:lang w:val="pt"/>
        </w:rPr>
        <w:t>Dhillon</w:t>
      </w:r>
      <w:proofErr w:type="spellEnd"/>
      <w:r>
        <w:rPr>
          <w:lang w:val="pt"/>
        </w:rPr>
        <w:t xml:space="preserve"> e </w:t>
      </w:r>
      <w:proofErr w:type="spellStart"/>
      <w:r>
        <w:rPr>
          <w:lang w:val="pt"/>
        </w:rPr>
        <w:t>Torkzadeh</w:t>
      </w:r>
      <w:proofErr w:type="spellEnd"/>
      <w:r>
        <w:rPr>
          <w:lang w:val="pt"/>
        </w:rPr>
        <w:t xml:space="preserve"> (2006), apontaram  a utilidade limitada dos controles técnicos   e a necessidade  de consideração  dos aspectos  sociais,  organizatórios e  gerenciais  da segurança. Para isso, </w:t>
      </w:r>
      <w:proofErr w:type="spellStart"/>
      <w:r>
        <w:rPr>
          <w:lang w:val="pt"/>
        </w:rPr>
        <w:t>Dhillon</w:t>
      </w:r>
      <w:proofErr w:type="spellEnd"/>
      <w:r>
        <w:rPr>
          <w:lang w:val="pt"/>
        </w:rPr>
        <w:t xml:space="preserve"> e </w:t>
      </w:r>
      <w:proofErr w:type="spellStart"/>
      <w:r>
        <w:rPr>
          <w:lang w:val="pt"/>
        </w:rPr>
        <w:t>Backhouse</w:t>
      </w:r>
      <w:proofErr w:type="spellEnd"/>
      <w:r>
        <w:rPr>
          <w:lang w:val="pt"/>
        </w:rPr>
        <w:t xml:space="preserve"> (2000) sugeriram um conjunto de princípios adicionais à  versão expandida da tríade clássica da CIA  - que,  naquele momento, também  incluiu a autenticidade (</w:t>
      </w:r>
      <w:proofErr w:type="spellStart"/>
      <w:r>
        <w:rPr>
          <w:lang w:val="pt"/>
        </w:rPr>
        <w:t>Au</w:t>
      </w:r>
      <w:proofErr w:type="spellEnd"/>
      <w:r>
        <w:rPr>
          <w:lang w:val="pt"/>
        </w:rPr>
        <w:t xml:space="preserve">) e a </w:t>
      </w:r>
      <w:proofErr w:type="spellStart"/>
      <w:r>
        <w:rPr>
          <w:lang w:val="pt"/>
        </w:rPr>
        <w:t>udiação</w:t>
      </w:r>
      <w:proofErr w:type="spellEnd"/>
      <w:r>
        <w:rPr>
          <w:lang w:val="pt"/>
        </w:rPr>
        <w:t xml:space="preserve"> não-rep  (</w:t>
      </w:r>
      <w:proofErr w:type="spellStart"/>
      <w:r>
        <w:rPr>
          <w:lang w:val="pt"/>
        </w:rPr>
        <w:t>nR</w:t>
      </w:r>
      <w:proofErr w:type="spellEnd"/>
      <w:r>
        <w:rPr>
          <w:lang w:val="pt"/>
        </w:rPr>
        <w:t>) das informações, bem como a correção das especificações do  sistema  (</w:t>
      </w:r>
      <w:proofErr w:type="spellStart"/>
      <w:r>
        <w:rPr>
          <w:lang w:val="pt"/>
        </w:rPr>
        <w:t>CSpec</w:t>
      </w:r>
      <w:proofErr w:type="spellEnd"/>
      <w:r>
        <w:rPr>
          <w:lang w:val="pt"/>
        </w:rPr>
        <w:t xml:space="preserve">). Mais especificamente, eles argumentaram </w:t>
      </w:r>
      <w:proofErr w:type="gramStart"/>
      <w:r>
        <w:rPr>
          <w:lang w:val="pt"/>
        </w:rPr>
        <w:t>pela  importância</w:t>
      </w:r>
      <w:proofErr w:type="gramEnd"/>
      <w:r>
        <w:rPr>
          <w:lang w:val="pt"/>
        </w:rPr>
        <w:t xml:space="preserve"> da responsabilidade individual  e do conhecimento dos papéis  organizacionais, Integridade como exigência de </w:t>
      </w:r>
      <w:proofErr w:type="spellStart"/>
      <w:r>
        <w:rPr>
          <w:lang w:val="pt"/>
        </w:rPr>
        <w:t>membership</w:t>
      </w:r>
      <w:proofErr w:type="spellEnd"/>
      <w:r>
        <w:rPr>
          <w:lang w:val="pt"/>
        </w:rPr>
        <w:t xml:space="preserve"> organizacional, e o desenvolvimento de sistemas mútuos de Confiança que operam distintamente dos controles, bem como um senso de Ética que não é derivado do seguimento das regras.  </w:t>
      </w:r>
      <w:proofErr w:type="spellStart"/>
      <w:r>
        <w:rPr>
          <w:lang w:val="pt"/>
        </w:rPr>
        <w:t>Dhillon</w:t>
      </w:r>
      <w:proofErr w:type="spellEnd"/>
      <w:r>
        <w:rPr>
          <w:lang w:val="pt"/>
        </w:rPr>
        <w:t xml:space="preserve"> e </w:t>
      </w:r>
      <w:proofErr w:type="spellStart"/>
      <w:r>
        <w:rPr>
          <w:lang w:val="pt"/>
        </w:rPr>
        <w:t>Kolkowska</w:t>
      </w:r>
      <w:proofErr w:type="spellEnd"/>
      <w:r>
        <w:rPr>
          <w:lang w:val="pt"/>
        </w:rPr>
        <w:t xml:space="preserve"> (2011)  aprimoraram ainda mais essa estrutura de RITE para incorporar a gestão da identidade nos níveis individuais e da organização. </w:t>
      </w:r>
    </w:p>
    <w:p w14:paraId="74B26847" w14:textId="77777777" w:rsidR="0089005C" w:rsidRDefault="00095529">
      <w:pPr>
        <w:pStyle w:val="Ttulo1"/>
        <w:ind w:left="-5"/>
      </w:pPr>
      <w:r>
        <w:rPr>
          <w:lang w:val="pt"/>
        </w:rPr>
        <w:t xml:space="preserve">O modelo TFI </w:t>
      </w:r>
    </w:p>
    <w:p w14:paraId="7B57676C" w14:textId="77777777" w:rsidR="0089005C" w:rsidRDefault="00095529">
      <w:pPr>
        <w:spacing w:after="0"/>
        <w:ind w:left="-5" w:right="44"/>
      </w:pPr>
      <w:r>
        <w:rPr>
          <w:lang w:val="pt"/>
        </w:rPr>
        <w:t xml:space="preserve">Para       reavalie o escopo da tríade da CIA, vale a pena examinar mais de perto a contribuição contínua do modelo TFI, que tem sido  adotado em ocasiões </w:t>
      </w:r>
      <w:proofErr w:type="spellStart"/>
      <w:r>
        <w:rPr>
          <w:lang w:val="pt"/>
        </w:rPr>
        <w:t>numrous</w:t>
      </w:r>
      <w:proofErr w:type="spellEnd"/>
      <w:r>
        <w:rPr>
          <w:lang w:val="pt"/>
        </w:rPr>
        <w:t xml:space="preserve">   em  estudos sociotécnicos de segurança (</w:t>
      </w:r>
      <w:proofErr w:type="spellStart"/>
      <w:r>
        <w:rPr>
          <w:lang w:val="pt"/>
        </w:rPr>
        <w:t>Åhlfeldt</w:t>
      </w:r>
      <w:proofErr w:type="spellEnd"/>
      <w:r>
        <w:rPr>
          <w:lang w:val="pt"/>
        </w:rPr>
        <w:t xml:space="preserve"> et al., 2007;  </w:t>
      </w:r>
      <w:proofErr w:type="spellStart"/>
      <w:r>
        <w:rPr>
          <w:lang w:val="pt"/>
        </w:rPr>
        <w:t>Backhouse</w:t>
      </w:r>
      <w:proofErr w:type="spellEnd"/>
      <w:r>
        <w:rPr>
          <w:lang w:val="pt"/>
        </w:rPr>
        <w:t xml:space="preserve"> e </w:t>
      </w:r>
      <w:proofErr w:type="spellStart"/>
      <w:r>
        <w:rPr>
          <w:lang w:val="pt"/>
        </w:rPr>
        <w:t>Halperin</w:t>
      </w:r>
      <w:proofErr w:type="spellEnd"/>
      <w:r>
        <w:rPr>
          <w:lang w:val="pt"/>
        </w:rPr>
        <w:t xml:space="preserve">, 2009; Canhoto e </w:t>
      </w:r>
      <w:proofErr w:type="spellStart"/>
      <w:r>
        <w:rPr>
          <w:lang w:val="pt"/>
        </w:rPr>
        <w:t>Backhouse</w:t>
      </w:r>
      <w:proofErr w:type="spellEnd"/>
      <w:r>
        <w:rPr>
          <w:lang w:val="pt"/>
        </w:rPr>
        <w:t xml:space="preserve">, 2007;  </w:t>
      </w:r>
      <w:proofErr w:type="spellStart"/>
      <w:r>
        <w:rPr>
          <w:lang w:val="pt"/>
        </w:rPr>
        <w:t>Dhillon</w:t>
      </w:r>
      <w:proofErr w:type="spellEnd"/>
      <w:r>
        <w:rPr>
          <w:lang w:val="pt"/>
        </w:rPr>
        <w:t xml:space="preserve">, 1995; </w:t>
      </w:r>
    </w:p>
    <w:p w14:paraId="63278F58" w14:textId="77777777" w:rsidR="0089005C" w:rsidRDefault="00095529">
      <w:pPr>
        <w:spacing w:after="176"/>
        <w:ind w:left="-5" w:right="44"/>
      </w:pPr>
      <w:proofErr w:type="spellStart"/>
      <w:r>
        <w:rPr>
          <w:lang w:val="pt"/>
        </w:rPr>
        <w:t>Dhillon</w:t>
      </w:r>
      <w:proofErr w:type="spellEnd"/>
      <w:r>
        <w:rPr>
          <w:lang w:val="pt"/>
        </w:rPr>
        <w:t xml:space="preserve">, 2007;  </w:t>
      </w:r>
      <w:proofErr w:type="spellStart"/>
      <w:r>
        <w:rPr>
          <w:lang w:val="pt"/>
        </w:rPr>
        <w:t>Eibl</w:t>
      </w:r>
      <w:proofErr w:type="spellEnd"/>
      <w:r>
        <w:rPr>
          <w:lang w:val="pt"/>
        </w:rPr>
        <w:t xml:space="preserve"> e Schubert, 2008;  </w:t>
      </w:r>
      <w:proofErr w:type="spellStart"/>
      <w:r>
        <w:rPr>
          <w:lang w:val="pt"/>
        </w:rPr>
        <w:t>Halperin</w:t>
      </w:r>
      <w:proofErr w:type="spellEnd"/>
      <w:r>
        <w:rPr>
          <w:lang w:val="pt"/>
        </w:rPr>
        <w:t xml:space="preserve">, 2006;  </w:t>
      </w:r>
      <w:proofErr w:type="spellStart"/>
      <w:r>
        <w:rPr>
          <w:lang w:val="pt"/>
        </w:rPr>
        <w:t>Samonas</w:t>
      </w:r>
      <w:proofErr w:type="spellEnd"/>
      <w:r>
        <w:rPr>
          <w:lang w:val="pt"/>
        </w:rPr>
        <w:t xml:space="preserve">, 2012;  </w:t>
      </w:r>
      <w:proofErr w:type="spellStart"/>
      <w:r>
        <w:rPr>
          <w:lang w:val="pt"/>
        </w:rPr>
        <w:t>Spagnoletti</w:t>
      </w:r>
      <w:proofErr w:type="spellEnd"/>
      <w:r>
        <w:rPr>
          <w:lang w:val="pt"/>
        </w:rPr>
        <w:t xml:space="preserve"> e </w:t>
      </w:r>
      <w:proofErr w:type="spellStart"/>
      <w:r>
        <w:rPr>
          <w:lang w:val="pt"/>
        </w:rPr>
        <w:t>Resca</w:t>
      </w:r>
      <w:proofErr w:type="spellEnd"/>
      <w:r>
        <w:rPr>
          <w:lang w:val="pt"/>
        </w:rPr>
        <w:t xml:space="preserve">, 2008). O modelo de FI  representa   uma tricotomia conceitual  de uma organização em partições sistêmicas técnicas, formais e informais  (também referidas como </w:t>
      </w:r>
      <w:proofErr w:type="spellStart"/>
      <w:r>
        <w:rPr>
          <w:lang w:val="pt"/>
        </w:rPr>
        <w:t>subsegênicas</w:t>
      </w:r>
      <w:proofErr w:type="spellEnd"/>
      <w:r>
        <w:rPr>
          <w:lang w:val="pt"/>
        </w:rPr>
        <w:t>) que estão em um estado contínuo de contínua  interação (</w:t>
      </w:r>
      <w:proofErr w:type="spellStart"/>
      <w:r>
        <w:rPr>
          <w:lang w:val="pt"/>
        </w:rPr>
        <w:t>Åhlfeldt</w:t>
      </w:r>
      <w:proofErr w:type="spellEnd"/>
      <w:r>
        <w:rPr>
          <w:lang w:val="pt"/>
        </w:rPr>
        <w:t xml:space="preserve">, 2007;  </w:t>
      </w:r>
      <w:proofErr w:type="spellStart"/>
      <w:r>
        <w:rPr>
          <w:lang w:val="pt"/>
        </w:rPr>
        <w:t>Dhillon</w:t>
      </w:r>
      <w:proofErr w:type="spellEnd"/>
      <w:r>
        <w:rPr>
          <w:lang w:val="pt"/>
        </w:rPr>
        <w:t xml:space="preserve">, 1996). O modelo é  baseado nos  estudos semióticos  de </w:t>
      </w:r>
      <w:proofErr w:type="spellStart"/>
      <w:r>
        <w:rPr>
          <w:lang w:val="pt"/>
        </w:rPr>
        <w:t>Stamper</w:t>
      </w:r>
      <w:proofErr w:type="spellEnd"/>
      <w:r>
        <w:rPr>
          <w:lang w:val="pt"/>
        </w:rPr>
        <w:t xml:space="preserve"> (1973) e </w:t>
      </w:r>
      <w:proofErr w:type="spellStart"/>
      <w:r>
        <w:rPr>
          <w:lang w:val="pt"/>
        </w:rPr>
        <w:t>Liebenau</w:t>
      </w:r>
      <w:proofErr w:type="spellEnd"/>
      <w:r>
        <w:rPr>
          <w:lang w:val="pt"/>
        </w:rPr>
        <w:t xml:space="preserve"> e </w:t>
      </w:r>
      <w:proofErr w:type="spellStart"/>
      <w:r>
        <w:rPr>
          <w:lang w:val="pt"/>
        </w:rPr>
        <w:t>Backhouse</w:t>
      </w:r>
      <w:proofErr w:type="spellEnd"/>
      <w:r>
        <w:rPr>
          <w:lang w:val="pt"/>
        </w:rPr>
        <w:t xml:space="preserve"> (1990), que são construídos sobre o trabalho antropológico cultural  de E. T. Hall (1959). </w:t>
      </w:r>
    </w:p>
    <w:p w14:paraId="7FB31F92" w14:textId="77777777" w:rsidR="0089005C" w:rsidRDefault="00095529">
      <w:pPr>
        <w:spacing w:after="43"/>
        <w:ind w:left="-5" w:right="44"/>
      </w:pPr>
      <w:r>
        <w:rPr>
          <w:lang w:val="pt"/>
        </w:rPr>
        <w:t xml:space="preserve">De acordo com  </w:t>
      </w:r>
      <w:proofErr w:type="spellStart"/>
      <w:r>
        <w:rPr>
          <w:lang w:val="pt"/>
        </w:rPr>
        <w:t>Halperin</w:t>
      </w:r>
      <w:proofErr w:type="spellEnd"/>
      <w:r>
        <w:rPr>
          <w:lang w:val="pt"/>
        </w:rPr>
        <w:t xml:space="preserve"> e </w:t>
      </w:r>
      <w:proofErr w:type="spellStart"/>
      <w:r>
        <w:rPr>
          <w:lang w:val="pt"/>
        </w:rPr>
        <w:t>Backhouse</w:t>
      </w:r>
      <w:proofErr w:type="spellEnd"/>
      <w:r>
        <w:rPr>
          <w:lang w:val="pt"/>
        </w:rPr>
        <w:t xml:space="preserve"> (2007), as três camadas do  modelo TFI, que correspondem a três subsetores organizacionais, têm uma  relação mutuamente constitutiva e interdependente, pela qual  o </w:t>
      </w:r>
      <w:proofErr w:type="spellStart"/>
      <w:r>
        <w:rPr>
          <w:lang w:val="pt"/>
        </w:rPr>
        <w:t>subse</w:t>
      </w:r>
      <w:proofErr w:type="spellEnd"/>
      <w:r>
        <w:rPr>
          <w:lang w:val="pt"/>
        </w:rPr>
        <w:t xml:space="preserve"> system técnico requer organização formal, e o </w:t>
      </w:r>
      <w:proofErr w:type="spellStart"/>
      <w:r>
        <w:rPr>
          <w:lang w:val="pt"/>
        </w:rPr>
        <w:t>subse</w:t>
      </w:r>
      <w:proofErr w:type="spellEnd"/>
      <w:r>
        <w:rPr>
          <w:lang w:val="pt"/>
        </w:rPr>
        <w:t xml:space="preserve"> system formal  requer organização informal  (</w:t>
      </w:r>
      <w:proofErr w:type="spellStart"/>
      <w:r>
        <w:rPr>
          <w:lang w:val="pt"/>
        </w:rPr>
        <w:t>Halperin</w:t>
      </w:r>
      <w:proofErr w:type="spellEnd"/>
      <w:r>
        <w:rPr>
          <w:lang w:val="pt"/>
        </w:rPr>
        <w:t xml:space="preserve"> e </w:t>
      </w:r>
      <w:proofErr w:type="spellStart"/>
      <w:r>
        <w:rPr>
          <w:lang w:val="pt"/>
        </w:rPr>
        <w:t>Backhouse</w:t>
      </w:r>
      <w:proofErr w:type="spellEnd"/>
      <w:r>
        <w:rPr>
          <w:lang w:val="pt"/>
        </w:rPr>
        <w:t xml:space="preserve">, 2007). Nesse contexto, o </w:t>
      </w:r>
      <w:proofErr w:type="spellStart"/>
      <w:r>
        <w:rPr>
          <w:lang w:val="pt"/>
        </w:rPr>
        <w:t>subse</w:t>
      </w:r>
      <w:proofErr w:type="spellEnd"/>
      <w:r>
        <w:rPr>
          <w:lang w:val="pt"/>
        </w:rPr>
        <w:t xml:space="preserve"> system técnico  suporta  e é apoiado pelo </w:t>
      </w:r>
      <w:proofErr w:type="spellStart"/>
      <w:r>
        <w:rPr>
          <w:lang w:val="pt"/>
        </w:rPr>
        <w:t>subse</w:t>
      </w:r>
      <w:proofErr w:type="spellEnd"/>
      <w:r>
        <w:rPr>
          <w:lang w:val="pt"/>
        </w:rPr>
        <w:t xml:space="preserve"> system formal  , que na verdade é  uma burocracia que  substitui  os significados e intenções  íons de membros organizacionais, no que diz respeito a governar e formar.  Esses dois subsistemas operam dentro de um  subsistema "informal" ambiente maior, onde os significados e intenções dos membros organizacionais estão </w:t>
      </w:r>
    </w:p>
    <w:p w14:paraId="15CF26DE" w14:textId="77777777" w:rsidR="0089005C" w:rsidRDefault="00095529">
      <w:pPr>
        <w:spacing w:after="175"/>
        <w:ind w:left="-5" w:right="44"/>
      </w:pPr>
      <w:r>
        <w:rPr>
          <w:noProof/>
          <w:lang w:val="pt"/>
        </w:rPr>
        <w:drawing>
          <wp:anchor distT="0" distB="0" distL="114300" distR="114300" simplePos="0" relativeHeight="251664384" behindDoc="0" locked="0" layoutInCell="1" allowOverlap="0" wp14:anchorId="73A67FFB" wp14:editId="5588A7CF">
            <wp:simplePos x="0" y="0"/>
            <wp:positionH relativeFrom="page">
              <wp:posOffset>5850255</wp:posOffset>
            </wp:positionH>
            <wp:positionV relativeFrom="page">
              <wp:posOffset>1707921</wp:posOffset>
            </wp:positionV>
            <wp:extent cx="1219200" cy="726415"/>
            <wp:effectExtent l="0" t="0" r="0" b="0"/>
            <wp:wrapSquare wrapText="bothSides"/>
            <wp:docPr id="643" name="Picture 643"/>
            <wp:cNvGraphicFramePr/>
            <a:graphic xmlns:a="http://schemas.openxmlformats.org/drawingml/2006/main">
              <a:graphicData uri="http://schemas.openxmlformats.org/drawingml/2006/picture">
                <pic:pic xmlns:pic="http://schemas.openxmlformats.org/drawingml/2006/picture">
                  <pic:nvPicPr>
                    <pic:cNvPr id="643" name="Picture 643"/>
                    <pic:cNvPicPr/>
                  </pic:nvPicPr>
                  <pic:blipFill>
                    <a:blip r:embed="rId8"/>
                    <a:stretch>
                      <a:fillRect/>
                    </a:stretch>
                  </pic:blipFill>
                  <pic:spPr>
                    <a:xfrm>
                      <a:off x="0" y="0"/>
                      <a:ext cx="1219200" cy="726415"/>
                    </a:xfrm>
                    <a:prstGeom prst="rect">
                      <a:avLst/>
                    </a:prstGeom>
                  </pic:spPr>
                </pic:pic>
              </a:graphicData>
            </a:graphic>
          </wp:anchor>
        </w:drawing>
      </w:r>
      <w:r>
        <w:rPr>
          <w:lang w:val="pt"/>
        </w:rPr>
        <w:t xml:space="preserve">estabelecido, compreendido, alterado e dispensado. Ao longo do tempo,    cria-se o subsistema "informal", que consiste em grupos sociais  coesos de membros </w:t>
      </w:r>
      <w:r>
        <w:rPr>
          <w:lang w:val="pt"/>
        </w:rPr>
        <w:lastRenderedPageBreak/>
        <w:t xml:space="preserve">organizacionais com  adesões sobrepostas nos  dois subsistemas acima mencionados. Alguns  desses grupos sociais  podem afetar significativamente o bem-estar da  organização, pois podem  muito bem possuir poder suficiente para influenciar outros grupos informais, ou mesmo o estruturas formais da  organização. Do  ponto de vista sistêmico, os </w:t>
      </w:r>
      <w:proofErr w:type="spellStart"/>
      <w:r>
        <w:rPr>
          <w:lang w:val="pt"/>
        </w:rPr>
        <w:t>subsistimentos</w:t>
      </w:r>
      <w:proofErr w:type="spellEnd"/>
      <w:r>
        <w:rPr>
          <w:lang w:val="pt"/>
        </w:rPr>
        <w:t xml:space="preserve"> técnicos, formais e informais  interagem entre si de  maneiras m </w:t>
      </w:r>
      <w:proofErr w:type="spellStart"/>
      <w:r>
        <w:rPr>
          <w:lang w:val="pt"/>
        </w:rPr>
        <w:t>ultiple</w:t>
      </w:r>
      <w:proofErr w:type="spellEnd"/>
      <w:r>
        <w:rPr>
          <w:lang w:val="pt"/>
        </w:rPr>
        <w:t xml:space="preserve"> e diferentes, o que essencialmente determina e  define 'integridade organizacional' (</w:t>
      </w:r>
      <w:proofErr w:type="spellStart"/>
      <w:r>
        <w:rPr>
          <w:lang w:val="pt"/>
        </w:rPr>
        <w:t>Samonas</w:t>
      </w:r>
      <w:proofErr w:type="spellEnd"/>
      <w:r>
        <w:rPr>
          <w:lang w:val="pt"/>
        </w:rPr>
        <w:t xml:space="preserve">, 2012). </w:t>
      </w:r>
    </w:p>
    <w:p w14:paraId="4712CBD2" w14:textId="77777777" w:rsidR="0089005C" w:rsidRDefault="00095529">
      <w:pPr>
        <w:spacing w:after="403"/>
        <w:ind w:left="-5" w:right="44"/>
      </w:pPr>
      <w:r>
        <w:rPr>
          <w:lang w:val="pt"/>
        </w:rPr>
        <w:t xml:space="preserve"> Com base na  literatura acadêmica relevante e particularmente na  aplicação do  modelo de FI na  segurança da informação, a próxima seção reavalia o significado de cada um dos  termos de  a tríade da CIA, para fornecer uma explicação para sua proeminência na  prática da segurança.</w:t>
      </w:r>
    </w:p>
    <w:p w14:paraId="37220178" w14:textId="77777777" w:rsidR="0089005C" w:rsidRDefault="00095529">
      <w:pPr>
        <w:spacing w:after="145" w:line="259" w:lineRule="auto"/>
        <w:ind w:left="0" w:firstLine="0"/>
        <w:jc w:val="left"/>
      </w:pPr>
      <w:r>
        <w:rPr>
          <w:b/>
          <w:lang w:val="pt"/>
        </w:rPr>
        <w:t xml:space="preserve">De </w:t>
      </w:r>
      <w:r>
        <w:rPr>
          <w:lang w:val="pt"/>
        </w:rPr>
        <w:t xml:space="preserve"> volta </w:t>
      </w:r>
      <w:r>
        <w:rPr>
          <w:b/>
          <w:lang w:val="pt"/>
        </w:rPr>
        <w:t xml:space="preserve"> ao básico: Redefinindo "CIA" </w:t>
      </w:r>
    </w:p>
    <w:p w14:paraId="2E9F2BB1" w14:textId="77777777" w:rsidR="0089005C" w:rsidRDefault="00095529">
      <w:pPr>
        <w:spacing w:after="116"/>
        <w:ind w:left="-5" w:right="44"/>
      </w:pPr>
      <w:r>
        <w:rPr>
          <w:lang w:val="pt"/>
        </w:rPr>
        <w:t xml:space="preserve">É evidente na  natureza evolutiva das estruturas organizacionais, que os controles </w:t>
      </w:r>
      <w:proofErr w:type="spellStart"/>
      <w:r>
        <w:rPr>
          <w:lang w:val="pt"/>
        </w:rPr>
        <w:t>security</w:t>
      </w:r>
      <w:proofErr w:type="spellEnd"/>
      <w:r>
        <w:rPr>
          <w:lang w:val="pt"/>
        </w:rPr>
        <w:t xml:space="preserve"> estão sujeitos a modificações significativas, particularmente   no que diz respeito à  mudança da dinâmica dos negócios (</w:t>
      </w:r>
      <w:proofErr w:type="spellStart"/>
      <w:r>
        <w:rPr>
          <w:lang w:val="pt"/>
        </w:rPr>
        <w:t>Chowdhuri</w:t>
      </w:r>
      <w:proofErr w:type="spellEnd"/>
      <w:r>
        <w:rPr>
          <w:lang w:val="pt"/>
        </w:rPr>
        <w:t xml:space="preserve"> et al., 2012) . Para   compreender completamente esse  processo evolutivo na  segurança da informação, é importante que  acadêmicos e profissionais considerem como essas mudanças nos  controles de segurança a  partir do  perspectiva dos praticantes pode ser conciliada com essas mudanças em relação à  visão acadêmica em relação à segurança da informação. Da década de  1980  até a década de 2010, oito termos  e  conceitos diferentes foram  indicados na  literatura acadêmica   como complementares  à tríade da CIA, a saber:  autenticidade, não repúdio, correção de especificação, responsabilidade, integridade das pessoas, confiança, ética e gestão  de identidade. As    duas primeiras etapas de melhorias na tríade  da CIA  podem ser traçadas nas décadas de 1980 e 1990, quando os praticantes, respectivamente,  ressaltaram a  importância  de autenticidade e não repúdio na  gestão da informação, e também da correção na  especificação dos sistemas de informação. As  duas etapas restantes foram instigadas por acadêmicos que utilizaram uma  abordagem sociotécnica para a segurança da informação (ver seção 3  deste artigo).   A Tabela 2   resume    todas as etapas que se seguiram à concepção original  da tríade da CIA, ao longo de uma lenda dos termos e questões que aparecem em cada uma  das definições revisadas de segurança da  informação nos últimos 40 anos.  </w:t>
      </w:r>
    </w:p>
    <w:p w14:paraId="2B5BE9A3" w14:textId="77777777" w:rsidR="0089005C" w:rsidRDefault="00095529">
      <w:pPr>
        <w:spacing w:after="0"/>
        <w:ind w:left="-5" w:right="44"/>
      </w:pPr>
      <w:r>
        <w:rPr>
          <w:noProof/>
          <w:lang w:val="pt"/>
        </w:rPr>
        <w:drawing>
          <wp:anchor distT="0" distB="0" distL="114300" distR="114300" simplePos="0" relativeHeight="251665408" behindDoc="0" locked="0" layoutInCell="1" allowOverlap="0" wp14:anchorId="769A9221" wp14:editId="22E4E557">
            <wp:simplePos x="0" y="0"/>
            <wp:positionH relativeFrom="page">
              <wp:posOffset>838200</wp:posOffset>
            </wp:positionH>
            <wp:positionV relativeFrom="page">
              <wp:posOffset>1707921</wp:posOffset>
            </wp:positionV>
            <wp:extent cx="1219200" cy="726415"/>
            <wp:effectExtent l="0" t="0" r="0" b="0"/>
            <wp:wrapSquare wrapText="bothSides"/>
            <wp:docPr id="734" name="Picture 734"/>
            <wp:cNvGraphicFramePr/>
            <a:graphic xmlns:a="http://schemas.openxmlformats.org/drawingml/2006/main">
              <a:graphicData uri="http://schemas.openxmlformats.org/drawingml/2006/picture">
                <pic:pic xmlns:pic="http://schemas.openxmlformats.org/drawingml/2006/picture">
                  <pic:nvPicPr>
                    <pic:cNvPr id="734" name="Picture 734"/>
                    <pic:cNvPicPr/>
                  </pic:nvPicPr>
                  <pic:blipFill>
                    <a:blip r:embed="rId8"/>
                    <a:stretch>
                      <a:fillRect/>
                    </a:stretch>
                  </pic:blipFill>
                  <pic:spPr>
                    <a:xfrm>
                      <a:off x="0" y="0"/>
                      <a:ext cx="1219200" cy="726415"/>
                    </a:xfrm>
                    <a:prstGeom prst="rect">
                      <a:avLst/>
                    </a:prstGeom>
                  </pic:spPr>
                </pic:pic>
              </a:graphicData>
            </a:graphic>
          </wp:anchor>
        </w:drawing>
      </w:r>
      <w:r>
        <w:rPr>
          <w:lang w:val="pt"/>
        </w:rPr>
        <w:t xml:space="preserve">Neste artigo,  argumentamos que mesmo na  década de 2020, 50 anos após sua concepção, a tríade da CIA  ainda será exclusivamente </w:t>
      </w:r>
      <w:proofErr w:type="spellStart"/>
      <w:r>
        <w:rPr>
          <w:lang w:val="pt"/>
        </w:rPr>
        <w:t>relevant</w:t>
      </w:r>
      <w:proofErr w:type="spellEnd"/>
      <w:r>
        <w:rPr>
          <w:lang w:val="pt"/>
        </w:rPr>
        <w:t xml:space="preserve"> para  os profissionais de segurança e  continuará  a  servem como ponto de referência na  gestão da segurança. </w:t>
      </w:r>
    </w:p>
    <w:tbl>
      <w:tblPr>
        <w:tblStyle w:val="TableGrid"/>
        <w:tblW w:w="7046" w:type="dxa"/>
        <w:tblInd w:w="-103" w:type="dxa"/>
        <w:tblCellMar>
          <w:top w:w="137" w:type="dxa"/>
          <w:left w:w="103" w:type="dxa"/>
          <w:bottom w:w="67" w:type="dxa"/>
          <w:right w:w="48" w:type="dxa"/>
        </w:tblCellMar>
        <w:tblLook w:val="04A0" w:firstRow="1" w:lastRow="0" w:firstColumn="1" w:lastColumn="0" w:noHBand="0" w:noVBand="1"/>
      </w:tblPr>
      <w:tblGrid>
        <w:gridCol w:w="764"/>
        <w:gridCol w:w="2861"/>
        <w:gridCol w:w="3421"/>
      </w:tblGrid>
      <w:tr w:rsidR="0089005C" w14:paraId="7245B292" w14:textId="77777777">
        <w:trPr>
          <w:trHeight w:val="490"/>
        </w:trPr>
        <w:tc>
          <w:tcPr>
            <w:tcW w:w="764" w:type="dxa"/>
            <w:tcBorders>
              <w:top w:val="single" w:sz="8" w:space="0" w:color="000000"/>
              <w:left w:val="single" w:sz="8" w:space="0" w:color="000000"/>
              <w:bottom w:val="single" w:sz="8" w:space="0" w:color="000000"/>
              <w:right w:val="single" w:sz="8" w:space="0" w:color="000000"/>
            </w:tcBorders>
            <w:shd w:val="clear" w:color="auto" w:fill="B3B3B3"/>
            <w:vAlign w:val="center"/>
          </w:tcPr>
          <w:p w14:paraId="001EDEDF" w14:textId="77777777" w:rsidR="0089005C" w:rsidRDefault="00095529">
            <w:pPr>
              <w:spacing w:after="0" w:line="259" w:lineRule="auto"/>
              <w:ind w:left="54" w:firstLine="0"/>
              <w:jc w:val="left"/>
            </w:pPr>
            <w:r>
              <w:rPr>
                <w:b/>
                <w:lang w:val="pt"/>
              </w:rPr>
              <w:lastRenderedPageBreak/>
              <w:t>Ano</w:t>
            </w:r>
          </w:p>
        </w:tc>
        <w:tc>
          <w:tcPr>
            <w:tcW w:w="2861" w:type="dxa"/>
            <w:tcBorders>
              <w:top w:val="single" w:sz="8" w:space="0" w:color="000000"/>
              <w:left w:val="single" w:sz="8" w:space="0" w:color="000000"/>
              <w:bottom w:val="single" w:sz="8" w:space="0" w:color="000000"/>
              <w:right w:val="single" w:sz="8" w:space="0" w:color="000000"/>
            </w:tcBorders>
            <w:shd w:val="clear" w:color="auto" w:fill="B3B3B3"/>
            <w:vAlign w:val="center"/>
          </w:tcPr>
          <w:p w14:paraId="3B58BD85" w14:textId="77777777" w:rsidR="0089005C" w:rsidRDefault="00095529">
            <w:pPr>
              <w:spacing w:after="0" w:line="259" w:lineRule="auto"/>
              <w:ind w:left="0" w:right="56" w:firstLine="0"/>
              <w:jc w:val="center"/>
            </w:pPr>
            <w:r>
              <w:rPr>
                <w:b/>
                <w:lang w:val="pt"/>
              </w:rPr>
              <w:t>Relações</w:t>
            </w:r>
          </w:p>
        </w:tc>
        <w:tc>
          <w:tcPr>
            <w:tcW w:w="3421" w:type="dxa"/>
            <w:tcBorders>
              <w:top w:val="single" w:sz="8" w:space="0" w:color="000000"/>
              <w:left w:val="single" w:sz="8" w:space="0" w:color="000000"/>
              <w:bottom w:val="single" w:sz="8" w:space="0" w:color="000000"/>
              <w:right w:val="single" w:sz="8" w:space="0" w:color="000000"/>
            </w:tcBorders>
            <w:shd w:val="clear" w:color="auto" w:fill="B3B3B3"/>
            <w:vAlign w:val="center"/>
          </w:tcPr>
          <w:p w14:paraId="566B6D1C" w14:textId="77777777" w:rsidR="0089005C" w:rsidRDefault="00095529">
            <w:pPr>
              <w:spacing w:after="0" w:line="259" w:lineRule="auto"/>
              <w:ind w:left="0" w:right="50" w:firstLine="0"/>
              <w:jc w:val="center"/>
            </w:pPr>
            <w:r>
              <w:rPr>
                <w:b/>
                <w:lang w:val="pt"/>
              </w:rPr>
              <w:t>Lenda</w:t>
            </w:r>
          </w:p>
        </w:tc>
      </w:tr>
      <w:tr w:rsidR="0089005C" w14:paraId="7875CAB2" w14:textId="77777777">
        <w:trPr>
          <w:trHeight w:val="851"/>
        </w:trPr>
        <w:tc>
          <w:tcPr>
            <w:tcW w:w="764" w:type="dxa"/>
            <w:tcBorders>
              <w:top w:val="single" w:sz="8" w:space="0" w:color="000000"/>
              <w:left w:val="single" w:sz="8" w:space="0" w:color="000000"/>
              <w:bottom w:val="single" w:sz="8" w:space="0" w:color="000000"/>
              <w:right w:val="single" w:sz="8" w:space="0" w:color="000000"/>
            </w:tcBorders>
          </w:tcPr>
          <w:p w14:paraId="76E07E5A" w14:textId="77777777" w:rsidR="0089005C" w:rsidRDefault="00095529">
            <w:pPr>
              <w:spacing w:after="0" w:line="259" w:lineRule="auto"/>
              <w:ind w:left="0" w:firstLine="0"/>
              <w:jc w:val="left"/>
            </w:pPr>
            <w:r>
              <w:rPr>
                <w:b/>
                <w:lang w:val="pt"/>
              </w:rPr>
              <w:t>Anos 70</w:t>
            </w:r>
          </w:p>
        </w:tc>
        <w:tc>
          <w:tcPr>
            <w:tcW w:w="2861" w:type="dxa"/>
            <w:tcBorders>
              <w:top w:val="single" w:sz="8" w:space="0" w:color="000000"/>
              <w:left w:val="single" w:sz="8" w:space="0" w:color="000000"/>
              <w:bottom w:val="single" w:sz="8" w:space="0" w:color="000000"/>
              <w:right w:val="single" w:sz="8" w:space="0" w:color="000000"/>
            </w:tcBorders>
          </w:tcPr>
          <w:p w14:paraId="1D5C3184" w14:textId="77777777" w:rsidR="0089005C" w:rsidRDefault="00095529">
            <w:pPr>
              <w:spacing w:after="0" w:line="259" w:lineRule="auto"/>
              <w:ind w:left="2" w:firstLine="0"/>
              <w:jc w:val="left"/>
            </w:pPr>
            <w:proofErr w:type="spellStart"/>
            <w:r>
              <w:rPr>
                <w:lang w:val="pt"/>
              </w:rPr>
              <w:t>Infosec</w:t>
            </w:r>
            <w:proofErr w:type="spellEnd"/>
            <w:r>
              <w:rPr>
                <w:lang w:val="pt"/>
              </w:rPr>
              <w:t xml:space="preserve"> = CIA </w:t>
            </w:r>
          </w:p>
        </w:tc>
        <w:tc>
          <w:tcPr>
            <w:tcW w:w="3421" w:type="dxa"/>
            <w:tcBorders>
              <w:top w:val="single" w:sz="8" w:space="0" w:color="000000"/>
              <w:left w:val="single" w:sz="8" w:space="0" w:color="000000"/>
              <w:bottom w:val="single" w:sz="8" w:space="0" w:color="000000"/>
              <w:right w:val="single" w:sz="8" w:space="0" w:color="000000"/>
            </w:tcBorders>
            <w:vAlign w:val="center"/>
          </w:tcPr>
          <w:p w14:paraId="74E4614D" w14:textId="77777777" w:rsidR="0089005C" w:rsidRDefault="00095529">
            <w:pPr>
              <w:spacing w:after="0" w:line="259" w:lineRule="auto"/>
              <w:ind w:left="3" w:firstLine="0"/>
            </w:pPr>
            <w:r>
              <w:rPr>
                <w:lang w:val="pt"/>
              </w:rPr>
              <w:t>C é Confidencialidade, Eu sou Integridade, e A é Disponibilidade</w:t>
            </w:r>
          </w:p>
        </w:tc>
      </w:tr>
      <w:tr w:rsidR="0089005C" w14:paraId="3C259A13" w14:textId="77777777">
        <w:trPr>
          <w:trHeight w:val="792"/>
        </w:trPr>
        <w:tc>
          <w:tcPr>
            <w:tcW w:w="764" w:type="dxa"/>
            <w:tcBorders>
              <w:top w:val="single" w:sz="8" w:space="0" w:color="000000"/>
              <w:left w:val="single" w:sz="8" w:space="0" w:color="000000"/>
              <w:bottom w:val="single" w:sz="8" w:space="0" w:color="000000"/>
              <w:right w:val="single" w:sz="8" w:space="0" w:color="000000"/>
            </w:tcBorders>
          </w:tcPr>
          <w:p w14:paraId="59EDF517" w14:textId="77777777" w:rsidR="0089005C" w:rsidRDefault="00095529">
            <w:pPr>
              <w:spacing w:after="0" w:line="259" w:lineRule="auto"/>
              <w:ind w:left="0" w:firstLine="0"/>
              <w:jc w:val="left"/>
            </w:pPr>
            <w:r>
              <w:rPr>
                <w:b/>
                <w:lang w:val="pt"/>
              </w:rPr>
              <w:t>Anos 80</w:t>
            </w:r>
          </w:p>
        </w:tc>
        <w:tc>
          <w:tcPr>
            <w:tcW w:w="2861" w:type="dxa"/>
            <w:tcBorders>
              <w:top w:val="single" w:sz="8" w:space="0" w:color="000000"/>
              <w:left w:val="single" w:sz="8" w:space="0" w:color="000000"/>
              <w:bottom w:val="single" w:sz="8" w:space="0" w:color="000000"/>
              <w:right w:val="single" w:sz="8" w:space="0" w:color="000000"/>
            </w:tcBorders>
          </w:tcPr>
          <w:p w14:paraId="18E058E3" w14:textId="77777777" w:rsidR="0089005C" w:rsidRDefault="00095529">
            <w:pPr>
              <w:spacing w:after="0" w:line="259" w:lineRule="auto"/>
              <w:ind w:left="2" w:firstLine="0"/>
              <w:jc w:val="left"/>
            </w:pPr>
            <w:proofErr w:type="spellStart"/>
            <w:r>
              <w:rPr>
                <w:lang w:val="pt"/>
              </w:rPr>
              <w:t>Infosec</w:t>
            </w:r>
            <w:proofErr w:type="spellEnd"/>
            <w:r>
              <w:rPr>
                <w:lang w:val="pt"/>
              </w:rPr>
              <w:t xml:space="preserve"> = CIA + (</w:t>
            </w:r>
            <w:proofErr w:type="spellStart"/>
            <w:r>
              <w:rPr>
                <w:lang w:val="pt"/>
              </w:rPr>
              <w:t>Au</w:t>
            </w:r>
            <w:proofErr w:type="spellEnd"/>
            <w:r>
              <w:rPr>
                <w:lang w:val="pt"/>
              </w:rPr>
              <w:t xml:space="preserve">, </w:t>
            </w:r>
            <w:proofErr w:type="spellStart"/>
            <w:r>
              <w:rPr>
                <w:lang w:val="pt"/>
              </w:rPr>
              <w:t>nR</w:t>
            </w:r>
            <w:proofErr w:type="spellEnd"/>
            <w:r>
              <w:rPr>
                <w:lang w:val="pt"/>
              </w:rPr>
              <w:t xml:space="preserve">) </w:t>
            </w:r>
          </w:p>
        </w:tc>
        <w:tc>
          <w:tcPr>
            <w:tcW w:w="3421" w:type="dxa"/>
            <w:tcBorders>
              <w:top w:val="single" w:sz="8" w:space="0" w:color="000000"/>
              <w:left w:val="single" w:sz="8" w:space="0" w:color="000000"/>
              <w:bottom w:val="single" w:sz="8" w:space="0" w:color="000000"/>
              <w:right w:val="single" w:sz="8" w:space="0" w:color="000000"/>
            </w:tcBorders>
            <w:vAlign w:val="center"/>
          </w:tcPr>
          <w:p w14:paraId="71BEB4A9" w14:textId="77777777" w:rsidR="0089005C" w:rsidRDefault="00095529">
            <w:pPr>
              <w:spacing w:after="0" w:line="259" w:lineRule="auto"/>
              <w:ind w:left="3" w:firstLine="0"/>
              <w:jc w:val="left"/>
            </w:pPr>
            <w:proofErr w:type="spellStart"/>
            <w:r>
              <w:rPr>
                <w:lang w:val="pt"/>
              </w:rPr>
              <w:t>Au</w:t>
            </w:r>
            <w:proofErr w:type="spellEnd"/>
            <w:r>
              <w:rPr>
                <w:lang w:val="pt"/>
              </w:rPr>
              <w:t xml:space="preserve"> é Autenticidade, e </w:t>
            </w:r>
            <w:proofErr w:type="spellStart"/>
            <w:r>
              <w:rPr>
                <w:lang w:val="pt"/>
              </w:rPr>
              <w:t>nR</w:t>
            </w:r>
            <w:proofErr w:type="spellEnd"/>
            <w:r>
              <w:rPr>
                <w:lang w:val="pt"/>
              </w:rPr>
              <w:t xml:space="preserve"> é Não-</w:t>
            </w:r>
            <w:proofErr w:type="spellStart"/>
            <w:r>
              <w:rPr>
                <w:lang w:val="pt"/>
              </w:rPr>
              <w:t>Repudiação</w:t>
            </w:r>
            <w:proofErr w:type="spellEnd"/>
          </w:p>
        </w:tc>
      </w:tr>
      <w:tr w:rsidR="0089005C" w14:paraId="4F5E9A6D" w14:textId="77777777">
        <w:trPr>
          <w:trHeight w:val="852"/>
        </w:trPr>
        <w:tc>
          <w:tcPr>
            <w:tcW w:w="764" w:type="dxa"/>
            <w:tcBorders>
              <w:top w:val="single" w:sz="8" w:space="0" w:color="000000"/>
              <w:left w:val="single" w:sz="8" w:space="0" w:color="000000"/>
              <w:bottom w:val="single" w:sz="8" w:space="0" w:color="000000"/>
              <w:right w:val="single" w:sz="8" w:space="0" w:color="000000"/>
            </w:tcBorders>
          </w:tcPr>
          <w:p w14:paraId="0994AD49" w14:textId="77777777" w:rsidR="0089005C" w:rsidRDefault="00095529">
            <w:pPr>
              <w:spacing w:after="0" w:line="259" w:lineRule="auto"/>
              <w:ind w:left="0" w:firstLine="0"/>
              <w:jc w:val="left"/>
            </w:pPr>
            <w:r>
              <w:rPr>
                <w:b/>
                <w:lang w:val="pt"/>
              </w:rPr>
              <w:t>Anos 1990</w:t>
            </w:r>
          </w:p>
        </w:tc>
        <w:tc>
          <w:tcPr>
            <w:tcW w:w="2861" w:type="dxa"/>
            <w:tcBorders>
              <w:top w:val="single" w:sz="8" w:space="0" w:color="000000"/>
              <w:left w:val="single" w:sz="8" w:space="0" w:color="000000"/>
              <w:bottom w:val="single" w:sz="8" w:space="0" w:color="000000"/>
              <w:right w:val="single" w:sz="8" w:space="0" w:color="000000"/>
            </w:tcBorders>
            <w:vAlign w:val="center"/>
          </w:tcPr>
          <w:p w14:paraId="27C88FF4" w14:textId="77777777" w:rsidR="0089005C" w:rsidRDefault="00095529">
            <w:pPr>
              <w:spacing w:after="0" w:line="259" w:lineRule="auto"/>
              <w:ind w:left="2" w:firstLine="0"/>
              <w:jc w:val="left"/>
            </w:pPr>
            <w:proofErr w:type="spellStart"/>
            <w:r>
              <w:rPr>
                <w:lang w:val="pt"/>
              </w:rPr>
              <w:t>Infosec</w:t>
            </w:r>
            <w:proofErr w:type="spellEnd"/>
            <w:r>
              <w:rPr>
                <w:lang w:val="pt"/>
              </w:rPr>
              <w:t xml:space="preserve"> = CIA + (</w:t>
            </w:r>
            <w:proofErr w:type="spellStart"/>
            <w:r>
              <w:rPr>
                <w:lang w:val="pt"/>
              </w:rPr>
              <w:t>Au</w:t>
            </w:r>
            <w:proofErr w:type="spellEnd"/>
            <w:r>
              <w:rPr>
                <w:lang w:val="pt"/>
              </w:rPr>
              <w:t xml:space="preserve">, </w:t>
            </w:r>
            <w:proofErr w:type="spellStart"/>
            <w:r>
              <w:rPr>
                <w:lang w:val="pt"/>
              </w:rPr>
              <w:t>nR</w:t>
            </w:r>
            <w:proofErr w:type="spellEnd"/>
            <w:r>
              <w:rPr>
                <w:lang w:val="pt"/>
              </w:rPr>
              <w:t xml:space="preserve">) + </w:t>
            </w:r>
            <w:proofErr w:type="spellStart"/>
            <w:r>
              <w:rPr>
                <w:lang w:val="pt"/>
              </w:rPr>
              <w:t>CSpec</w:t>
            </w:r>
            <w:proofErr w:type="spellEnd"/>
          </w:p>
        </w:tc>
        <w:tc>
          <w:tcPr>
            <w:tcW w:w="3421" w:type="dxa"/>
            <w:tcBorders>
              <w:top w:val="single" w:sz="8" w:space="0" w:color="000000"/>
              <w:left w:val="single" w:sz="8" w:space="0" w:color="000000"/>
              <w:bottom w:val="single" w:sz="8" w:space="0" w:color="000000"/>
              <w:right w:val="single" w:sz="8" w:space="0" w:color="000000"/>
            </w:tcBorders>
          </w:tcPr>
          <w:p w14:paraId="54475397" w14:textId="77777777" w:rsidR="0089005C" w:rsidRDefault="00095529">
            <w:pPr>
              <w:spacing w:after="0" w:line="259" w:lineRule="auto"/>
              <w:ind w:left="3" w:firstLine="0"/>
              <w:jc w:val="left"/>
            </w:pPr>
            <w:proofErr w:type="spellStart"/>
            <w:r>
              <w:rPr>
                <w:lang w:val="pt"/>
              </w:rPr>
              <w:t>CSpec</w:t>
            </w:r>
            <w:proofErr w:type="spellEnd"/>
            <w:r>
              <w:rPr>
                <w:lang w:val="pt"/>
              </w:rPr>
              <w:t xml:space="preserve"> é Correção na Especificação</w:t>
            </w:r>
          </w:p>
        </w:tc>
      </w:tr>
      <w:tr w:rsidR="0089005C" w14:paraId="3BF3543A" w14:textId="77777777">
        <w:trPr>
          <w:trHeight w:val="896"/>
        </w:trPr>
        <w:tc>
          <w:tcPr>
            <w:tcW w:w="764" w:type="dxa"/>
            <w:tcBorders>
              <w:top w:val="single" w:sz="8" w:space="0" w:color="000000"/>
              <w:left w:val="single" w:sz="8" w:space="0" w:color="000000"/>
              <w:bottom w:val="single" w:sz="8" w:space="0" w:color="000000"/>
              <w:right w:val="single" w:sz="8" w:space="0" w:color="000000"/>
            </w:tcBorders>
          </w:tcPr>
          <w:p w14:paraId="7B5727E1" w14:textId="77777777" w:rsidR="0089005C" w:rsidRDefault="00095529">
            <w:pPr>
              <w:spacing w:after="0" w:line="259" w:lineRule="auto"/>
              <w:ind w:left="0" w:firstLine="0"/>
              <w:jc w:val="left"/>
            </w:pPr>
            <w:r>
              <w:rPr>
                <w:b/>
                <w:lang w:val="pt"/>
              </w:rPr>
              <w:t xml:space="preserve">Anos 2000 </w:t>
            </w:r>
          </w:p>
        </w:tc>
        <w:tc>
          <w:tcPr>
            <w:tcW w:w="2861" w:type="dxa"/>
            <w:tcBorders>
              <w:top w:val="single" w:sz="8" w:space="0" w:color="000000"/>
              <w:left w:val="single" w:sz="8" w:space="0" w:color="000000"/>
              <w:bottom w:val="single" w:sz="8" w:space="0" w:color="000000"/>
              <w:right w:val="single" w:sz="8" w:space="0" w:color="000000"/>
            </w:tcBorders>
            <w:vAlign w:val="center"/>
          </w:tcPr>
          <w:p w14:paraId="59A1CC3C" w14:textId="77777777" w:rsidR="0089005C" w:rsidRDefault="00095529">
            <w:pPr>
              <w:spacing w:after="0" w:line="259" w:lineRule="auto"/>
              <w:ind w:left="2" w:firstLine="0"/>
            </w:pPr>
            <w:proofErr w:type="spellStart"/>
            <w:r>
              <w:rPr>
                <w:lang w:val="pt"/>
              </w:rPr>
              <w:t>Infosec</w:t>
            </w:r>
            <w:proofErr w:type="spellEnd"/>
            <w:r>
              <w:rPr>
                <w:lang w:val="pt"/>
              </w:rPr>
              <w:t xml:space="preserve"> = CIA + (</w:t>
            </w:r>
            <w:proofErr w:type="spellStart"/>
            <w:r>
              <w:rPr>
                <w:lang w:val="pt"/>
              </w:rPr>
              <w:t>Au</w:t>
            </w:r>
            <w:proofErr w:type="spellEnd"/>
            <w:r>
              <w:rPr>
                <w:lang w:val="pt"/>
              </w:rPr>
              <w:t xml:space="preserve">, </w:t>
            </w:r>
            <w:proofErr w:type="spellStart"/>
            <w:r>
              <w:rPr>
                <w:lang w:val="pt"/>
              </w:rPr>
              <w:t>nR</w:t>
            </w:r>
            <w:proofErr w:type="spellEnd"/>
            <w:r>
              <w:rPr>
                <w:lang w:val="pt"/>
              </w:rPr>
              <w:t xml:space="preserve">) + </w:t>
            </w:r>
            <w:proofErr w:type="spellStart"/>
            <w:r>
              <w:rPr>
                <w:lang w:val="pt"/>
              </w:rPr>
              <w:t>CSpec</w:t>
            </w:r>
            <w:proofErr w:type="spellEnd"/>
            <w:r>
              <w:rPr>
                <w:lang w:val="pt"/>
              </w:rPr>
              <w:t xml:space="preserve"> + RITE +</w:t>
            </w:r>
            <w:proofErr w:type="spellStart"/>
            <w:r>
              <w:rPr>
                <w:lang w:val="pt"/>
              </w:rPr>
              <w:t>Idn</w:t>
            </w:r>
            <w:proofErr w:type="spellEnd"/>
          </w:p>
        </w:tc>
        <w:tc>
          <w:tcPr>
            <w:tcW w:w="3421" w:type="dxa"/>
            <w:tcBorders>
              <w:top w:val="single" w:sz="8" w:space="0" w:color="000000"/>
              <w:left w:val="single" w:sz="8" w:space="0" w:color="000000"/>
              <w:bottom w:val="single" w:sz="8" w:space="0" w:color="000000"/>
              <w:right w:val="single" w:sz="8" w:space="0" w:color="000000"/>
            </w:tcBorders>
            <w:vAlign w:val="center"/>
          </w:tcPr>
          <w:p w14:paraId="2F251069" w14:textId="77777777" w:rsidR="0089005C" w:rsidRDefault="00095529">
            <w:pPr>
              <w:spacing w:after="0" w:line="259" w:lineRule="auto"/>
              <w:ind w:left="3" w:firstLine="0"/>
            </w:pPr>
            <w:r>
              <w:rPr>
                <w:lang w:val="pt"/>
              </w:rPr>
              <w:t>Rito é Responsabilidade, Integridade das Pessoas, Confiança e Ética</w:t>
            </w:r>
          </w:p>
        </w:tc>
      </w:tr>
      <w:tr w:rsidR="0089005C" w14:paraId="3AAB9E7A" w14:textId="77777777">
        <w:trPr>
          <w:trHeight w:val="792"/>
        </w:trPr>
        <w:tc>
          <w:tcPr>
            <w:tcW w:w="764" w:type="dxa"/>
            <w:tcBorders>
              <w:top w:val="single" w:sz="8" w:space="0" w:color="000000"/>
              <w:left w:val="single" w:sz="8" w:space="0" w:color="000000"/>
              <w:bottom w:val="single" w:sz="8" w:space="0" w:color="000000"/>
              <w:right w:val="single" w:sz="8" w:space="0" w:color="000000"/>
            </w:tcBorders>
          </w:tcPr>
          <w:p w14:paraId="00F304E0" w14:textId="77777777" w:rsidR="0089005C" w:rsidRDefault="00095529">
            <w:pPr>
              <w:spacing w:after="0" w:line="259" w:lineRule="auto"/>
              <w:ind w:left="0" w:firstLine="0"/>
              <w:jc w:val="left"/>
            </w:pPr>
            <w:r>
              <w:rPr>
                <w:b/>
                <w:lang w:val="pt"/>
              </w:rPr>
              <w:t xml:space="preserve">Anos 2010 </w:t>
            </w:r>
          </w:p>
        </w:tc>
        <w:tc>
          <w:tcPr>
            <w:tcW w:w="2861" w:type="dxa"/>
            <w:tcBorders>
              <w:top w:val="single" w:sz="8" w:space="0" w:color="000000"/>
              <w:left w:val="single" w:sz="8" w:space="0" w:color="000000"/>
              <w:bottom w:val="single" w:sz="8" w:space="0" w:color="000000"/>
              <w:right w:val="single" w:sz="8" w:space="0" w:color="000000"/>
            </w:tcBorders>
            <w:vAlign w:val="center"/>
          </w:tcPr>
          <w:p w14:paraId="060EA3A6" w14:textId="77777777" w:rsidR="0089005C" w:rsidRDefault="00095529">
            <w:pPr>
              <w:spacing w:after="0" w:line="259" w:lineRule="auto"/>
              <w:ind w:left="2" w:firstLine="0"/>
            </w:pPr>
            <w:proofErr w:type="spellStart"/>
            <w:r>
              <w:rPr>
                <w:lang w:val="pt"/>
              </w:rPr>
              <w:t>Infosec</w:t>
            </w:r>
            <w:proofErr w:type="spellEnd"/>
            <w:r>
              <w:rPr>
                <w:lang w:val="pt"/>
              </w:rPr>
              <w:t xml:space="preserve"> = CIA + (</w:t>
            </w:r>
            <w:proofErr w:type="spellStart"/>
            <w:r>
              <w:rPr>
                <w:lang w:val="pt"/>
              </w:rPr>
              <w:t>Au</w:t>
            </w:r>
            <w:proofErr w:type="spellEnd"/>
            <w:r>
              <w:rPr>
                <w:lang w:val="pt"/>
              </w:rPr>
              <w:t xml:space="preserve">, </w:t>
            </w:r>
            <w:proofErr w:type="spellStart"/>
            <w:r>
              <w:rPr>
                <w:lang w:val="pt"/>
              </w:rPr>
              <w:t>nR</w:t>
            </w:r>
            <w:proofErr w:type="spellEnd"/>
            <w:r>
              <w:rPr>
                <w:lang w:val="pt"/>
              </w:rPr>
              <w:t xml:space="preserve">) + </w:t>
            </w:r>
            <w:proofErr w:type="spellStart"/>
            <w:r>
              <w:rPr>
                <w:lang w:val="pt"/>
              </w:rPr>
              <w:t>CSpec</w:t>
            </w:r>
            <w:proofErr w:type="spellEnd"/>
            <w:r>
              <w:rPr>
                <w:lang w:val="pt"/>
              </w:rPr>
              <w:t xml:space="preserve"> + RITE +</w:t>
            </w:r>
            <w:proofErr w:type="spellStart"/>
            <w:r>
              <w:rPr>
                <w:lang w:val="pt"/>
              </w:rPr>
              <w:t>Idn</w:t>
            </w:r>
            <w:proofErr w:type="spellEnd"/>
          </w:p>
        </w:tc>
        <w:tc>
          <w:tcPr>
            <w:tcW w:w="3421" w:type="dxa"/>
            <w:tcBorders>
              <w:top w:val="single" w:sz="8" w:space="0" w:color="000000"/>
              <w:left w:val="single" w:sz="8" w:space="0" w:color="000000"/>
              <w:bottom w:val="single" w:sz="8" w:space="0" w:color="000000"/>
              <w:right w:val="single" w:sz="8" w:space="0" w:color="000000"/>
            </w:tcBorders>
            <w:vAlign w:val="center"/>
          </w:tcPr>
          <w:p w14:paraId="7AA8D977" w14:textId="77777777" w:rsidR="0089005C" w:rsidRDefault="00095529">
            <w:pPr>
              <w:spacing w:after="0" w:line="259" w:lineRule="auto"/>
              <w:ind w:left="3" w:firstLine="0"/>
              <w:jc w:val="left"/>
            </w:pPr>
            <w:proofErr w:type="spellStart"/>
            <w:r>
              <w:rPr>
                <w:lang w:val="pt"/>
              </w:rPr>
              <w:t>Idn</w:t>
            </w:r>
            <w:proofErr w:type="spellEnd"/>
            <w:r>
              <w:rPr>
                <w:lang w:val="pt"/>
              </w:rPr>
              <w:t xml:space="preserve"> é Identidade</w:t>
            </w:r>
          </w:p>
        </w:tc>
      </w:tr>
      <w:tr w:rsidR="0089005C" w14:paraId="3CD4B891" w14:textId="77777777">
        <w:trPr>
          <w:trHeight w:val="557"/>
        </w:trPr>
        <w:tc>
          <w:tcPr>
            <w:tcW w:w="764" w:type="dxa"/>
            <w:tcBorders>
              <w:top w:val="single" w:sz="8" w:space="0" w:color="000000"/>
              <w:left w:val="single" w:sz="8" w:space="0" w:color="000000"/>
              <w:bottom w:val="single" w:sz="8" w:space="0" w:color="000000"/>
              <w:right w:val="single" w:sz="8" w:space="0" w:color="000000"/>
            </w:tcBorders>
            <w:vAlign w:val="center"/>
          </w:tcPr>
          <w:p w14:paraId="64EB8CA7" w14:textId="77777777" w:rsidR="0089005C" w:rsidRDefault="00095529">
            <w:pPr>
              <w:spacing w:after="0" w:line="259" w:lineRule="auto"/>
              <w:ind w:left="0" w:firstLine="0"/>
              <w:jc w:val="left"/>
            </w:pPr>
            <w:r>
              <w:rPr>
                <w:b/>
                <w:lang w:val="pt"/>
              </w:rPr>
              <w:t>2020</w:t>
            </w:r>
          </w:p>
        </w:tc>
        <w:tc>
          <w:tcPr>
            <w:tcW w:w="2861" w:type="dxa"/>
            <w:tcBorders>
              <w:top w:val="single" w:sz="8" w:space="0" w:color="000000"/>
              <w:left w:val="single" w:sz="8" w:space="0" w:color="000000"/>
              <w:bottom w:val="single" w:sz="8" w:space="0" w:color="000000"/>
              <w:right w:val="single" w:sz="8" w:space="0" w:color="000000"/>
            </w:tcBorders>
            <w:vAlign w:val="center"/>
          </w:tcPr>
          <w:p w14:paraId="3B7FD6CF" w14:textId="77777777" w:rsidR="0089005C" w:rsidRDefault="00095529">
            <w:pPr>
              <w:spacing w:after="0" w:line="259" w:lineRule="auto"/>
              <w:ind w:left="2" w:firstLine="0"/>
              <w:jc w:val="left"/>
            </w:pPr>
            <w:proofErr w:type="spellStart"/>
            <w:r>
              <w:rPr>
                <w:lang w:val="pt"/>
              </w:rPr>
              <w:t>Infosec</w:t>
            </w:r>
            <w:proofErr w:type="spellEnd"/>
            <w:r>
              <w:rPr>
                <w:lang w:val="pt"/>
              </w:rPr>
              <w:t xml:space="preserve"> = CIA </w:t>
            </w:r>
          </w:p>
        </w:tc>
        <w:tc>
          <w:tcPr>
            <w:tcW w:w="3421" w:type="dxa"/>
            <w:tcBorders>
              <w:top w:val="single" w:sz="8" w:space="0" w:color="000000"/>
              <w:left w:val="single" w:sz="8" w:space="0" w:color="000000"/>
              <w:bottom w:val="single" w:sz="8" w:space="0" w:color="000000"/>
              <w:right w:val="single" w:sz="8" w:space="0" w:color="000000"/>
            </w:tcBorders>
            <w:vAlign w:val="bottom"/>
          </w:tcPr>
          <w:p w14:paraId="32608B82" w14:textId="77777777" w:rsidR="0089005C" w:rsidRDefault="00095529">
            <w:pPr>
              <w:spacing w:after="0" w:line="259" w:lineRule="auto"/>
              <w:ind w:left="3" w:firstLine="0"/>
              <w:jc w:val="left"/>
            </w:pPr>
            <w:r>
              <w:t xml:space="preserve"> </w:t>
            </w:r>
          </w:p>
        </w:tc>
      </w:tr>
    </w:tbl>
    <w:p w14:paraId="47B9714F" w14:textId="77777777" w:rsidR="0089005C" w:rsidRDefault="00095529">
      <w:pPr>
        <w:pStyle w:val="Ttulo1"/>
        <w:spacing w:after="179" w:line="346" w:lineRule="auto"/>
        <w:ind w:left="1701" w:hanging="1309"/>
      </w:pPr>
      <w:r>
        <w:rPr>
          <w:lang w:val="pt"/>
        </w:rPr>
        <w:t>Tabela 2:  Progressão cronológica de  problemas de segurança da  informação</w:t>
      </w:r>
      <w:r>
        <w:rPr>
          <w:b w:val="0"/>
          <w:i/>
          <w:lang w:val="pt"/>
        </w:rPr>
        <w:t xml:space="preserve"> Adaptados de: </w:t>
      </w:r>
      <w:proofErr w:type="spellStart"/>
      <w:r>
        <w:rPr>
          <w:b w:val="0"/>
          <w:i/>
          <w:lang w:val="pt"/>
        </w:rPr>
        <w:t>Dhillon</w:t>
      </w:r>
      <w:proofErr w:type="spellEnd"/>
      <w:r>
        <w:rPr>
          <w:b w:val="0"/>
          <w:i/>
          <w:lang w:val="pt"/>
        </w:rPr>
        <w:t xml:space="preserve"> e </w:t>
      </w:r>
      <w:proofErr w:type="spellStart"/>
      <w:r>
        <w:rPr>
          <w:b w:val="0"/>
          <w:i/>
          <w:lang w:val="pt"/>
        </w:rPr>
        <w:t>Kolkowska</w:t>
      </w:r>
      <w:proofErr w:type="spellEnd"/>
      <w:r>
        <w:rPr>
          <w:b w:val="0"/>
          <w:i/>
          <w:lang w:val="pt"/>
        </w:rPr>
        <w:t xml:space="preserve"> (2011)</w:t>
      </w:r>
    </w:p>
    <w:p w14:paraId="303CCD59" w14:textId="77777777" w:rsidR="0089005C" w:rsidRDefault="00095529">
      <w:pPr>
        <w:spacing w:after="3"/>
        <w:ind w:left="-5" w:right="44"/>
      </w:pPr>
      <w:r>
        <w:rPr>
          <w:noProof/>
          <w:lang w:val="pt"/>
        </w:rPr>
        <w:drawing>
          <wp:anchor distT="0" distB="0" distL="114300" distR="114300" simplePos="0" relativeHeight="251666432" behindDoc="0" locked="0" layoutInCell="1" allowOverlap="0" wp14:anchorId="423EFD11" wp14:editId="057F5371">
            <wp:simplePos x="0" y="0"/>
            <wp:positionH relativeFrom="page">
              <wp:posOffset>5850255</wp:posOffset>
            </wp:positionH>
            <wp:positionV relativeFrom="page">
              <wp:posOffset>1707921</wp:posOffset>
            </wp:positionV>
            <wp:extent cx="1219200" cy="726415"/>
            <wp:effectExtent l="0" t="0" r="0" b="0"/>
            <wp:wrapSquare wrapText="bothSides"/>
            <wp:docPr id="974" name="Picture 974"/>
            <wp:cNvGraphicFramePr/>
            <a:graphic xmlns:a="http://schemas.openxmlformats.org/drawingml/2006/main">
              <a:graphicData uri="http://schemas.openxmlformats.org/drawingml/2006/picture">
                <pic:pic xmlns:pic="http://schemas.openxmlformats.org/drawingml/2006/picture">
                  <pic:nvPicPr>
                    <pic:cNvPr id="974" name="Picture 974"/>
                    <pic:cNvPicPr/>
                  </pic:nvPicPr>
                  <pic:blipFill>
                    <a:blip r:embed="rId8"/>
                    <a:stretch>
                      <a:fillRect/>
                    </a:stretch>
                  </pic:blipFill>
                  <pic:spPr>
                    <a:xfrm>
                      <a:off x="0" y="0"/>
                      <a:ext cx="1219200" cy="726415"/>
                    </a:xfrm>
                    <a:prstGeom prst="rect">
                      <a:avLst/>
                    </a:prstGeom>
                  </pic:spPr>
                </pic:pic>
              </a:graphicData>
            </a:graphic>
          </wp:anchor>
        </w:drawing>
      </w:r>
      <w:r>
        <w:rPr>
          <w:lang w:val="pt"/>
        </w:rPr>
        <w:t xml:space="preserve">O uso dos    termos  "confidencialidade", "integridade" e  "disponibilidade" em um   sentido amplo  pode  incorporar  quaisquer  melhorias  da tríade  da CIA   – e  esta é uma razão chave  pela qual    os  profissionais     ignoraram  as redefinições  subsequentes da   segurança  da  informação  e  </w:t>
      </w:r>
      <w:proofErr w:type="spellStart"/>
      <w:r>
        <w:rPr>
          <w:lang w:val="pt"/>
        </w:rPr>
        <w:t>proposed</w:t>
      </w:r>
      <w:proofErr w:type="spellEnd"/>
      <w:r>
        <w:rPr>
          <w:lang w:val="pt"/>
        </w:rPr>
        <w:t xml:space="preserve">  revisões  da    tríade.   Para  ilustrar  isso,     adotamos    uma  interpretação  etimológica  de  cada um  dos  três  princípios  da tríade  da CIA e,  em   seguida,   </w:t>
      </w:r>
      <w:proofErr w:type="spellStart"/>
      <w:r>
        <w:rPr>
          <w:lang w:val="pt"/>
        </w:rPr>
        <w:t>revisamos-os</w:t>
      </w:r>
      <w:proofErr w:type="spellEnd"/>
      <w:r>
        <w:rPr>
          <w:lang w:val="pt"/>
        </w:rPr>
        <w:t xml:space="preserve"> em  relação   aos    oito elementos   adicionais    que foram    discutidos  ao longo dos  anos  na   literatura  acadêmica.  Todos </w:t>
      </w:r>
      <w:proofErr w:type="gramStart"/>
      <w:r>
        <w:rPr>
          <w:lang w:val="pt"/>
        </w:rPr>
        <w:t>os  oito</w:t>
      </w:r>
      <w:proofErr w:type="gramEnd"/>
      <w:r>
        <w:rPr>
          <w:lang w:val="pt"/>
        </w:rPr>
        <w:t xml:space="preserve">  podem  ser  classificados  dentro  de    um dos  princípios  (Ver  Figura 1;  Confidencialidade, Integridade  ou  Disponibilidade), ou  em uma intersecção    entre  dois  ou  mais princípios  da tríade    da CIA   (ver  Figura  1;  </w:t>
      </w:r>
      <w:r>
        <w:rPr>
          <w:lang w:val="pt"/>
        </w:rPr>
        <w:lastRenderedPageBreak/>
        <w:t xml:space="preserve">áreas  1, 2, 3 ou  4). Por exemplo, a responsabilidade  pode  ser  classificada  como     sendo  um  elemento  de  integridade, e a   confiança  pode  ser  considerada  na  intersecção  da  integridade   e  confidencialidade. Em certos  casos, a      colocação  exata  de  um dos  princípios  adicionais  dentro  da tríade  original   pode  ser  altamente  discutível. Por exemplo, classificamos   a     confiança  como sendo  a    intersecção  de  confidencialidade  e  integridade, enquanto  outros estudiosos podem  considerar a   confiança  para  também  incluir aspectos  de  disponibilidade  (por exemplo, quando  indivíduos  ou  organizações  bloqueiam  o acesso  a    determinados  sites que não são confiáveis e, portanto,   impactam  a  disponibilidade  de   informações  sobre  esse site).  No entanto, para   fins ilustrativos,   provisoriamente  alocamos  todos os  princípios    adicionais  dentro  da  tríade. A Tabela     3 resume  a  classificação  de  cada um  dos    princípios  adicionais  propostos  na   literatura de     segurança  sociotécnica  em  um dos    três  princípios  da tríade  da  CIA.      </w:t>
      </w:r>
    </w:p>
    <w:tbl>
      <w:tblPr>
        <w:tblStyle w:val="TableGrid"/>
        <w:tblW w:w="6790" w:type="dxa"/>
        <w:tblInd w:w="25" w:type="dxa"/>
        <w:tblCellMar>
          <w:left w:w="106" w:type="dxa"/>
          <w:right w:w="115" w:type="dxa"/>
        </w:tblCellMar>
        <w:tblLook w:val="04A0" w:firstRow="1" w:lastRow="0" w:firstColumn="1" w:lastColumn="0" w:noHBand="0" w:noVBand="1"/>
      </w:tblPr>
      <w:tblGrid>
        <w:gridCol w:w="3107"/>
        <w:gridCol w:w="3683"/>
      </w:tblGrid>
      <w:tr w:rsidR="0089005C" w14:paraId="2414DA15" w14:textId="77777777">
        <w:trPr>
          <w:trHeight w:val="334"/>
        </w:trPr>
        <w:tc>
          <w:tcPr>
            <w:tcW w:w="3107" w:type="dxa"/>
            <w:tcBorders>
              <w:top w:val="single" w:sz="8" w:space="0" w:color="000000"/>
              <w:left w:val="single" w:sz="8" w:space="0" w:color="000000"/>
              <w:bottom w:val="single" w:sz="8" w:space="0" w:color="000000"/>
              <w:right w:val="single" w:sz="8" w:space="0" w:color="000000"/>
            </w:tcBorders>
            <w:shd w:val="clear" w:color="auto" w:fill="B3B3B3"/>
          </w:tcPr>
          <w:p w14:paraId="279EAD85" w14:textId="77777777" w:rsidR="0089005C" w:rsidRDefault="00095529">
            <w:pPr>
              <w:spacing w:after="0" w:line="259" w:lineRule="auto"/>
              <w:ind w:left="6" w:firstLine="0"/>
              <w:jc w:val="center"/>
            </w:pPr>
            <w:r>
              <w:rPr>
                <w:b/>
                <w:lang w:val="pt"/>
              </w:rPr>
              <w:t xml:space="preserve"> Princípios</w:t>
            </w:r>
            <w:r>
              <w:rPr>
                <w:lang w:val="pt"/>
              </w:rPr>
              <w:t xml:space="preserve"> adicionais</w:t>
            </w:r>
          </w:p>
        </w:tc>
        <w:tc>
          <w:tcPr>
            <w:tcW w:w="3683" w:type="dxa"/>
            <w:tcBorders>
              <w:top w:val="single" w:sz="8" w:space="0" w:color="000000"/>
              <w:left w:val="single" w:sz="8" w:space="0" w:color="000000"/>
              <w:bottom w:val="single" w:sz="8" w:space="0" w:color="000000"/>
              <w:right w:val="single" w:sz="8" w:space="0" w:color="000000"/>
            </w:tcBorders>
            <w:shd w:val="clear" w:color="auto" w:fill="B3B3B3"/>
          </w:tcPr>
          <w:p w14:paraId="0D738729" w14:textId="77777777" w:rsidR="0089005C" w:rsidRDefault="00095529">
            <w:pPr>
              <w:spacing w:after="0" w:line="259" w:lineRule="auto"/>
              <w:ind w:left="12" w:firstLine="0"/>
              <w:jc w:val="center"/>
            </w:pPr>
            <w:r>
              <w:rPr>
                <w:b/>
                <w:lang w:val="pt"/>
              </w:rPr>
              <w:t xml:space="preserve">Relação com tríade  da CIA </w:t>
            </w:r>
          </w:p>
        </w:tc>
      </w:tr>
      <w:tr w:rsidR="0089005C" w14:paraId="1E8E0B51" w14:textId="77777777">
        <w:trPr>
          <w:trHeight w:val="300"/>
        </w:trPr>
        <w:tc>
          <w:tcPr>
            <w:tcW w:w="3107" w:type="dxa"/>
            <w:tcBorders>
              <w:top w:val="single" w:sz="8" w:space="0" w:color="000000"/>
              <w:left w:val="single" w:sz="8" w:space="0" w:color="000000"/>
              <w:bottom w:val="single" w:sz="8" w:space="0" w:color="000000"/>
              <w:right w:val="single" w:sz="8" w:space="0" w:color="000000"/>
            </w:tcBorders>
          </w:tcPr>
          <w:p w14:paraId="4EFF1538" w14:textId="77777777" w:rsidR="0089005C" w:rsidRDefault="00095529">
            <w:pPr>
              <w:spacing w:after="0" w:line="259" w:lineRule="auto"/>
              <w:ind w:left="0" w:firstLine="0"/>
              <w:jc w:val="left"/>
            </w:pPr>
            <w:r>
              <w:rPr>
                <w:lang w:val="pt"/>
              </w:rPr>
              <w:t>Autenticidade</w:t>
            </w:r>
          </w:p>
        </w:tc>
        <w:tc>
          <w:tcPr>
            <w:tcW w:w="3683" w:type="dxa"/>
            <w:tcBorders>
              <w:top w:val="single" w:sz="8" w:space="0" w:color="000000"/>
              <w:left w:val="single" w:sz="8" w:space="0" w:color="000000"/>
              <w:bottom w:val="single" w:sz="8" w:space="0" w:color="000000"/>
              <w:right w:val="single" w:sz="8" w:space="0" w:color="000000"/>
            </w:tcBorders>
          </w:tcPr>
          <w:p w14:paraId="2ADDEB06" w14:textId="77777777" w:rsidR="0089005C" w:rsidRDefault="00095529">
            <w:pPr>
              <w:spacing w:after="0" w:line="259" w:lineRule="auto"/>
              <w:ind w:left="2" w:firstLine="0"/>
              <w:jc w:val="left"/>
            </w:pPr>
            <w:r>
              <w:rPr>
                <w:lang w:val="pt"/>
              </w:rPr>
              <w:t>Integridade</w:t>
            </w:r>
          </w:p>
        </w:tc>
      </w:tr>
      <w:tr w:rsidR="0089005C" w14:paraId="60E8595E" w14:textId="77777777">
        <w:trPr>
          <w:trHeight w:val="299"/>
        </w:trPr>
        <w:tc>
          <w:tcPr>
            <w:tcW w:w="3107" w:type="dxa"/>
            <w:tcBorders>
              <w:top w:val="single" w:sz="8" w:space="0" w:color="000000"/>
              <w:left w:val="single" w:sz="8" w:space="0" w:color="000000"/>
              <w:bottom w:val="single" w:sz="8" w:space="0" w:color="000000"/>
              <w:right w:val="single" w:sz="8" w:space="0" w:color="000000"/>
            </w:tcBorders>
          </w:tcPr>
          <w:p w14:paraId="4A54D680" w14:textId="77777777" w:rsidR="0089005C" w:rsidRDefault="00095529">
            <w:pPr>
              <w:spacing w:after="0" w:line="259" w:lineRule="auto"/>
              <w:ind w:left="0" w:firstLine="0"/>
              <w:jc w:val="left"/>
            </w:pPr>
            <w:r>
              <w:rPr>
                <w:lang w:val="pt"/>
              </w:rPr>
              <w:t>Não repúdio</w:t>
            </w:r>
          </w:p>
        </w:tc>
        <w:tc>
          <w:tcPr>
            <w:tcW w:w="3683" w:type="dxa"/>
            <w:tcBorders>
              <w:top w:val="single" w:sz="8" w:space="0" w:color="000000"/>
              <w:left w:val="single" w:sz="8" w:space="0" w:color="000000"/>
              <w:bottom w:val="single" w:sz="8" w:space="0" w:color="000000"/>
              <w:right w:val="single" w:sz="8" w:space="0" w:color="000000"/>
            </w:tcBorders>
          </w:tcPr>
          <w:p w14:paraId="33B5CF8E" w14:textId="77777777" w:rsidR="0089005C" w:rsidRDefault="00095529">
            <w:pPr>
              <w:spacing w:after="0" w:line="259" w:lineRule="auto"/>
              <w:ind w:left="2" w:firstLine="0"/>
              <w:jc w:val="left"/>
            </w:pPr>
            <w:r>
              <w:rPr>
                <w:lang w:val="pt"/>
              </w:rPr>
              <w:t>Integridade</w:t>
            </w:r>
          </w:p>
        </w:tc>
      </w:tr>
      <w:tr w:rsidR="0089005C" w14:paraId="482FB71D" w14:textId="77777777">
        <w:trPr>
          <w:trHeight w:val="299"/>
        </w:trPr>
        <w:tc>
          <w:tcPr>
            <w:tcW w:w="3107" w:type="dxa"/>
            <w:tcBorders>
              <w:top w:val="single" w:sz="8" w:space="0" w:color="000000"/>
              <w:left w:val="single" w:sz="8" w:space="0" w:color="000000"/>
              <w:bottom w:val="single" w:sz="8" w:space="0" w:color="000000"/>
              <w:right w:val="single" w:sz="8" w:space="0" w:color="000000"/>
            </w:tcBorders>
          </w:tcPr>
          <w:p w14:paraId="4CB962BC" w14:textId="77777777" w:rsidR="0089005C" w:rsidRDefault="00095529">
            <w:pPr>
              <w:spacing w:after="0" w:line="259" w:lineRule="auto"/>
              <w:ind w:left="0" w:firstLine="0"/>
              <w:jc w:val="left"/>
            </w:pPr>
            <w:r>
              <w:rPr>
                <w:lang w:val="pt"/>
              </w:rPr>
              <w:t>Correção na especificação</w:t>
            </w:r>
          </w:p>
        </w:tc>
        <w:tc>
          <w:tcPr>
            <w:tcW w:w="3683" w:type="dxa"/>
            <w:tcBorders>
              <w:top w:val="single" w:sz="8" w:space="0" w:color="000000"/>
              <w:left w:val="single" w:sz="8" w:space="0" w:color="000000"/>
              <w:bottom w:val="single" w:sz="8" w:space="0" w:color="000000"/>
              <w:right w:val="single" w:sz="8" w:space="0" w:color="000000"/>
            </w:tcBorders>
          </w:tcPr>
          <w:p w14:paraId="7F0D9C3C" w14:textId="77777777" w:rsidR="0089005C" w:rsidRDefault="00095529">
            <w:pPr>
              <w:spacing w:after="0" w:line="259" w:lineRule="auto"/>
              <w:ind w:left="2" w:firstLine="0"/>
              <w:jc w:val="left"/>
            </w:pPr>
            <w:r>
              <w:rPr>
                <w:lang w:val="pt"/>
              </w:rPr>
              <w:t>Integridade e Disponibilidade</w:t>
            </w:r>
          </w:p>
        </w:tc>
      </w:tr>
      <w:tr w:rsidR="0089005C" w14:paraId="37A334DE" w14:textId="77777777">
        <w:trPr>
          <w:trHeight w:val="298"/>
        </w:trPr>
        <w:tc>
          <w:tcPr>
            <w:tcW w:w="3107" w:type="dxa"/>
            <w:tcBorders>
              <w:top w:val="single" w:sz="8" w:space="0" w:color="000000"/>
              <w:left w:val="single" w:sz="8" w:space="0" w:color="000000"/>
              <w:bottom w:val="single" w:sz="8" w:space="0" w:color="000000"/>
              <w:right w:val="single" w:sz="8" w:space="0" w:color="000000"/>
            </w:tcBorders>
          </w:tcPr>
          <w:p w14:paraId="69909D30" w14:textId="77777777" w:rsidR="0089005C" w:rsidRDefault="00095529">
            <w:pPr>
              <w:spacing w:after="0" w:line="259" w:lineRule="auto"/>
              <w:ind w:left="0" w:firstLine="0"/>
              <w:jc w:val="left"/>
            </w:pPr>
            <w:r>
              <w:rPr>
                <w:lang w:val="pt"/>
              </w:rPr>
              <w:t>Responsabilidade</w:t>
            </w:r>
          </w:p>
        </w:tc>
        <w:tc>
          <w:tcPr>
            <w:tcW w:w="3683" w:type="dxa"/>
            <w:tcBorders>
              <w:top w:val="single" w:sz="8" w:space="0" w:color="000000"/>
              <w:left w:val="single" w:sz="8" w:space="0" w:color="000000"/>
              <w:bottom w:val="single" w:sz="8" w:space="0" w:color="000000"/>
              <w:right w:val="single" w:sz="8" w:space="0" w:color="000000"/>
            </w:tcBorders>
          </w:tcPr>
          <w:p w14:paraId="6BEB297B" w14:textId="77777777" w:rsidR="0089005C" w:rsidRDefault="00095529">
            <w:pPr>
              <w:spacing w:after="0" w:line="259" w:lineRule="auto"/>
              <w:ind w:left="2" w:firstLine="0"/>
              <w:jc w:val="left"/>
            </w:pPr>
            <w:r>
              <w:rPr>
                <w:lang w:val="pt"/>
              </w:rPr>
              <w:t>Integridade</w:t>
            </w:r>
          </w:p>
        </w:tc>
      </w:tr>
      <w:tr w:rsidR="0089005C" w14:paraId="66DCECFA" w14:textId="77777777">
        <w:trPr>
          <w:trHeight w:val="299"/>
        </w:trPr>
        <w:tc>
          <w:tcPr>
            <w:tcW w:w="3107" w:type="dxa"/>
            <w:tcBorders>
              <w:top w:val="single" w:sz="8" w:space="0" w:color="000000"/>
              <w:left w:val="single" w:sz="8" w:space="0" w:color="000000"/>
              <w:bottom w:val="single" w:sz="8" w:space="0" w:color="000000"/>
              <w:right w:val="single" w:sz="8" w:space="0" w:color="000000"/>
            </w:tcBorders>
          </w:tcPr>
          <w:p w14:paraId="0B2FF2C2" w14:textId="77777777" w:rsidR="0089005C" w:rsidRDefault="00095529">
            <w:pPr>
              <w:spacing w:after="0" w:line="259" w:lineRule="auto"/>
              <w:ind w:left="0" w:firstLine="0"/>
              <w:jc w:val="left"/>
            </w:pPr>
            <w:r>
              <w:rPr>
                <w:lang w:val="pt"/>
              </w:rPr>
              <w:t>Integridade das pessoas</w:t>
            </w:r>
          </w:p>
        </w:tc>
        <w:tc>
          <w:tcPr>
            <w:tcW w:w="3683" w:type="dxa"/>
            <w:tcBorders>
              <w:top w:val="single" w:sz="8" w:space="0" w:color="000000"/>
              <w:left w:val="single" w:sz="8" w:space="0" w:color="000000"/>
              <w:bottom w:val="single" w:sz="8" w:space="0" w:color="000000"/>
              <w:right w:val="single" w:sz="8" w:space="0" w:color="000000"/>
            </w:tcBorders>
          </w:tcPr>
          <w:p w14:paraId="4980A23D" w14:textId="77777777" w:rsidR="0089005C" w:rsidRDefault="00095529">
            <w:pPr>
              <w:spacing w:after="0" w:line="259" w:lineRule="auto"/>
              <w:ind w:left="2" w:firstLine="0"/>
              <w:jc w:val="left"/>
            </w:pPr>
            <w:r>
              <w:rPr>
                <w:lang w:val="pt"/>
              </w:rPr>
              <w:t>Integridade</w:t>
            </w:r>
          </w:p>
        </w:tc>
      </w:tr>
      <w:tr w:rsidR="0089005C" w14:paraId="04B52C61" w14:textId="77777777">
        <w:trPr>
          <w:trHeight w:val="298"/>
        </w:trPr>
        <w:tc>
          <w:tcPr>
            <w:tcW w:w="3107" w:type="dxa"/>
            <w:tcBorders>
              <w:top w:val="single" w:sz="8" w:space="0" w:color="000000"/>
              <w:left w:val="single" w:sz="8" w:space="0" w:color="000000"/>
              <w:bottom w:val="single" w:sz="8" w:space="0" w:color="000000"/>
              <w:right w:val="single" w:sz="8" w:space="0" w:color="000000"/>
            </w:tcBorders>
          </w:tcPr>
          <w:p w14:paraId="447C2576" w14:textId="77777777" w:rsidR="0089005C" w:rsidRDefault="00095529">
            <w:pPr>
              <w:spacing w:after="0" w:line="259" w:lineRule="auto"/>
              <w:ind w:left="0" w:firstLine="0"/>
              <w:jc w:val="left"/>
            </w:pPr>
            <w:r>
              <w:rPr>
                <w:lang w:val="pt"/>
              </w:rPr>
              <w:t xml:space="preserve">Confiar </w:t>
            </w:r>
          </w:p>
        </w:tc>
        <w:tc>
          <w:tcPr>
            <w:tcW w:w="3683" w:type="dxa"/>
            <w:tcBorders>
              <w:top w:val="single" w:sz="8" w:space="0" w:color="000000"/>
              <w:left w:val="single" w:sz="8" w:space="0" w:color="000000"/>
              <w:bottom w:val="single" w:sz="8" w:space="0" w:color="000000"/>
              <w:right w:val="single" w:sz="8" w:space="0" w:color="000000"/>
            </w:tcBorders>
          </w:tcPr>
          <w:p w14:paraId="69B5F642" w14:textId="77777777" w:rsidR="0089005C" w:rsidRDefault="00095529">
            <w:pPr>
              <w:spacing w:after="0" w:line="259" w:lineRule="auto"/>
              <w:ind w:left="2" w:firstLine="0"/>
              <w:jc w:val="left"/>
            </w:pPr>
            <w:r>
              <w:rPr>
                <w:lang w:val="pt"/>
              </w:rPr>
              <w:t>Confidencialidade e Integridade</w:t>
            </w:r>
          </w:p>
        </w:tc>
      </w:tr>
      <w:tr w:rsidR="0089005C" w14:paraId="7D964B7D" w14:textId="77777777">
        <w:trPr>
          <w:trHeight w:val="299"/>
        </w:trPr>
        <w:tc>
          <w:tcPr>
            <w:tcW w:w="3107" w:type="dxa"/>
            <w:tcBorders>
              <w:top w:val="single" w:sz="8" w:space="0" w:color="000000"/>
              <w:left w:val="single" w:sz="8" w:space="0" w:color="000000"/>
              <w:bottom w:val="single" w:sz="8" w:space="0" w:color="000000"/>
              <w:right w:val="single" w:sz="8" w:space="0" w:color="000000"/>
            </w:tcBorders>
          </w:tcPr>
          <w:p w14:paraId="35743604" w14:textId="77777777" w:rsidR="0089005C" w:rsidRDefault="00095529">
            <w:pPr>
              <w:spacing w:after="0" w:line="259" w:lineRule="auto"/>
              <w:ind w:left="0" w:firstLine="0"/>
              <w:jc w:val="left"/>
            </w:pPr>
            <w:r>
              <w:rPr>
                <w:lang w:val="pt"/>
              </w:rPr>
              <w:t>Ética</w:t>
            </w:r>
          </w:p>
        </w:tc>
        <w:tc>
          <w:tcPr>
            <w:tcW w:w="3683" w:type="dxa"/>
            <w:tcBorders>
              <w:top w:val="single" w:sz="8" w:space="0" w:color="000000"/>
              <w:left w:val="single" w:sz="8" w:space="0" w:color="000000"/>
              <w:bottom w:val="single" w:sz="8" w:space="0" w:color="000000"/>
              <w:right w:val="single" w:sz="8" w:space="0" w:color="000000"/>
            </w:tcBorders>
          </w:tcPr>
          <w:p w14:paraId="46491ACF" w14:textId="77777777" w:rsidR="0089005C" w:rsidRDefault="00095529">
            <w:pPr>
              <w:spacing w:after="0" w:line="259" w:lineRule="auto"/>
              <w:ind w:left="2" w:firstLine="0"/>
              <w:jc w:val="left"/>
            </w:pPr>
            <w:r>
              <w:rPr>
                <w:lang w:val="pt"/>
              </w:rPr>
              <w:t>Integridade</w:t>
            </w:r>
          </w:p>
        </w:tc>
      </w:tr>
      <w:tr w:rsidR="0089005C" w14:paraId="089B71CB" w14:textId="77777777">
        <w:trPr>
          <w:trHeight w:val="298"/>
        </w:trPr>
        <w:tc>
          <w:tcPr>
            <w:tcW w:w="3107" w:type="dxa"/>
            <w:tcBorders>
              <w:top w:val="single" w:sz="8" w:space="0" w:color="000000"/>
              <w:left w:val="single" w:sz="8" w:space="0" w:color="000000"/>
              <w:bottom w:val="single" w:sz="8" w:space="0" w:color="000000"/>
              <w:right w:val="single" w:sz="8" w:space="0" w:color="000000"/>
            </w:tcBorders>
          </w:tcPr>
          <w:p w14:paraId="09DB07E1" w14:textId="77777777" w:rsidR="0089005C" w:rsidRDefault="00095529">
            <w:pPr>
              <w:spacing w:after="0" w:line="259" w:lineRule="auto"/>
              <w:ind w:left="0" w:firstLine="0"/>
              <w:jc w:val="left"/>
            </w:pPr>
            <w:r>
              <w:rPr>
                <w:lang w:val="pt"/>
              </w:rPr>
              <w:t xml:space="preserve"> Gestão de  identidade</w:t>
            </w:r>
          </w:p>
        </w:tc>
        <w:tc>
          <w:tcPr>
            <w:tcW w:w="3683" w:type="dxa"/>
            <w:tcBorders>
              <w:top w:val="single" w:sz="8" w:space="0" w:color="000000"/>
              <w:left w:val="single" w:sz="8" w:space="0" w:color="000000"/>
              <w:bottom w:val="single" w:sz="8" w:space="0" w:color="000000"/>
              <w:right w:val="single" w:sz="8" w:space="0" w:color="000000"/>
            </w:tcBorders>
          </w:tcPr>
          <w:p w14:paraId="32C9F3D1" w14:textId="77777777" w:rsidR="0089005C" w:rsidRDefault="00095529">
            <w:pPr>
              <w:spacing w:after="0" w:line="259" w:lineRule="auto"/>
              <w:ind w:left="2" w:firstLine="0"/>
              <w:jc w:val="left"/>
            </w:pPr>
            <w:r>
              <w:rPr>
                <w:lang w:val="pt"/>
              </w:rPr>
              <w:t>Confidencialidade, Integridade e Disponibilidade</w:t>
            </w:r>
          </w:p>
        </w:tc>
      </w:tr>
    </w:tbl>
    <w:p w14:paraId="4E693C8E" w14:textId="77777777" w:rsidR="0089005C" w:rsidRDefault="00095529">
      <w:pPr>
        <w:spacing w:after="265" w:line="259" w:lineRule="auto"/>
        <w:ind w:right="57"/>
        <w:jc w:val="center"/>
      </w:pPr>
      <w:r>
        <w:rPr>
          <w:b/>
          <w:lang w:val="pt"/>
        </w:rPr>
        <w:t xml:space="preserve">Tabela 3: Classificação de princípios adicionais à tríade original da CIA </w:t>
      </w:r>
    </w:p>
    <w:p w14:paraId="3644FC30" w14:textId="77777777" w:rsidR="0089005C" w:rsidRDefault="00095529">
      <w:pPr>
        <w:ind w:left="-5" w:right="44"/>
      </w:pPr>
      <w:r>
        <w:rPr>
          <w:lang w:val="pt"/>
        </w:rPr>
        <w:t xml:space="preserve">O restante  desta seção seguirá uma  estrutura sistemática como um meio de discutir cada seção do  diagrama de </w:t>
      </w:r>
      <w:proofErr w:type="spellStart"/>
      <w:r>
        <w:rPr>
          <w:lang w:val="pt"/>
        </w:rPr>
        <w:t>Venn</w:t>
      </w:r>
      <w:proofErr w:type="spellEnd"/>
      <w:r>
        <w:rPr>
          <w:lang w:val="pt"/>
        </w:rPr>
        <w:t xml:space="preserve"> abaixo (Fig. 1).  Primeiro, a discussão  começará com a revisão da "confidencialidade" e,  em seguida, seguirá um   movimento cíclico através da interseção 1, continuando com a revisão da Integridade , e depois passa  para a seção 2, e assim por diante.  </w:t>
      </w:r>
    </w:p>
    <w:p w14:paraId="0F8B86CC" w14:textId="77777777" w:rsidR="0089005C" w:rsidRDefault="00095529">
      <w:pPr>
        <w:spacing w:after="199" w:line="259" w:lineRule="auto"/>
        <w:ind w:left="0" w:right="327" w:firstLine="0"/>
        <w:jc w:val="right"/>
      </w:pPr>
      <w:r>
        <w:rPr>
          <w:noProof/>
        </w:rPr>
        <w:lastRenderedPageBreak/>
        <w:drawing>
          <wp:inline distT="0" distB="0" distL="0" distR="0" wp14:anchorId="00B0B680" wp14:editId="1655F291">
            <wp:extent cx="4046220" cy="2730500"/>
            <wp:effectExtent l="0" t="0" r="0" b="0"/>
            <wp:docPr id="1186" name="Picture 1186"/>
            <wp:cNvGraphicFramePr/>
            <a:graphic xmlns:a="http://schemas.openxmlformats.org/drawingml/2006/main">
              <a:graphicData uri="http://schemas.openxmlformats.org/drawingml/2006/picture">
                <pic:pic xmlns:pic="http://schemas.openxmlformats.org/drawingml/2006/picture">
                  <pic:nvPicPr>
                    <pic:cNvPr id="1186" name="Picture 1186"/>
                    <pic:cNvPicPr/>
                  </pic:nvPicPr>
                  <pic:blipFill>
                    <a:blip r:embed="rId13"/>
                    <a:stretch>
                      <a:fillRect/>
                    </a:stretch>
                  </pic:blipFill>
                  <pic:spPr>
                    <a:xfrm>
                      <a:off x="0" y="0"/>
                      <a:ext cx="4046220" cy="2730500"/>
                    </a:xfrm>
                    <a:prstGeom prst="rect">
                      <a:avLst/>
                    </a:prstGeom>
                  </pic:spPr>
                </pic:pic>
              </a:graphicData>
            </a:graphic>
          </wp:inline>
        </w:drawing>
      </w:r>
      <w:r>
        <w:t xml:space="preserve"> </w:t>
      </w:r>
    </w:p>
    <w:p w14:paraId="76BEECEA" w14:textId="77777777" w:rsidR="0089005C" w:rsidRDefault="00095529">
      <w:pPr>
        <w:spacing w:after="265" w:line="259" w:lineRule="auto"/>
        <w:ind w:right="56"/>
        <w:jc w:val="center"/>
      </w:pPr>
      <w:r>
        <w:rPr>
          <w:b/>
          <w:lang w:val="pt"/>
        </w:rPr>
        <w:t xml:space="preserve">Fig. 1: Uma revisão da tríade da CIA </w:t>
      </w:r>
    </w:p>
    <w:p w14:paraId="1593BEAD" w14:textId="77777777" w:rsidR="0089005C" w:rsidRDefault="00095529">
      <w:pPr>
        <w:pStyle w:val="Ttulo1"/>
        <w:spacing w:after="173"/>
        <w:ind w:left="-5"/>
      </w:pPr>
      <w:r>
        <w:rPr>
          <w:lang w:val="pt"/>
        </w:rPr>
        <w:t>Confidencialidade</w:t>
      </w:r>
    </w:p>
    <w:p w14:paraId="6006BB74" w14:textId="77777777" w:rsidR="0089005C" w:rsidRDefault="00095529">
      <w:pPr>
        <w:ind w:left="-5" w:right="44"/>
      </w:pPr>
      <w:r>
        <w:rPr>
          <w:noProof/>
          <w:lang w:val="pt"/>
        </w:rPr>
        <w:drawing>
          <wp:anchor distT="0" distB="0" distL="114300" distR="114300" simplePos="0" relativeHeight="251667456" behindDoc="0" locked="0" layoutInCell="1" allowOverlap="0" wp14:anchorId="7A4762A4" wp14:editId="1FA01B3D">
            <wp:simplePos x="0" y="0"/>
            <wp:positionH relativeFrom="page">
              <wp:posOffset>838200</wp:posOffset>
            </wp:positionH>
            <wp:positionV relativeFrom="page">
              <wp:posOffset>1707921</wp:posOffset>
            </wp:positionV>
            <wp:extent cx="1219200" cy="726415"/>
            <wp:effectExtent l="0" t="0" r="0" b="0"/>
            <wp:wrapTopAndBottom/>
            <wp:docPr id="1145" name="Picture 1145"/>
            <wp:cNvGraphicFramePr/>
            <a:graphic xmlns:a="http://schemas.openxmlformats.org/drawingml/2006/main">
              <a:graphicData uri="http://schemas.openxmlformats.org/drawingml/2006/picture">
                <pic:pic xmlns:pic="http://schemas.openxmlformats.org/drawingml/2006/picture">
                  <pic:nvPicPr>
                    <pic:cNvPr id="1145" name="Picture 1145"/>
                    <pic:cNvPicPr/>
                  </pic:nvPicPr>
                  <pic:blipFill>
                    <a:blip r:embed="rId8"/>
                    <a:stretch>
                      <a:fillRect/>
                    </a:stretch>
                  </pic:blipFill>
                  <pic:spPr>
                    <a:xfrm>
                      <a:off x="0" y="0"/>
                      <a:ext cx="1219200" cy="726415"/>
                    </a:xfrm>
                    <a:prstGeom prst="rect">
                      <a:avLst/>
                    </a:prstGeom>
                  </pic:spPr>
                </pic:pic>
              </a:graphicData>
            </a:graphic>
          </wp:anchor>
        </w:drawing>
      </w:r>
      <w:r>
        <w:rPr>
          <w:lang w:val="pt"/>
        </w:rPr>
        <w:t xml:space="preserve"> O termo  "confidencialidade" é   derivado do   verbo  em latim</w:t>
      </w:r>
      <w:r>
        <w:rPr>
          <w:i/>
          <w:lang w:val="pt"/>
        </w:rPr>
        <w:t xml:space="preserve">  </w:t>
      </w:r>
      <w:proofErr w:type="spellStart"/>
      <w:r>
        <w:rPr>
          <w:i/>
          <w:lang w:val="pt"/>
        </w:rPr>
        <w:t>confidere</w:t>
      </w:r>
      <w:proofErr w:type="spellEnd"/>
      <w:r>
        <w:rPr>
          <w:lang w:val="pt"/>
        </w:rPr>
        <w:t xml:space="preserve">, que  significa  " ter </w:t>
      </w:r>
      <w:proofErr w:type="spellStart"/>
      <w:r>
        <w:rPr>
          <w:lang w:val="pt"/>
        </w:rPr>
        <w:t>trust</w:t>
      </w:r>
      <w:proofErr w:type="spellEnd"/>
      <w:r>
        <w:rPr>
          <w:lang w:val="pt"/>
        </w:rPr>
        <w:t xml:space="preserve">  completo   ou  dependência".  A confidencialidade  é um princípio primário   da   segurança  da  informação  que  tem  suas raízes fundamentadas  na   mentalidade  militar  de  manter uma   autoridade de   cima para baixo  e  controle  sobre aqueles  que têm  acesso   à  informação, na necessidade    de   saber  com base.  </w:t>
      </w:r>
      <w:proofErr w:type="spellStart"/>
      <w:r>
        <w:rPr>
          <w:lang w:val="pt"/>
        </w:rPr>
        <w:t>Camp</w:t>
      </w:r>
      <w:proofErr w:type="spellEnd"/>
      <w:r>
        <w:rPr>
          <w:lang w:val="pt"/>
        </w:rPr>
        <w:t xml:space="preserve">  (1999)  afirma  que  a confidencialidade implica   a  noção de  que os dados e  as  informações  representadas  por  esses  dados devem ser  protegidos; de tal  forma  que seu uso está confinado  à    autorização  propósitos  apenas  por  pessoas  autorizadas.  Da mesma forma, </w:t>
      </w:r>
      <w:proofErr w:type="spellStart"/>
      <w:r>
        <w:rPr>
          <w:lang w:val="pt"/>
        </w:rPr>
        <w:t>Zwick</w:t>
      </w:r>
      <w:proofErr w:type="spellEnd"/>
      <w:r>
        <w:rPr>
          <w:lang w:val="pt"/>
        </w:rPr>
        <w:t xml:space="preserve">  e  </w:t>
      </w:r>
      <w:proofErr w:type="spellStart"/>
      <w:r>
        <w:rPr>
          <w:lang w:val="pt"/>
        </w:rPr>
        <w:t>Dholakia</w:t>
      </w:r>
      <w:proofErr w:type="spellEnd"/>
      <w:r>
        <w:rPr>
          <w:lang w:val="pt"/>
        </w:rPr>
        <w:t xml:space="preserve">  (2004) definem </w:t>
      </w:r>
      <w:proofErr w:type="spellStart"/>
      <w:r>
        <w:rPr>
          <w:lang w:val="pt"/>
        </w:rPr>
        <w:t>aonfidentialidade</w:t>
      </w:r>
      <w:proofErr w:type="spellEnd"/>
      <w:r>
        <w:rPr>
          <w:lang w:val="pt"/>
        </w:rPr>
        <w:t xml:space="preserve"> c   como sendo  a  capacidade  percebida  de    realizar uma  tarefa  externa  que  restringe o  fluxo  de informações  com respeito   para  o que  é divulgado  nele, e  para  quem  começa  a    vê-lo.  Esses  aspectos  da  confidencialidade  também  se refletem  em   </w:t>
      </w:r>
      <w:proofErr w:type="spellStart"/>
      <w:r>
        <w:rPr>
          <w:lang w:val="pt"/>
        </w:rPr>
        <w:t>documents</w:t>
      </w:r>
      <w:proofErr w:type="spellEnd"/>
      <w:r>
        <w:rPr>
          <w:lang w:val="pt"/>
        </w:rPr>
        <w:t xml:space="preserve"> oficiais do  governo  e  legislação. Por exemplo, na Seção  3542, do  Título  44 dos    EUA.  Código, a confidencialidade  é referida    como a  " restrição autorizada de   acesso  e  divulgação  de  informações, incluindo  os  meios  para proteger a   privacidade  pessoal   e ração de   informações proprietárias".    Embora a  confidencialidade  tenha  sido    o  cerne da segurança da  informação    desde  os  primeiros  dias  da  adoção  da  tecnologia da   informação, o  foco  em mudança    em as necessidades    de negócios   rebaixaram  sua importância  em comparação com    outras   preocupações de segurança. Fitzgerald (1995) observou  que   a confidencialidade das informações  não   era mais  um grande problema.  No </w:t>
      </w:r>
      <w:r>
        <w:rPr>
          <w:lang w:val="pt"/>
        </w:rPr>
        <w:lastRenderedPageBreak/>
        <w:t xml:space="preserve">entanto , ele  também    apontou  que os  aspectos  de  privacidade da   confidencialidade  crescerão    em importância  no   futuro, particularmente  no  caso de  indústrias onde  o  foco dos grandes negócios   está em  a  gestão de  informações  pessoais confidenciais    - por exemplo, saúde e  finanças.      </w:t>
      </w:r>
    </w:p>
    <w:p w14:paraId="7D522B5A" w14:textId="77777777" w:rsidR="0089005C" w:rsidRDefault="00095529">
      <w:pPr>
        <w:spacing w:after="0"/>
        <w:ind w:left="-5" w:right="44"/>
      </w:pPr>
      <w:r>
        <w:rPr>
          <w:lang w:val="pt"/>
        </w:rPr>
        <w:t xml:space="preserve">A relação entre privacidade e confiança é um tema importante que tem sido examinado na literatura de  sistemas  de informação a partir de   diversas perspectivas. </w:t>
      </w:r>
    </w:p>
    <w:p w14:paraId="54561035" w14:textId="77777777" w:rsidR="0089005C" w:rsidRDefault="00095529">
      <w:pPr>
        <w:ind w:left="-5" w:right="44"/>
      </w:pPr>
      <w:proofErr w:type="spellStart"/>
      <w:r>
        <w:rPr>
          <w:lang w:val="pt"/>
        </w:rPr>
        <w:t>Katzan</w:t>
      </w:r>
      <w:proofErr w:type="spellEnd"/>
      <w:r>
        <w:rPr>
          <w:lang w:val="pt"/>
        </w:rPr>
        <w:t xml:space="preserve"> (2010) descobriu que  a  integridade e a responsabilidade de uma organização em relação às suas  práticas de informação é importante para aliviar as preocupações sobre privacidade e para a construção da  confiança do usuário. Wang, Lee e Wang (1998) argumentam que a questão mais crítica      </w:t>
      </w:r>
      <w:proofErr w:type="spellStart"/>
      <w:r>
        <w:rPr>
          <w:lang w:val="pt"/>
        </w:rPr>
        <w:t>quedesnificei</w:t>
      </w:r>
      <w:proofErr w:type="spellEnd"/>
      <w:r>
        <w:rPr>
          <w:lang w:val="pt"/>
        </w:rPr>
        <w:t xml:space="preserve"> pelos clientes da Internet  é  o medo e a desconfiança em relação à perda de privacidade pessoal na eletrônica   mercados de comércio.  Pesquisadores que adotam um  ponto de vista da  teoria do intercâmbio social  em relação à confiança, sugerem que é o ativo mais importante nas empresas  </w:t>
      </w:r>
      <w:proofErr w:type="spellStart"/>
      <w:r>
        <w:rPr>
          <w:lang w:val="pt"/>
        </w:rPr>
        <w:t>which</w:t>
      </w:r>
      <w:proofErr w:type="spellEnd"/>
      <w:r>
        <w:rPr>
          <w:lang w:val="pt"/>
        </w:rPr>
        <w:t xml:space="preserve"> (</w:t>
      </w:r>
      <w:proofErr w:type="spellStart"/>
      <w:r>
        <w:rPr>
          <w:lang w:val="pt"/>
        </w:rPr>
        <w:t>Luo</w:t>
      </w:r>
      <w:proofErr w:type="spellEnd"/>
      <w:r>
        <w:rPr>
          <w:lang w:val="pt"/>
        </w:rPr>
        <w:t xml:space="preserve">, 2002;  </w:t>
      </w:r>
      <w:proofErr w:type="spellStart"/>
      <w:r>
        <w:rPr>
          <w:lang w:val="pt"/>
        </w:rPr>
        <w:t>Benassi</w:t>
      </w:r>
      <w:proofErr w:type="spellEnd"/>
      <w:r>
        <w:rPr>
          <w:lang w:val="pt"/>
        </w:rPr>
        <w:t xml:space="preserve"> 1999; Zucker, 1986). A natureza e os antecedentes da confiança  foram identificados como  sendo um grande problema tanto para  pesquisadores acadêmicos quanto para  profissionais (</w:t>
      </w:r>
      <w:proofErr w:type="spellStart"/>
      <w:r>
        <w:rPr>
          <w:lang w:val="pt"/>
        </w:rPr>
        <w:t>McKnight</w:t>
      </w:r>
      <w:proofErr w:type="spellEnd"/>
      <w:r>
        <w:rPr>
          <w:lang w:val="pt"/>
        </w:rPr>
        <w:t xml:space="preserve"> et al., 2002).  Vamos  dar mais atenção  à  </w:t>
      </w:r>
      <w:proofErr w:type="spellStart"/>
      <w:r>
        <w:rPr>
          <w:lang w:val="pt"/>
        </w:rPr>
        <w:t>privacy</w:t>
      </w:r>
      <w:proofErr w:type="spellEnd"/>
      <w:r>
        <w:rPr>
          <w:lang w:val="pt"/>
        </w:rPr>
        <w:t xml:space="preserve"> abaixo em nossa discussão sobre  intersecção 4 (ver Fig. 1), que combina todos os  três  elementos do  Tríade da CIA.  </w:t>
      </w:r>
    </w:p>
    <w:p w14:paraId="04B8AC7B" w14:textId="77777777" w:rsidR="0089005C" w:rsidRDefault="00095529">
      <w:pPr>
        <w:ind w:left="-5" w:right="44"/>
      </w:pPr>
      <w:r>
        <w:rPr>
          <w:noProof/>
          <w:lang w:val="pt"/>
        </w:rPr>
        <w:drawing>
          <wp:anchor distT="0" distB="0" distL="114300" distR="114300" simplePos="0" relativeHeight="251668480" behindDoc="0" locked="0" layoutInCell="1" allowOverlap="0" wp14:anchorId="5C41B35F" wp14:editId="5F8B36E6">
            <wp:simplePos x="0" y="0"/>
            <wp:positionH relativeFrom="page">
              <wp:posOffset>5850255</wp:posOffset>
            </wp:positionH>
            <wp:positionV relativeFrom="page">
              <wp:posOffset>1707921</wp:posOffset>
            </wp:positionV>
            <wp:extent cx="1219200" cy="726415"/>
            <wp:effectExtent l="0" t="0" r="0" b="0"/>
            <wp:wrapSquare wrapText="bothSides"/>
            <wp:docPr id="1195" name="Picture 1195"/>
            <wp:cNvGraphicFramePr/>
            <a:graphic xmlns:a="http://schemas.openxmlformats.org/drawingml/2006/main">
              <a:graphicData uri="http://schemas.openxmlformats.org/drawingml/2006/picture">
                <pic:pic xmlns:pic="http://schemas.openxmlformats.org/drawingml/2006/picture">
                  <pic:nvPicPr>
                    <pic:cNvPr id="1195" name="Picture 1195"/>
                    <pic:cNvPicPr/>
                  </pic:nvPicPr>
                  <pic:blipFill>
                    <a:blip r:embed="rId8"/>
                    <a:stretch>
                      <a:fillRect/>
                    </a:stretch>
                  </pic:blipFill>
                  <pic:spPr>
                    <a:xfrm>
                      <a:off x="0" y="0"/>
                      <a:ext cx="1219200" cy="726415"/>
                    </a:xfrm>
                    <a:prstGeom prst="rect">
                      <a:avLst/>
                    </a:prstGeom>
                  </pic:spPr>
                </pic:pic>
              </a:graphicData>
            </a:graphic>
          </wp:anchor>
        </w:drawing>
      </w:r>
      <w:r>
        <w:rPr>
          <w:lang w:val="pt"/>
        </w:rPr>
        <w:t xml:space="preserve">A seção  1 do  nosso  diagrama  de </w:t>
      </w:r>
      <w:proofErr w:type="spellStart"/>
      <w:r>
        <w:rPr>
          <w:lang w:val="pt"/>
        </w:rPr>
        <w:t>Venn</w:t>
      </w:r>
      <w:proofErr w:type="spellEnd"/>
      <w:r>
        <w:rPr>
          <w:lang w:val="pt"/>
        </w:rPr>
        <w:t xml:space="preserve">  está na  intersecção    de  confidencialidade  e  integridade.            Classificamos  o elemento   de  confiança  da </w:t>
      </w:r>
      <w:proofErr w:type="spellStart"/>
      <w:r>
        <w:rPr>
          <w:lang w:val="pt"/>
        </w:rPr>
        <w:t>SecuriTy</w:t>
      </w:r>
      <w:proofErr w:type="spellEnd"/>
      <w:r>
        <w:rPr>
          <w:lang w:val="pt"/>
        </w:rPr>
        <w:t xml:space="preserve"> de   informações  expandidas  como esta seção. A confiança é geralmente  considerada      um  conceito  inerentemente  ambíguo, que  é crucial nas   relações transacionais, especialmente  no   caso   daqueles  que  contêm  um  elemento  de  risco   (</w:t>
      </w:r>
      <w:proofErr w:type="spellStart"/>
      <w:r>
        <w:rPr>
          <w:lang w:val="pt"/>
        </w:rPr>
        <w:t>Reichheld</w:t>
      </w:r>
      <w:proofErr w:type="spellEnd"/>
      <w:r>
        <w:rPr>
          <w:lang w:val="pt"/>
        </w:rPr>
        <w:t xml:space="preserve">  e  </w:t>
      </w:r>
      <w:proofErr w:type="spellStart"/>
      <w:r>
        <w:rPr>
          <w:lang w:val="pt"/>
        </w:rPr>
        <w:t>Schefter</w:t>
      </w:r>
      <w:proofErr w:type="spellEnd"/>
      <w:r>
        <w:rPr>
          <w:lang w:val="pt"/>
        </w:rPr>
        <w:t xml:space="preserve">  2000). A confiança pode  ser  inconsciente  ou  cultivada, e  é vista  como   sendo necessária  como um meio  de  reduzir  as  complexidades  da  vida  (</w:t>
      </w:r>
      <w:proofErr w:type="spellStart"/>
      <w:r>
        <w:rPr>
          <w:lang w:val="pt"/>
        </w:rPr>
        <w:t>Luhmann</w:t>
      </w:r>
      <w:proofErr w:type="spellEnd"/>
      <w:r>
        <w:rPr>
          <w:lang w:val="pt"/>
        </w:rPr>
        <w:t xml:space="preserve">, 1979).  Eventualmente,  as pessoas  têm que    cooperar  em seus relacionamentos, e , portanto,   elas  devem confiar  umas  nas  outras até   certo   ponto. A confiança   foi  definida  como "a  vontade  de  um partido    de ser  vulnerável  às    ações  de  outra  parte  com base  na    expectativa  de que o  outro    realizará  uma ação particular   importante  para  o  </w:t>
      </w:r>
      <w:proofErr w:type="spellStart"/>
      <w:r>
        <w:rPr>
          <w:lang w:val="pt"/>
        </w:rPr>
        <w:t>trustor</w:t>
      </w:r>
      <w:proofErr w:type="spellEnd"/>
      <w:r>
        <w:rPr>
          <w:lang w:val="pt"/>
        </w:rPr>
        <w:t xml:space="preserve">, independentemente  da    capacidade   de   monitorar ou  controlar  a  outra parte" (Mayer, Davis e  </w:t>
      </w:r>
      <w:proofErr w:type="spellStart"/>
      <w:r>
        <w:rPr>
          <w:lang w:val="pt"/>
        </w:rPr>
        <w:t>Schoorman</w:t>
      </w:r>
      <w:proofErr w:type="spellEnd"/>
      <w:r>
        <w:rPr>
          <w:lang w:val="pt"/>
        </w:rPr>
        <w:t>, 1995). A confiança   também  foi  descrita  como tendo  três  formulários primários.  Em primeiro lugar,    a   confiança baseada na crença  é uma  expectativa  de que a benevolência  existe  em outros,   como que eles      não se comportarão  oportunistamente  aproveitando     a  situação  (</w:t>
      </w:r>
      <w:proofErr w:type="spellStart"/>
      <w:r>
        <w:rPr>
          <w:lang w:val="pt"/>
        </w:rPr>
        <w:t>Cody</w:t>
      </w:r>
      <w:proofErr w:type="spellEnd"/>
      <w:r>
        <w:rPr>
          <w:lang w:val="pt"/>
        </w:rPr>
        <w:t xml:space="preserve">-Allen &amp; </w:t>
      </w:r>
      <w:proofErr w:type="spellStart"/>
      <w:r>
        <w:rPr>
          <w:lang w:val="pt"/>
        </w:rPr>
        <w:t>Kishore</w:t>
      </w:r>
      <w:proofErr w:type="spellEnd"/>
      <w:r>
        <w:rPr>
          <w:lang w:val="pt"/>
        </w:rPr>
        <w:t xml:space="preserve">  2006). Em segundo lugar,  a   confiança baseada no conhecimento  sugere  que  a confiança  se desenvolve  ao longo do tempo com o  acúmulo  de  conhecimento  relevante, o que, por sua vez,   resulta  de uma certa  experiência  com a  outra parte  (</w:t>
      </w:r>
      <w:proofErr w:type="spellStart"/>
      <w:r>
        <w:rPr>
          <w:lang w:val="pt"/>
        </w:rPr>
        <w:t>Lewicki</w:t>
      </w:r>
      <w:proofErr w:type="spellEnd"/>
      <w:r>
        <w:rPr>
          <w:lang w:val="pt"/>
        </w:rPr>
        <w:t xml:space="preserve">   </w:t>
      </w:r>
      <w:r>
        <w:rPr>
          <w:lang w:val="pt"/>
        </w:rPr>
        <w:lastRenderedPageBreak/>
        <w:t>&amp; Bunker 1995) e,   consequentemente, o  desenvolvimento  da  confiança  entre as partes  individuais   requer tempo e  um histórico  de  interação  (</w:t>
      </w:r>
      <w:proofErr w:type="spellStart"/>
      <w:r>
        <w:rPr>
          <w:lang w:val="pt"/>
        </w:rPr>
        <w:t>McKnight</w:t>
      </w:r>
      <w:proofErr w:type="spellEnd"/>
      <w:r>
        <w:rPr>
          <w:lang w:val="pt"/>
        </w:rPr>
        <w:t xml:space="preserve">  et al. 2002).  Em terceiro lugar, a   confiança baseada no sistema   é definida  como   a percepção  de um  indivíduo sobre a   capacidade de   um sistema  de  atender a   um </w:t>
      </w:r>
      <w:proofErr w:type="spellStart"/>
      <w:r>
        <w:rPr>
          <w:lang w:val="pt"/>
        </w:rPr>
        <w:t>estomes</w:t>
      </w:r>
      <w:proofErr w:type="spellEnd"/>
      <w:r>
        <w:rPr>
          <w:lang w:val="pt"/>
        </w:rPr>
        <w:t xml:space="preserve"> de  requisitos  que  levarão  esse indivíduo a  acreditar  que o  sistema pode  ser  confiável  para  executar  tarefas  específicas  (</w:t>
      </w:r>
      <w:proofErr w:type="spellStart"/>
      <w:r>
        <w:rPr>
          <w:lang w:val="pt"/>
        </w:rPr>
        <w:t>Cody</w:t>
      </w:r>
      <w:proofErr w:type="spellEnd"/>
      <w:r>
        <w:rPr>
          <w:lang w:val="pt"/>
        </w:rPr>
        <w:t xml:space="preserve">-Allen &amp; </w:t>
      </w:r>
      <w:proofErr w:type="spellStart"/>
      <w:r>
        <w:rPr>
          <w:lang w:val="pt"/>
        </w:rPr>
        <w:t>Kishore</w:t>
      </w:r>
      <w:proofErr w:type="spellEnd"/>
      <w:r>
        <w:rPr>
          <w:lang w:val="pt"/>
        </w:rPr>
        <w:t xml:space="preserve">  2006).            </w:t>
      </w:r>
    </w:p>
    <w:p w14:paraId="3BBD9B63" w14:textId="77777777" w:rsidR="0089005C" w:rsidRDefault="00095529">
      <w:pPr>
        <w:ind w:left="-5" w:right="44"/>
      </w:pPr>
      <w:r>
        <w:rPr>
          <w:lang w:val="pt"/>
        </w:rPr>
        <w:t>A confiança implica o investimento de responsabilidade, autoridade e até recursos  em outros. No  contexto da segurança, a confiança toca tanto na confidencialidade quanto na integridade. Um objetivo da integridade da  informação é  proteger as informações contra  modificações não autorizadas (</w:t>
      </w:r>
      <w:proofErr w:type="spellStart"/>
      <w:r>
        <w:rPr>
          <w:lang w:val="pt"/>
        </w:rPr>
        <w:t>Joshi</w:t>
      </w:r>
      <w:proofErr w:type="spellEnd"/>
      <w:r>
        <w:rPr>
          <w:lang w:val="pt"/>
        </w:rPr>
        <w:t xml:space="preserve"> et al., 2001).  Os  problemas de integridade das informações são comumente conectados com  o armazenamento inadequado de </w:t>
      </w:r>
      <w:proofErr w:type="spellStart"/>
      <w:r>
        <w:rPr>
          <w:lang w:val="pt"/>
        </w:rPr>
        <w:t>ormation</w:t>
      </w:r>
      <w:proofErr w:type="spellEnd"/>
      <w:r>
        <w:rPr>
          <w:lang w:val="pt"/>
        </w:rPr>
        <w:t xml:space="preserve"> </w:t>
      </w:r>
      <w:proofErr w:type="spellStart"/>
      <w:r>
        <w:rPr>
          <w:lang w:val="pt"/>
        </w:rPr>
        <w:t>inf</w:t>
      </w:r>
      <w:proofErr w:type="spellEnd"/>
      <w:r>
        <w:rPr>
          <w:lang w:val="pt"/>
        </w:rPr>
        <w:t xml:space="preserve">, pelo qual as informações são armazenadas de forma  não segura, o que resulta na falta de confiabilidade das  informações armazenadas, ou a falta de  um  controle adequado de autenticação para  acesso à informação (Wang, Lee e Wang, 1998). A confiança é uma </w:t>
      </w:r>
      <w:proofErr w:type="spellStart"/>
      <w:r>
        <w:rPr>
          <w:lang w:val="pt"/>
        </w:rPr>
        <w:t>property</w:t>
      </w:r>
      <w:proofErr w:type="spellEnd"/>
      <w:r>
        <w:rPr>
          <w:lang w:val="pt"/>
        </w:rPr>
        <w:t xml:space="preserve"> fundamental  de confidencialidade, mas também se refere ao acesso a dados, que pode ter um  impacto significativo na integridade dos  dados, particularmente para o  perspectivas de precisão de dados  e não-vinculações.  Além disso,  a confiança refere-se a questões mais amplas de integridade organizacional que são levantadas nos  estudos  sociotécnicos de   segurança, e se refletem  em a camada informal   do modelo TFI (ver Seção 3  deste artigo). A este respeito, o conceito de confiança defendido  por </w:t>
      </w:r>
      <w:proofErr w:type="spellStart"/>
      <w:r>
        <w:rPr>
          <w:lang w:val="pt"/>
        </w:rPr>
        <w:t>Dhillon</w:t>
      </w:r>
      <w:proofErr w:type="spellEnd"/>
      <w:r>
        <w:rPr>
          <w:lang w:val="pt"/>
        </w:rPr>
        <w:t xml:space="preserve"> e </w:t>
      </w:r>
      <w:proofErr w:type="spellStart"/>
      <w:r>
        <w:rPr>
          <w:lang w:val="pt"/>
        </w:rPr>
        <w:t>Backhouse</w:t>
      </w:r>
      <w:proofErr w:type="spellEnd"/>
      <w:r>
        <w:rPr>
          <w:lang w:val="pt"/>
        </w:rPr>
        <w:t xml:space="preserve"> (2001), está  no </w:t>
      </w:r>
      <w:proofErr w:type="spellStart"/>
      <w:r>
        <w:rPr>
          <w:lang w:val="pt"/>
        </w:rPr>
        <w:t>interseccionárion</w:t>
      </w:r>
      <w:proofErr w:type="spellEnd"/>
      <w:r>
        <w:rPr>
          <w:lang w:val="pt"/>
        </w:rPr>
        <w:t xml:space="preserve"> de confidencialidade e integridade na CIA  tríade (ver Fig. 1, área 1). A  subseção a  seguir discutirá  o conceito de integridade, bem como a intersecção entre integridade e disponibilidade. </w:t>
      </w:r>
    </w:p>
    <w:p w14:paraId="73FF0159" w14:textId="77777777" w:rsidR="0089005C" w:rsidRDefault="00095529">
      <w:pPr>
        <w:pStyle w:val="Ttulo1"/>
        <w:spacing w:after="176"/>
        <w:ind w:left="-5"/>
      </w:pPr>
      <w:r>
        <w:rPr>
          <w:lang w:val="pt"/>
        </w:rPr>
        <w:t>Integridade</w:t>
      </w:r>
    </w:p>
    <w:p w14:paraId="18E3B21D" w14:textId="77777777" w:rsidR="0089005C" w:rsidRDefault="00095529">
      <w:pPr>
        <w:spacing w:after="41" w:line="285" w:lineRule="auto"/>
        <w:ind w:left="-5"/>
        <w:jc w:val="left"/>
      </w:pPr>
      <w:r>
        <w:rPr>
          <w:lang w:val="pt"/>
        </w:rPr>
        <w:t xml:space="preserve">Do ponto de vista etimológico, a palavra "integridade" significa "solidez", "totalidade" e é derivada da  palavra  latina </w:t>
      </w:r>
      <w:r>
        <w:rPr>
          <w:i/>
          <w:lang w:val="pt"/>
        </w:rPr>
        <w:t>tangere</w:t>
      </w:r>
      <w:r>
        <w:rPr>
          <w:lang w:val="pt"/>
        </w:rPr>
        <w:t xml:space="preserve">, que significa "tocar". </w:t>
      </w:r>
    </w:p>
    <w:p w14:paraId="7234C2E5" w14:textId="77777777" w:rsidR="0089005C" w:rsidRDefault="00095529">
      <w:pPr>
        <w:ind w:left="-5" w:right="44"/>
      </w:pPr>
      <w:r>
        <w:rPr>
          <w:noProof/>
          <w:lang w:val="pt"/>
        </w:rPr>
        <w:drawing>
          <wp:anchor distT="0" distB="0" distL="114300" distR="114300" simplePos="0" relativeHeight="251669504" behindDoc="0" locked="0" layoutInCell="1" allowOverlap="0" wp14:anchorId="7AC60B44" wp14:editId="1AAB1742">
            <wp:simplePos x="0" y="0"/>
            <wp:positionH relativeFrom="page">
              <wp:posOffset>838200</wp:posOffset>
            </wp:positionH>
            <wp:positionV relativeFrom="page">
              <wp:posOffset>1707921</wp:posOffset>
            </wp:positionV>
            <wp:extent cx="1219200" cy="726415"/>
            <wp:effectExtent l="0" t="0" r="0" b="0"/>
            <wp:wrapSquare wrapText="bothSides"/>
            <wp:docPr id="1272" name="Picture 1272"/>
            <wp:cNvGraphicFramePr/>
            <a:graphic xmlns:a="http://schemas.openxmlformats.org/drawingml/2006/main">
              <a:graphicData uri="http://schemas.openxmlformats.org/drawingml/2006/picture">
                <pic:pic xmlns:pic="http://schemas.openxmlformats.org/drawingml/2006/picture">
                  <pic:nvPicPr>
                    <pic:cNvPr id="1272" name="Picture 1272"/>
                    <pic:cNvPicPr/>
                  </pic:nvPicPr>
                  <pic:blipFill>
                    <a:blip r:embed="rId8"/>
                    <a:stretch>
                      <a:fillRect/>
                    </a:stretch>
                  </pic:blipFill>
                  <pic:spPr>
                    <a:xfrm>
                      <a:off x="0" y="0"/>
                      <a:ext cx="1219200" cy="726415"/>
                    </a:xfrm>
                    <a:prstGeom prst="rect">
                      <a:avLst/>
                    </a:prstGeom>
                  </pic:spPr>
                </pic:pic>
              </a:graphicData>
            </a:graphic>
          </wp:anchor>
        </w:drawing>
      </w:r>
      <w:r>
        <w:rPr>
          <w:lang w:val="pt"/>
        </w:rPr>
        <w:t>O prefixo 'in-' indica uma força negativa ou privativa, e, portanto  ,  o significado da  palavra '</w:t>
      </w:r>
      <w:proofErr w:type="spellStart"/>
      <w:r>
        <w:rPr>
          <w:lang w:val="pt"/>
        </w:rPr>
        <w:t>integrity</w:t>
      </w:r>
      <w:proofErr w:type="spellEnd"/>
      <w:r>
        <w:rPr>
          <w:lang w:val="pt"/>
        </w:rPr>
        <w:t xml:space="preserve">' pode estar associado a certas conotações da palavra 'intocável' - que  por sua vez, está relacionado ao   conceito de integridade ética. </w:t>
      </w:r>
      <w:proofErr w:type="gramStart"/>
      <w:r>
        <w:rPr>
          <w:lang w:val="pt"/>
        </w:rPr>
        <w:t>Na  profissão</w:t>
      </w:r>
      <w:proofErr w:type="gramEnd"/>
      <w:r>
        <w:rPr>
          <w:lang w:val="pt"/>
        </w:rPr>
        <w:t xml:space="preserve"> de segurança da informação e auditoria,  a ética envolve a adesão a princípios e valores comumente aceitos, que são prescritos no  conteúdo de vários padrões profissionais de prática e qualificações.  Esses padrões e qualificações </w:t>
      </w:r>
      <w:proofErr w:type="gramStart"/>
      <w:r>
        <w:rPr>
          <w:lang w:val="pt"/>
        </w:rPr>
        <w:t>profissionais  são</w:t>
      </w:r>
      <w:proofErr w:type="gramEnd"/>
      <w:r>
        <w:rPr>
          <w:lang w:val="pt"/>
        </w:rPr>
        <w:t>, essencialmente, acordos verbais  entre os praticantes e suas  organizações de trabalho, que delineiam uma variedade de responsabilidades formais e informais  , bem como certos códigos de conduta no que diz respeito à  segurança da informação. A este respeito, as questões de ética e responsabilidade, que são vistas como  princípios fundamentais da segurança e são melhorias para a  CIA  tríade (</w:t>
      </w:r>
      <w:proofErr w:type="spellStart"/>
      <w:r>
        <w:rPr>
          <w:lang w:val="pt"/>
        </w:rPr>
        <w:t>Dhillon</w:t>
      </w:r>
      <w:proofErr w:type="spellEnd"/>
      <w:r>
        <w:rPr>
          <w:lang w:val="pt"/>
        </w:rPr>
        <w:t xml:space="preserve"> e </w:t>
      </w:r>
      <w:proofErr w:type="spellStart"/>
      <w:r>
        <w:rPr>
          <w:lang w:val="pt"/>
        </w:rPr>
        <w:lastRenderedPageBreak/>
        <w:t>Backhouse</w:t>
      </w:r>
      <w:proofErr w:type="spellEnd"/>
      <w:r>
        <w:rPr>
          <w:lang w:val="pt"/>
        </w:rPr>
        <w:t xml:space="preserve">, 2001), ambos se enquadram em uma  conceituação mais ampla da "integridade". </w:t>
      </w:r>
    </w:p>
    <w:p w14:paraId="6D25CC84" w14:textId="77777777" w:rsidR="0089005C" w:rsidRDefault="00095529">
      <w:pPr>
        <w:ind w:left="-5" w:right="44"/>
      </w:pPr>
      <w:r>
        <w:rPr>
          <w:lang w:val="pt"/>
        </w:rPr>
        <w:t xml:space="preserve">A ética tem sido descrita como sendo um processo, que envolve sistematizar, defender e recomendar conceitos de comportamento certo e </w:t>
      </w:r>
      <w:proofErr w:type="spellStart"/>
      <w:r>
        <w:rPr>
          <w:lang w:val="pt"/>
        </w:rPr>
        <w:t>wrong</w:t>
      </w:r>
      <w:proofErr w:type="spellEnd"/>
      <w:r>
        <w:rPr>
          <w:lang w:val="pt"/>
        </w:rPr>
        <w:t xml:space="preserve"> (</w:t>
      </w:r>
      <w:proofErr w:type="spellStart"/>
      <w:r>
        <w:rPr>
          <w:lang w:val="pt"/>
        </w:rPr>
        <w:t>Fieser</w:t>
      </w:r>
      <w:proofErr w:type="spellEnd"/>
      <w:r>
        <w:rPr>
          <w:lang w:val="pt"/>
        </w:rPr>
        <w:t xml:space="preserve">, 2006).  A pesquisa em segurança da  informação estudou a ética de muitos pontos de vista diferentes.   </w:t>
      </w:r>
      <w:proofErr w:type="spellStart"/>
      <w:r>
        <w:rPr>
          <w:lang w:val="pt"/>
        </w:rPr>
        <w:t>Gattiker</w:t>
      </w:r>
      <w:proofErr w:type="spellEnd"/>
      <w:r>
        <w:rPr>
          <w:lang w:val="pt"/>
        </w:rPr>
        <w:t xml:space="preserve"> e Kelley (1999) estudaram diferenças nas atitudes dos usuários e julgamentos  morais no que diz respeito ao comportamento ético relacionado ao computador. Cardinali (1995) sugere que a legislação estadual e federal  seja usada como  salvaguarda  contra  comportamentos antiéticos.  Em linhas semelhantes, Harrington (1996) recomenda que a aplicação de códigos e políticas, e a comunicação de sanções possam ser rapidamente desmentidas para o pessoal inadimplente.   </w:t>
      </w:r>
      <w:proofErr w:type="spellStart"/>
      <w:r>
        <w:rPr>
          <w:lang w:val="pt"/>
        </w:rPr>
        <w:t>Sipior</w:t>
      </w:r>
      <w:proofErr w:type="spellEnd"/>
      <w:r>
        <w:rPr>
          <w:lang w:val="pt"/>
        </w:rPr>
        <w:t xml:space="preserve"> et al. (2005) argumentam que o treinamento e a conscientização da segurança dos computadores  é uma forma de  se defender contra comportamentos antiéticos. Um forte argumento  foi feito na  literatura de que a gestão deve definir o tom adequado da  organização, e que deve motivar os colaboradores  (</w:t>
      </w:r>
      <w:proofErr w:type="spellStart"/>
      <w:r>
        <w:rPr>
          <w:lang w:val="pt"/>
        </w:rPr>
        <w:t>Bowen</w:t>
      </w:r>
      <w:proofErr w:type="spellEnd"/>
      <w:r>
        <w:rPr>
          <w:lang w:val="pt"/>
        </w:rPr>
        <w:t xml:space="preserve">, 2004) para fazer a coisa certa, e  ser resolvido a não fazer a coisa errada.  </w:t>
      </w:r>
    </w:p>
    <w:p w14:paraId="5E23D192" w14:textId="77777777" w:rsidR="0089005C" w:rsidRDefault="00095529">
      <w:pPr>
        <w:ind w:left="-5" w:right="44"/>
      </w:pPr>
      <w:r>
        <w:rPr>
          <w:lang w:val="pt"/>
        </w:rPr>
        <w:t xml:space="preserve">Estruturas de responsabilidade devem fornecer um meio de compreender a forma como  os  agentes responsáveis são identificados, e também: os ambientes formais e informais  em que eles  existem; as influências a que são submetidos;  a gama de  condutas abertas a eles;  a maneira como  eles significam a ocorrência de eventos;  as comunicações em que entram  , e </w:t>
      </w:r>
      <w:proofErr w:type="spellStart"/>
      <w:r>
        <w:rPr>
          <w:lang w:val="pt"/>
        </w:rPr>
        <w:t>above</w:t>
      </w:r>
      <w:proofErr w:type="spellEnd"/>
      <w:r>
        <w:rPr>
          <w:lang w:val="pt"/>
        </w:rPr>
        <w:t xml:space="preserve"> todos;  os padrões de comportamento subjacentes (</w:t>
      </w:r>
      <w:proofErr w:type="spellStart"/>
      <w:r>
        <w:rPr>
          <w:lang w:val="pt"/>
        </w:rPr>
        <w:t>Backhouse</w:t>
      </w:r>
      <w:proofErr w:type="spellEnd"/>
      <w:r>
        <w:rPr>
          <w:lang w:val="pt"/>
        </w:rPr>
        <w:t xml:space="preserve"> e </w:t>
      </w:r>
      <w:proofErr w:type="spellStart"/>
      <w:r>
        <w:rPr>
          <w:lang w:val="pt"/>
        </w:rPr>
        <w:t>Dhillon</w:t>
      </w:r>
      <w:proofErr w:type="spellEnd"/>
      <w:r>
        <w:rPr>
          <w:lang w:val="pt"/>
        </w:rPr>
        <w:t xml:space="preserve">, 1996). A responsabilidade formal   surge  em relação aos  requisitos estabelecidos nas descrições do trabalho, enquanto a responsabilidade informal  abrange a necessidade de funcionários dedicados para proteger  seus organização do local de trabalho  contra ameaças  internas e externas  (Williams, 2008). Nesse contexto, e com relação às  conotações éticas da palavra,  a integridade se refere não apenas ao comportamento ético dos colaboradores, mas também </w:t>
      </w:r>
      <w:proofErr w:type="spellStart"/>
      <w:r>
        <w:rPr>
          <w:lang w:val="pt"/>
        </w:rPr>
        <w:t>também</w:t>
      </w:r>
      <w:proofErr w:type="spellEnd"/>
      <w:r>
        <w:rPr>
          <w:lang w:val="pt"/>
        </w:rPr>
        <w:t xml:space="preserve"> ao comportamento ético dos colaboradores, mas também ao comportamento ético dos colaboradores, mas também  também ao comportamento ético dos colaboradores, mas também ao comportamento ético dos colaboradores, mas também também ao comportamento ético dos colaboradores, mas também ao comportamento ético dos colaboradores, mas também </w:t>
      </w:r>
      <w:proofErr w:type="spellStart"/>
      <w:r>
        <w:rPr>
          <w:lang w:val="pt"/>
        </w:rPr>
        <w:t>também</w:t>
      </w:r>
      <w:proofErr w:type="spellEnd"/>
      <w:r>
        <w:rPr>
          <w:lang w:val="pt"/>
        </w:rPr>
        <w:t xml:space="preserve"> ao comportamento ético  dos colaboradores,  mas   também ao  comportamento ético dos </w:t>
      </w:r>
      <w:proofErr w:type="spellStart"/>
      <w:r>
        <w:rPr>
          <w:lang w:val="pt"/>
        </w:rPr>
        <w:t>colaboradore</w:t>
      </w:r>
      <w:proofErr w:type="spellEnd"/>
      <w:r>
        <w:rPr>
          <w:lang w:val="pt"/>
        </w:rPr>
        <w:t xml:space="preserve">   às  responsabilidades que emanam de seus  papéis de trabalho e de sua  participação ativa em uma organização.   </w:t>
      </w:r>
    </w:p>
    <w:p w14:paraId="1F2BC45A" w14:textId="77777777" w:rsidR="0089005C" w:rsidRDefault="00095529">
      <w:pPr>
        <w:ind w:left="-5" w:right="44"/>
      </w:pPr>
      <w:r>
        <w:rPr>
          <w:noProof/>
          <w:lang w:val="pt"/>
        </w:rPr>
        <w:drawing>
          <wp:anchor distT="0" distB="0" distL="114300" distR="114300" simplePos="0" relativeHeight="251670528" behindDoc="0" locked="0" layoutInCell="1" allowOverlap="0" wp14:anchorId="30A7F3A7" wp14:editId="363B1BBF">
            <wp:simplePos x="0" y="0"/>
            <wp:positionH relativeFrom="page">
              <wp:posOffset>5850255</wp:posOffset>
            </wp:positionH>
            <wp:positionV relativeFrom="page">
              <wp:posOffset>1707921</wp:posOffset>
            </wp:positionV>
            <wp:extent cx="1219200" cy="726415"/>
            <wp:effectExtent l="0" t="0" r="0" b="0"/>
            <wp:wrapSquare wrapText="bothSides"/>
            <wp:docPr id="1354" name="Picture 1354"/>
            <wp:cNvGraphicFramePr/>
            <a:graphic xmlns:a="http://schemas.openxmlformats.org/drawingml/2006/main">
              <a:graphicData uri="http://schemas.openxmlformats.org/drawingml/2006/picture">
                <pic:pic xmlns:pic="http://schemas.openxmlformats.org/drawingml/2006/picture">
                  <pic:nvPicPr>
                    <pic:cNvPr id="1354" name="Picture 1354"/>
                    <pic:cNvPicPr/>
                  </pic:nvPicPr>
                  <pic:blipFill>
                    <a:blip r:embed="rId8"/>
                    <a:stretch>
                      <a:fillRect/>
                    </a:stretch>
                  </pic:blipFill>
                  <pic:spPr>
                    <a:xfrm>
                      <a:off x="0" y="0"/>
                      <a:ext cx="1219200" cy="726415"/>
                    </a:xfrm>
                    <a:prstGeom prst="rect">
                      <a:avLst/>
                    </a:prstGeom>
                  </pic:spPr>
                </pic:pic>
              </a:graphicData>
            </a:graphic>
          </wp:anchor>
        </w:drawing>
      </w:r>
      <w:r>
        <w:rPr>
          <w:lang w:val="pt"/>
        </w:rPr>
        <w:t xml:space="preserve">Em uma  definição mais técnica de integridade, Seção 3542 do Título 44 dos  EUA.  O código define a integridade como sendo a prevenção de "modificação ou destruição de  informações inadequadas", e inclui  especificamente autenticidade de </w:t>
      </w:r>
      <w:r>
        <w:rPr>
          <w:lang w:val="pt"/>
        </w:rPr>
        <w:lastRenderedPageBreak/>
        <w:t xml:space="preserve">informações e  não repúdio (von </w:t>
      </w:r>
      <w:proofErr w:type="spellStart"/>
      <w:r>
        <w:rPr>
          <w:lang w:val="pt"/>
        </w:rPr>
        <w:t>Solms</w:t>
      </w:r>
      <w:proofErr w:type="spellEnd"/>
      <w:r>
        <w:rPr>
          <w:lang w:val="pt"/>
        </w:rPr>
        <w:t xml:space="preserve"> , 2013). Nesta  última parte da definição, autenticidade e não repreensão são dois  termos de  segurança muito intimamente relacionados. Mais especificamente, a </w:t>
      </w:r>
      <w:proofErr w:type="spellStart"/>
      <w:r>
        <w:rPr>
          <w:lang w:val="pt"/>
        </w:rPr>
        <w:t>authenticity</w:t>
      </w:r>
      <w:proofErr w:type="spellEnd"/>
      <w:r>
        <w:rPr>
          <w:lang w:val="pt"/>
        </w:rPr>
        <w:t xml:space="preserve"> não garante o não repúdio, porém o não repúdio garante autenticidade. O não repúdio envolve a incapacidade  de desafiar uma determinada transação ou a comunicação entre duas partes,  o que implica que uma autenticação adequada</w:t>
      </w:r>
      <w:r>
        <w:rPr>
          <w:sz w:val="18"/>
          <w:vertAlign w:val="superscript"/>
          <w:lang w:val="pt"/>
        </w:rPr>
        <w:footnoteReference w:id="2"/>
      </w:r>
      <w:r>
        <w:rPr>
          <w:lang w:val="pt"/>
        </w:rPr>
        <w:t xml:space="preserve"> </w:t>
      </w:r>
      <w:proofErr w:type="spellStart"/>
      <w:r>
        <w:rPr>
          <w:lang w:val="pt"/>
        </w:rPr>
        <w:t>process</w:t>
      </w:r>
      <w:proofErr w:type="spellEnd"/>
      <w:r>
        <w:rPr>
          <w:lang w:val="pt"/>
        </w:rPr>
        <w:t xml:space="preserve"> tem sucesso   ocorreu em  primeira instância.  A autenticidade denota a qualidade de ser original e genuíno, e, portanto, a autenticação é o processo de verificação, para algum  nível desejado de confiança, que um  identificador reivindicado é válido e está realmente associado a um determinado item ou pessoa. </w:t>
      </w:r>
    </w:p>
    <w:p w14:paraId="6D188344" w14:textId="77777777" w:rsidR="0089005C" w:rsidRDefault="00095529">
      <w:pPr>
        <w:ind w:left="-5" w:right="44"/>
      </w:pPr>
      <w:r>
        <w:rPr>
          <w:lang w:val="pt"/>
        </w:rPr>
        <w:t xml:space="preserve">A seção  2 do  nosso  diagrama  de </w:t>
      </w:r>
      <w:proofErr w:type="spellStart"/>
      <w:r>
        <w:rPr>
          <w:lang w:val="pt"/>
        </w:rPr>
        <w:t>Venn</w:t>
      </w:r>
      <w:proofErr w:type="spellEnd"/>
      <w:r>
        <w:rPr>
          <w:lang w:val="pt"/>
        </w:rPr>
        <w:t xml:space="preserve">  está na  intersecção    de  integridade  e  disponibilidade.      Incluímos  o  elemento  expandido de   segurança da   informação  da  correção  das  especificações  como sendo  dentro  deste íon de seita. Na     primeira parte  da  definição  técnica,   a integridade  refere-se  à  garantia de  que   os dados   não serão  alterados  sem a   devida  autorização. É aí  que   a  correção  das  especificações      torna-se  relevante, pois garante  que o  sistema esteja apto  ou finalidade, de acordo com    os  requisitos  estabelecidos   pelos  vários  stakeholders,   como proprietários  e  usuários.  Além  de seus aspectos mais   técnicos, onde  o raciocínio  lógico  e  métodos matemáticos  formais   são aplicados  para  validar  e  verificar  o  desenho do  sistema, a  correção   de  especificações  também  demonstra  elementos  de um   processo  sociotécnico. Refere-se à    definição    básica  de  'integridade' como sendo  "integralidade", que  foi  apresentada  no    início  da  subseção  atual, e   As especificações  do </w:t>
      </w:r>
      <w:proofErr w:type="spellStart"/>
      <w:r>
        <w:rPr>
          <w:lang w:val="pt"/>
        </w:rPr>
        <w:t>correct</w:t>
      </w:r>
      <w:proofErr w:type="spellEnd"/>
      <w:r>
        <w:rPr>
          <w:lang w:val="pt"/>
        </w:rPr>
        <w:t xml:space="preserve">  estabelecem  as  bases  para   um controle de   acesso robusto  e  coerente, que  está diretamente  relacionado com  a    disponibilidade  de  dados. A forma como    o  controle de   acesso  aos  dados é estruturado  e  aplicado  afeta  a  usabilidade  de  um sistema e , às vezes , this cria  uma tensão  entre  segurança  e  usabilidade, que  tem  sido  discutida  na   literatura  de  segurança em   várias  ocasiões  (</w:t>
      </w:r>
      <w:proofErr w:type="spellStart"/>
      <w:r>
        <w:rPr>
          <w:lang w:val="pt"/>
        </w:rPr>
        <w:t>Dhamija</w:t>
      </w:r>
      <w:proofErr w:type="spellEnd"/>
      <w:r>
        <w:rPr>
          <w:lang w:val="pt"/>
        </w:rPr>
        <w:t xml:space="preserve">  e  </w:t>
      </w:r>
      <w:proofErr w:type="spellStart"/>
      <w:r>
        <w:rPr>
          <w:lang w:val="pt"/>
        </w:rPr>
        <w:t>Dusseault</w:t>
      </w:r>
      <w:proofErr w:type="spellEnd"/>
      <w:r>
        <w:rPr>
          <w:lang w:val="pt"/>
        </w:rPr>
        <w:t xml:space="preserve">, 2008;  </w:t>
      </w:r>
      <w:proofErr w:type="spellStart"/>
      <w:r>
        <w:rPr>
          <w:lang w:val="pt"/>
        </w:rPr>
        <w:t>Choobineh</w:t>
      </w:r>
      <w:proofErr w:type="spellEnd"/>
      <w:r>
        <w:rPr>
          <w:lang w:val="pt"/>
        </w:rPr>
        <w:t xml:space="preserve">  et al., 2007).  Devido  à  sua  riqueza   e  significância  no   desenvolvimento  de  informações  systems, a  correção  das  especificações  não é apenas  uma  questão  que está relacionada  à  integridade, mas  sim  ela cai   no  cruzamento  entre  integridade  e  disponibilidade  (ver  Fig. 1, área  2). A subseção final   discutirá    o  conceito  de  disponibilidade  e  as  interseções restantes  entre  os  outros princípios  da tríade  da  CIA.             </w:t>
      </w:r>
    </w:p>
    <w:p w14:paraId="6070A7FC" w14:textId="77777777" w:rsidR="0089005C" w:rsidRDefault="00095529">
      <w:pPr>
        <w:pStyle w:val="Ttulo1"/>
        <w:spacing w:after="185"/>
        <w:ind w:left="-5"/>
      </w:pPr>
      <w:r>
        <w:rPr>
          <w:lang w:val="pt"/>
        </w:rPr>
        <w:lastRenderedPageBreak/>
        <w:t>Disponibilidade</w:t>
      </w:r>
    </w:p>
    <w:p w14:paraId="5CE9581F" w14:textId="77777777" w:rsidR="0089005C" w:rsidRDefault="00095529">
      <w:pPr>
        <w:ind w:left="-5" w:right="44"/>
      </w:pPr>
      <w:r>
        <w:rPr>
          <w:noProof/>
          <w:lang w:val="pt"/>
        </w:rPr>
        <w:drawing>
          <wp:anchor distT="0" distB="0" distL="114300" distR="114300" simplePos="0" relativeHeight="251671552" behindDoc="0" locked="0" layoutInCell="1" allowOverlap="0" wp14:anchorId="14A42C35" wp14:editId="79409B1B">
            <wp:simplePos x="0" y="0"/>
            <wp:positionH relativeFrom="page">
              <wp:posOffset>838200</wp:posOffset>
            </wp:positionH>
            <wp:positionV relativeFrom="page">
              <wp:posOffset>1707921</wp:posOffset>
            </wp:positionV>
            <wp:extent cx="1219200" cy="726415"/>
            <wp:effectExtent l="0" t="0" r="0" b="0"/>
            <wp:wrapSquare wrapText="bothSides"/>
            <wp:docPr id="1438" name="Picture 1438"/>
            <wp:cNvGraphicFramePr/>
            <a:graphic xmlns:a="http://schemas.openxmlformats.org/drawingml/2006/main">
              <a:graphicData uri="http://schemas.openxmlformats.org/drawingml/2006/picture">
                <pic:pic xmlns:pic="http://schemas.openxmlformats.org/drawingml/2006/picture">
                  <pic:nvPicPr>
                    <pic:cNvPr id="1438" name="Picture 1438"/>
                    <pic:cNvPicPr/>
                  </pic:nvPicPr>
                  <pic:blipFill>
                    <a:blip r:embed="rId8"/>
                    <a:stretch>
                      <a:fillRect/>
                    </a:stretch>
                  </pic:blipFill>
                  <pic:spPr>
                    <a:xfrm>
                      <a:off x="0" y="0"/>
                      <a:ext cx="1219200" cy="726415"/>
                    </a:xfrm>
                    <a:prstGeom prst="rect">
                      <a:avLst/>
                    </a:prstGeom>
                  </pic:spPr>
                </pic:pic>
              </a:graphicData>
            </a:graphic>
          </wp:anchor>
        </w:drawing>
      </w:r>
      <w:r>
        <w:rPr>
          <w:lang w:val="pt"/>
        </w:rPr>
        <w:t xml:space="preserve">A palavra "disponibilidade" vem do  </w:t>
      </w:r>
      <w:r>
        <w:rPr>
          <w:i/>
          <w:lang w:val="pt"/>
        </w:rPr>
        <w:t xml:space="preserve"> latim </w:t>
      </w:r>
      <w:proofErr w:type="spellStart"/>
      <w:r>
        <w:rPr>
          <w:i/>
          <w:lang w:val="pt"/>
        </w:rPr>
        <w:t>valere</w:t>
      </w:r>
      <w:proofErr w:type="spellEnd"/>
      <w:r>
        <w:rPr>
          <w:lang w:val="pt"/>
        </w:rPr>
        <w:t xml:space="preserve">, que significa "valer a pena". Na  segurança da informação, a disponibilidade do  termo significa "acesso e  uso oportuno e confiável de informações" (44 USC Sec. 3542). Isso implica os aspectos  de acesso que foram  mencionados  na  subseção anterior deste artigo, e que também serão cobertos na  próxima subseção, sob   gestão de identidade, bem como aspectos que dizem respeito à  usabilidade dos sistemas. Do ponto de vista da  engenharia de usabilidade, um sistema é considerado utilizável quando é eficaz e eficiente, e seus usuários geralmente estão  satisfeitos com seu desempenho de tarefas específicas dentro de  um determinado ambiente (Weir et al., 2009). No  caso do software de segurança, </w:t>
      </w:r>
      <w:proofErr w:type="spellStart"/>
      <w:r>
        <w:rPr>
          <w:lang w:val="pt"/>
        </w:rPr>
        <w:t>Padayachee</w:t>
      </w:r>
      <w:proofErr w:type="spellEnd"/>
      <w:r>
        <w:rPr>
          <w:lang w:val="pt"/>
        </w:rPr>
        <w:t xml:space="preserve"> (2012) cita </w:t>
      </w:r>
      <w:proofErr w:type="spellStart"/>
      <w:r>
        <w:rPr>
          <w:lang w:val="pt"/>
        </w:rPr>
        <w:t>Whitten</w:t>
      </w:r>
      <w:proofErr w:type="spellEnd"/>
      <w:r>
        <w:rPr>
          <w:lang w:val="pt"/>
        </w:rPr>
        <w:t xml:space="preserve"> e </w:t>
      </w:r>
      <w:proofErr w:type="spellStart"/>
      <w:r>
        <w:rPr>
          <w:lang w:val="pt"/>
        </w:rPr>
        <w:t>Tygar</w:t>
      </w:r>
      <w:proofErr w:type="spellEnd"/>
      <w:r>
        <w:rPr>
          <w:lang w:val="pt"/>
        </w:rPr>
        <w:t xml:space="preserve"> (1999) ao notar que a usabilidade também está  associada à  capacidade de evitar erros  perigosos  e      tornar os usuários conscientes das  tarefas que precisam  realizar.  </w:t>
      </w:r>
    </w:p>
    <w:p w14:paraId="7EE6747A" w14:textId="77777777" w:rsidR="0089005C" w:rsidRDefault="00095529">
      <w:pPr>
        <w:ind w:left="-5" w:right="44"/>
      </w:pPr>
      <w:r>
        <w:rPr>
          <w:lang w:val="pt"/>
        </w:rPr>
        <w:t xml:space="preserve">As </w:t>
      </w:r>
      <w:proofErr w:type="spellStart"/>
      <w:r>
        <w:rPr>
          <w:lang w:val="pt"/>
        </w:rPr>
        <w:t>relaçõesentre</w:t>
      </w:r>
      <w:proofErr w:type="spellEnd"/>
      <w:r>
        <w:rPr>
          <w:lang w:val="pt"/>
        </w:rPr>
        <w:t xml:space="preserve">  usabilidade e segurança podem ser melhor descritas como extenuantes</w:t>
      </w:r>
      <w:r>
        <w:rPr>
          <w:sz w:val="18"/>
          <w:vertAlign w:val="superscript"/>
          <w:lang w:val="pt"/>
        </w:rPr>
        <w:footnoteReference w:id="3"/>
      </w:r>
      <w:r>
        <w:rPr>
          <w:lang w:val="pt"/>
        </w:rPr>
        <w:t>. A  literatura de segurança  tem discutido extensivamente o conflito entre segurança e usabilidade em relação  a diferentes aspectos  da autenticação,  como  mecanismos de senha  (Weir, 2009),  e soluções de  autenticação de fator único  e dois fatores (</w:t>
      </w:r>
      <w:proofErr w:type="spellStart"/>
      <w:r>
        <w:rPr>
          <w:lang w:val="pt"/>
        </w:rPr>
        <w:t>Gunson</w:t>
      </w:r>
      <w:proofErr w:type="spellEnd"/>
      <w:r>
        <w:rPr>
          <w:lang w:val="pt"/>
        </w:rPr>
        <w:t xml:space="preserve"> et al., 2011).  Pesquisas empíricas  indicam que os usuários normalmente escolhem usabilidade e conveniência em vez de segurança (Weir, 2009;  </w:t>
      </w:r>
      <w:proofErr w:type="spellStart"/>
      <w:r>
        <w:rPr>
          <w:lang w:val="pt"/>
        </w:rPr>
        <w:t>Gunson</w:t>
      </w:r>
      <w:proofErr w:type="spellEnd"/>
      <w:r>
        <w:rPr>
          <w:lang w:val="pt"/>
        </w:rPr>
        <w:t xml:space="preserve"> et al., 2011). No entanto, apesar de várias chamadas para enfrentar este conflito,  existem muito poucas abordagens teóricas, que oferecem uma    abordagem equilibrada para o desenvolvimento da segurança  e usabilidade (</w:t>
      </w:r>
      <w:proofErr w:type="spellStart"/>
      <w:r>
        <w:rPr>
          <w:lang w:val="pt"/>
        </w:rPr>
        <w:t>Dhillon</w:t>
      </w:r>
      <w:proofErr w:type="spellEnd"/>
      <w:r>
        <w:rPr>
          <w:lang w:val="pt"/>
        </w:rPr>
        <w:t xml:space="preserve"> et al., 2012).  Em última análise, a usabilidade está ligada à  produtividade através da segurança. Um investimento pesado  na  segurança da informação pode resultar em menor usabilidade e,  portanto,  uma perda de produtividade, que pode, por sua vez, ter uma efeito adverso  sobre o negócio (</w:t>
      </w:r>
      <w:proofErr w:type="spellStart"/>
      <w:r>
        <w:rPr>
          <w:lang w:val="pt"/>
        </w:rPr>
        <w:t>Cowan</w:t>
      </w:r>
      <w:proofErr w:type="spellEnd"/>
      <w:r>
        <w:rPr>
          <w:lang w:val="pt"/>
        </w:rPr>
        <w:t xml:space="preserve">, 2012). Como </w:t>
      </w:r>
      <w:proofErr w:type="spellStart"/>
      <w:r>
        <w:rPr>
          <w:lang w:val="pt"/>
        </w:rPr>
        <w:t>cowan</w:t>
      </w:r>
      <w:proofErr w:type="spellEnd"/>
      <w:r>
        <w:rPr>
          <w:lang w:val="pt"/>
        </w:rPr>
        <w:t xml:space="preserve"> observa (2012), a usabilidade é uma batalha entre segurança e produtividade, já  que  as medidas </w:t>
      </w:r>
      <w:proofErr w:type="spellStart"/>
      <w:r>
        <w:rPr>
          <w:lang w:val="pt"/>
        </w:rPr>
        <w:t>security</w:t>
      </w:r>
      <w:proofErr w:type="spellEnd"/>
      <w:r>
        <w:rPr>
          <w:lang w:val="pt"/>
        </w:rPr>
        <w:t xml:space="preserve"> não  podem  ser tão restritivas que  afetam os processos de negócios e  o fluxo de informações, nem muito relaxado,  causando assim danos. </w:t>
      </w:r>
    </w:p>
    <w:p w14:paraId="6A0F56A4" w14:textId="77777777" w:rsidR="0089005C" w:rsidRDefault="00095529">
      <w:pPr>
        <w:ind w:left="-5" w:right="44"/>
      </w:pPr>
      <w:r>
        <w:rPr>
          <w:lang w:val="pt"/>
        </w:rPr>
        <w:t xml:space="preserve">A seção 3 do nosso diagrama de </w:t>
      </w:r>
      <w:proofErr w:type="spellStart"/>
      <w:r>
        <w:rPr>
          <w:lang w:val="pt"/>
        </w:rPr>
        <w:t>Venn</w:t>
      </w:r>
      <w:proofErr w:type="spellEnd"/>
      <w:r>
        <w:rPr>
          <w:lang w:val="pt"/>
        </w:rPr>
        <w:t xml:space="preserve"> está na intersecção  de disponibilidade e confidencialidade. Para este </w:t>
      </w:r>
      <w:proofErr w:type="spellStart"/>
      <w:r>
        <w:rPr>
          <w:lang w:val="pt"/>
        </w:rPr>
        <w:t>intersetorialn</w:t>
      </w:r>
      <w:proofErr w:type="spellEnd"/>
      <w:r>
        <w:rPr>
          <w:lang w:val="pt"/>
        </w:rPr>
        <w:t xml:space="preserve">  não classificamos nenhum dos termos de extensão da CIA  como sendo dentro da seção.   Acreditamos  que isso se deve principalmente à  ênfase na manutenção da integridade dos  dados e informações que residem no  sistema.  No entanto,  acreditamos que esta é uma área madura para </w:t>
      </w:r>
      <w:r>
        <w:rPr>
          <w:lang w:val="pt"/>
        </w:rPr>
        <w:lastRenderedPageBreak/>
        <w:t xml:space="preserve">pesquisa nos  próximos anos, por conta do aumento das tecnologias móveis  e das preocupações com a privacidade.   </w:t>
      </w:r>
    </w:p>
    <w:p w14:paraId="697BC830" w14:textId="77777777" w:rsidR="0089005C" w:rsidRDefault="00095529">
      <w:pPr>
        <w:ind w:left="-5" w:right="44"/>
      </w:pPr>
      <w:r>
        <w:rPr>
          <w:noProof/>
          <w:lang w:val="pt"/>
        </w:rPr>
        <w:drawing>
          <wp:anchor distT="0" distB="0" distL="114300" distR="114300" simplePos="0" relativeHeight="251672576" behindDoc="0" locked="0" layoutInCell="1" allowOverlap="0" wp14:anchorId="3E8B614E" wp14:editId="0420C8FA">
            <wp:simplePos x="0" y="0"/>
            <wp:positionH relativeFrom="page">
              <wp:posOffset>5850255</wp:posOffset>
            </wp:positionH>
            <wp:positionV relativeFrom="page">
              <wp:posOffset>1707921</wp:posOffset>
            </wp:positionV>
            <wp:extent cx="1219200" cy="726415"/>
            <wp:effectExtent l="0" t="0" r="0" b="0"/>
            <wp:wrapSquare wrapText="bothSides"/>
            <wp:docPr id="1530" name="Picture 1530"/>
            <wp:cNvGraphicFramePr/>
            <a:graphic xmlns:a="http://schemas.openxmlformats.org/drawingml/2006/main">
              <a:graphicData uri="http://schemas.openxmlformats.org/drawingml/2006/picture">
                <pic:pic xmlns:pic="http://schemas.openxmlformats.org/drawingml/2006/picture">
                  <pic:nvPicPr>
                    <pic:cNvPr id="1530" name="Picture 1530"/>
                    <pic:cNvPicPr/>
                  </pic:nvPicPr>
                  <pic:blipFill>
                    <a:blip r:embed="rId8"/>
                    <a:stretch>
                      <a:fillRect/>
                    </a:stretch>
                  </pic:blipFill>
                  <pic:spPr>
                    <a:xfrm>
                      <a:off x="0" y="0"/>
                      <a:ext cx="1219200" cy="726415"/>
                    </a:xfrm>
                    <a:prstGeom prst="rect">
                      <a:avLst/>
                    </a:prstGeom>
                  </pic:spPr>
                </pic:pic>
              </a:graphicData>
            </a:graphic>
          </wp:anchor>
        </w:drawing>
      </w:r>
      <w:r>
        <w:rPr>
          <w:lang w:val="pt"/>
        </w:rPr>
        <w:t>A evolução dos sistemas de informação resultou  em uma amálgama de várias tecnologias  para atender às demandas  das organizações globais. Essa expansão da complexidade dentro dos  ambientes tecnológicos requer controles mais fortes de gerenciamento  de identidade (</w:t>
      </w:r>
      <w:proofErr w:type="spellStart"/>
      <w:r>
        <w:rPr>
          <w:lang w:val="pt"/>
        </w:rPr>
        <w:t>Gopalakrishman</w:t>
      </w:r>
      <w:proofErr w:type="spellEnd"/>
      <w:r>
        <w:rPr>
          <w:lang w:val="pt"/>
        </w:rPr>
        <w:t>, 2009).     Consideramos que a gestão  da identidade está no centro da intersecção 4, e  igualmente  influenciada por todos os três princípios da CIA.  O  gerenciamento de identidade tem sido amplamente definido como sendo o gerenciamento de identidades digitais  ou dados   pessoais de identificação (</w:t>
      </w:r>
      <w:proofErr w:type="spellStart"/>
      <w:r>
        <w:rPr>
          <w:lang w:val="pt"/>
        </w:rPr>
        <w:t>Halperin</w:t>
      </w:r>
      <w:proofErr w:type="spellEnd"/>
      <w:r>
        <w:rPr>
          <w:lang w:val="pt"/>
        </w:rPr>
        <w:t xml:space="preserve"> e </w:t>
      </w:r>
      <w:proofErr w:type="spellStart"/>
      <w:r>
        <w:rPr>
          <w:lang w:val="pt"/>
        </w:rPr>
        <w:t>Backhouse</w:t>
      </w:r>
      <w:proofErr w:type="spellEnd"/>
      <w:r>
        <w:rPr>
          <w:lang w:val="pt"/>
        </w:rPr>
        <w:t>, 2008).   O   gerenciamento de identidade também foi identificado como um dos principais componentes para garantir privacidade e segurança na nuvem  (</w:t>
      </w:r>
      <w:proofErr w:type="spellStart"/>
      <w:r>
        <w:rPr>
          <w:lang w:val="pt"/>
        </w:rPr>
        <w:t>Coss</w:t>
      </w:r>
      <w:proofErr w:type="spellEnd"/>
      <w:r>
        <w:rPr>
          <w:lang w:val="pt"/>
        </w:rPr>
        <w:t xml:space="preserve">, 2013).  Historicamente,  a gestão da identidade tem sido vista através de uma  lente técnica com um </w:t>
      </w:r>
      <w:proofErr w:type="spellStart"/>
      <w:r>
        <w:rPr>
          <w:lang w:val="pt"/>
        </w:rPr>
        <w:t>focus</w:t>
      </w:r>
      <w:proofErr w:type="spellEnd"/>
      <w:r>
        <w:rPr>
          <w:lang w:val="pt"/>
        </w:rPr>
        <w:t xml:space="preserve"> sobre confidencialidade e disponibilidade através de sua ênfase na autenticação  e protocolos de autorização (</w:t>
      </w:r>
      <w:proofErr w:type="spellStart"/>
      <w:r>
        <w:rPr>
          <w:lang w:val="pt"/>
        </w:rPr>
        <w:t>Sandhu</w:t>
      </w:r>
      <w:proofErr w:type="spellEnd"/>
      <w:r>
        <w:rPr>
          <w:lang w:val="pt"/>
        </w:rPr>
        <w:t xml:space="preserve"> e </w:t>
      </w:r>
      <w:proofErr w:type="spellStart"/>
      <w:r>
        <w:rPr>
          <w:lang w:val="pt"/>
        </w:rPr>
        <w:t>Buell</w:t>
      </w:r>
      <w:proofErr w:type="spellEnd"/>
      <w:r>
        <w:rPr>
          <w:lang w:val="pt"/>
        </w:rPr>
        <w:t xml:space="preserve">, 2003). Pesquisadores do </w:t>
      </w:r>
      <w:proofErr w:type="gramStart"/>
      <w:r>
        <w:rPr>
          <w:lang w:val="pt"/>
        </w:rPr>
        <w:t>IS  sugeriram</w:t>
      </w:r>
      <w:proofErr w:type="gramEnd"/>
      <w:r>
        <w:rPr>
          <w:lang w:val="pt"/>
        </w:rPr>
        <w:t xml:space="preserve">  que  controles técnicos,  como assinaturas digitais  para não repúdio,  estratos de criptografia para criptografar bancos de dados e transferências de dados  ou  sistemas  federados de gestão de identidade, são as melhores soluções para gerenciar identidades individuais  (Yan, </w:t>
      </w:r>
      <w:proofErr w:type="spellStart"/>
      <w:r>
        <w:rPr>
          <w:lang w:val="pt"/>
        </w:rPr>
        <w:t>Rong</w:t>
      </w:r>
      <w:proofErr w:type="spellEnd"/>
      <w:r>
        <w:rPr>
          <w:lang w:val="pt"/>
        </w:rPr>
        <w:t xml:space="preserve">, Zhao, 2009; Jensen, et al. 2009). Embora essa área continue  a representar muitos desafios para  arquitetos e designers de </w:t>
      </w:r>
      <w:proofErr w:type="spellStart"/>
      <w:r>
        <w:rPr>
          <w:lang w:val="pt"/>
        </w:rPr>
        <w:t>securidade</w:t>
      </w:r>
      <w:proofErr w:type="spellEnd"/>
      <w:r>
        <w:rPr>
          <w:lang w:val="pt"/>
        </w:rPr>
        <w:t xml:space="preserve">,  houve um  foco renovado na gestão  da identidade, pois está relacionado  para a proteção e integridade das informações de  identificação pessoal de uma perspectiva mais formal e informal. </w:t>
      </w:r>
    </w:p>
    <w:p w14:paraId="4CBBC7E2" w14:textId="77777777" w:rsidR="0089005C" w:rsidRDefault="00095529">
      <w:pPr>
        <w:ind w:left="-5" w:right="44"/>
      </w:pPr>
      <w:r>
        <w:rPr>
          <w:lang w:val="pt"/>
        </w:rPr>
        <w:t>Controles  formais são necessários para proteger e garantir todo o ciclo de vida das identidades dos  usuários e também suas  credenciais e direitos associados (</w:t>
      </w:r>
      <w:proofErr w:type="spellStart"/>
      <w:r>
        <w:rPr>
          <w:lang w:val="pt"/>
        </w:rPr>
        <w:t>Gopalakrishman</w:t>
      </w:r>
      <w:proofErr w:type="spellEnd"/>
      <w:r>
        <w:rPr>
          <w:lang w:val="pt"/>
        </w:rPr>
        <w:t xml:space="preserve">, 2009).   Sem melhores controles   para o gerenciamento de   identidades,    continuaremos lutando com questões como roubo de identidade, spam, </w:t>
      </w:r>
      <w:proofErr w:type="spellStart"/>
      <w:r>
        <w:rPr>
          <w:lang w:val="pt"/>
        </w:rPr>
        <w:t>malwa</w:t>
      </w:r>
      <w:proofErr w:type="spellEnd"/>
      <w:r>
        <w:rPr>
          <w:lang w:val="pt"/>
        </w:rPr>
        <w:t xml:space="preserve"> </w:t>
      </w:r>
      <w:proofErr w:type="spellStart"/>
      <w:r>
        <w:rPr>
          <w:lang w:val="pt"/>
        </w:rPr>
        <w:t>re</w:t>
      </w:r>
      <w:proofErr w:type="spellEnd"/>
      <w:r>
        <w:rPr>
          <w:lang w:val="pt"/>
        </w:rPr>
        <w:t xml:space="preserve"> e fraude cibernética, e  também lutaremos contra questões como  roubo de identidade, spam, malware e fraude  cibernética, e também  vamos ser incapaz de garantir aos usuários individuais  que sua privacidade está protegida (</w:t>
      </w:r>
      <w:proofErr w:type="spellStart"/>
      <w:r>
        <w:rPr>
          <w:lang w:val="pt"/>
        </w:rPr>
        <w:t>Cavoukian</w:t>
      </w:r>
      <w:proofErr w:type="spellEnd"/>
      <w:r>
        <w:rPr>
          <w:lang w:val="pt"/>
        </w:rPr>
        <w:t xml:space="preserve">, 2009).  </w:t>
      </w:r>
      <w:proofErr w:type="spellStart"/>
      <w:r>
        <w:rPr>
          <w:lang w:val="pt"/>
        </w:rPr>
        <w:t>Angin</w:t>
      </w:r>
      <w:proofErr w:type="spellEnd"/>
      <w:r>
        <w:rPr>
          <w:lang w:val="pt"/>
        </w:rPr>
        <w:t xml:space="preserve"> et al. (2010) argumentam que há uma forte necessidade  de um  sistema  eficiente e eficaz de preservação da privacidade para gerenciar informações de identificação de pessoas. </w:t>
      </w:r>
    </w:p>
    <w:p w14:paraId="5AEFF8E6" w14:textId="77777777" w:rsidR="0089005C" w:rsidRDefault="00095529">
      <w:pPr>
        <w:spacing w:after="356"/>
        <w:ind w:left="-5" w:right="44"/>
      </w:pPr>
      <w:proofErr w:type="spellStart"/>
      <w:r>
        <w:rPr>
          <w:lang w:val="pt"/>
        </w:rPr>
        <w:t>Dinev</w:t>
      </w:r>
      <w:proofErr w:type="spellEnd"/>
      <w:r>
        <w:rPr>
          <w:lang w:val="pt"/>
        </w:rPr>
        <w:t xml:space="preserve"> et al. (2013) compartilham esse sentimento e sugerem que "quando a  confidencialidade é garantida pela prevenção do acesso não autorizado, os consumidores podem perceber níveis mais elevados de controle sobre suas  informações pessoais".      Consideramos a  privacidade ligada  ao núcleo da segurança e da tríade da CIA, através de  aspectos dos controles de  gestão  de  identidade.  </w:t>
      </w:r>
      <w:proofErr w:type="spellStart"/>
      <w:r>
        <w:rPr>
          <w:lang w:val="pt"/>
        </w:rPr>
        <w:lastRenderedPageBreak/>
        <w:t>Halperin</w:t>
      </w:r>
      <w:proofErr w:type="spellEnd"/>
      <w:r>
        <w:rPr>
          <w:lang w:val="pt"/>
        </w:rPr>
        <w:t xml:space="preserve"> e </w:t>
      </w:r>
      <w:proofErr w:type="spellStart"/>
      <w:r>
        <w:rPr>
          <w:lang w:val="pt"/>
        </w:rPr>
        <w:t>Backhouse</w:t>
      </w:r>
      <w:proofErr w:type="spellEnd"/>
      <w:r>
        <w:rPr>
          <w:lang w:val="pt"/>
        </w:rPr>
        <w:t xml:space="preserve"> (2008) afirmam que as relações entre segurança e privacidade estão   na vanguarda do  discurso </w:t>
      </w:r>
      <w:proofErr w:type="spellStart"/>
      <w:r>
        <w:rPr>
          <w:lang w:val="pt"/>
        </w:rPr>
        <w:t>identiteiro</w:t>
      </w:r>
      <w:proofErr w:type="spellEnd"/>
      <w:r>
        <w:rPr>
          <w:lang w:val="pt"/>
        </w:rPr>
        <w:t xml:space="preserve"> na  sociedade de informação emergente.   Privacidade e segurança estão nos  lados opostos  da escala e,  portanto, a presença de mais de um, implica menos do   outro. Por exemplo, em  nome do combate ao terrorismo ou à segurança cibernética, os governos coletam informações pessoais sobre as atividades privadas de seus cidadãos. Quando  o acesso não autorizado é dado a indivíduos inescrupulosos, a integridade de todo o sistema está em risco, não apenas para a própria  empresa, mas para a própria empresa. também para todos os  seus clientes que têm seu  </w:t>
      </w:r>
      <w:proofErr w:type="spellStart"/>
      <w:r>
        <w:rPr>
          <w:lang w:val="pt"/>
        </w:rPr>
        <w:t>information</w:t>
      </w:r>
      <w:proofErr w:type="spellEnd"/>
      <w:r>
        <w:rPr>
          <w:lang w:val="pt"/>
        </w:rPr>
        <w:t xml:space="preserve"> pessoal armazenado dentro do sistema  comprometido.  </w:t>
      </w:r>
    </w:p>
    <w:p w14:paraId="432C7A8D" w14:textId="77777777" w:rsidR="0089005C" w:rsidRDefault="00095529">
      <w:pPr>
        <w:pStyle w:val="Ttulo1"/>
        <w:ind w:left="-5"/>
      </w:pPr>
      <w:r>
        <w:rPr>
          <w:lang w:val="pt"/>
        </w:rPr>
        <w:t>Conclusão</w:t>
      </w:r>
    </w:p>
    <w:p w14:paraId="1C665BC0" w14:textId="77777777" w:rsidR="0089005C" w:rsidRDefault="00095529">
      <w:pPr>
        <w:ind w:left="-5" w:right="44"/>
      </w:pPr>
      <w:r>
        <w:rPr>
          <w:noProof/>
          <w:lang w:val="pt"/>
        </w:rPr>
        <w:drawing>
          <wp:anchor distT="0" distB="0" distL="114300" distR="114300" simplePos="0" relativeHeight="251673600" behindDoc="0" locked="0" layoutInCell="1" allowOverlap="0" wp14:anchorId="78CAD7EA" wp14:editId="18CA1596">
            <wp:simplePos x="0" y="0"/>
            <wp:positionH relativeFrom="page">
              <wp:posOffset>838200</wp:posOffset>
            </wp:positionH>
            <wp:positionV relativeFrom="page">
              <wp:posOffset>1707921</wp:posOffset>
            </wp:positionV>
            <wp:extent cx="1219200" cy="726415"/>
            <wp:effectExtent l="0" t="0" r="0" b="0"/>
            <wp:wrapSquare wrapText="bothSides"/>
            <wp:docPr id="1607" name="Picture 1607"/>
            <wp:cNvGraphicFramePr/>
            <a:graphic xmlns:a="http://schemas.openxmlformats.org/drawingml/2006/main">
              <a:graphicData uri="http://schemas.openxmlformats.org/drawingml/2006/picture">
                <pic:pic xmlns:pic="http://schemas.openxmlformats.org/drawingml/2006/picture">
                  <pic:nvPicPr>
                    <pic:cNvPr id="1607" name="Picture 1607"/>
                    <pic:cNvPicPr/>
                  </pic:nvPicPr>
                  <pic:blipFill>
                    <a:blip r:embed="rId8"/>
                    <a:stretch>
                      <a:fillRect/>
                    </a:stretch>
                  </pic:blipFill>
                  <pic:spPr>
                    <a:xfrm>
                      <a:off x="0" y="0"/>
                      <a:ext cx="1219200" cy="726415"/>
                    </a:xfrm>
                    <a:prstGeom prst="rect">
                      <a:avLst/>
                    </a:prstGeom>
                  </pic:spPr>
                </pic:pic>
              </a:graphicData>
            </a:graphic>
          </wp:anchor>
        </w:drawing>
      </w:r>
      <w:r>
        <w:rPr>
          <w:lang w:val="pt"/>
        </w:rPr>
        <w:t xml:space="preserve">Este artigo  revisou    a  concepção  e  o  uso da tríade  da CIA   a partir de duas abordagens, aparentemente  fragmentadas, para a  segurança  da informação.  Em primeiro lugar,        analisamos  a  forma como os   praticantes  têm  sido </w:t>
      </w:r>
      <w:proofErr w:type="spellStart"/>
      <w:r>
        <w:rPr>
          <w:lang w:val="pt"/>
        </w:rPr>
        <w:t>onsistently</w:t>
      </w:r>
      <w:proofErr w:type="spellEnd"/>
      <w:r>
        <w:rPr>
          <w:lang w:val="pt"/>
        </w:rPr>
        <w:t xml:space="preserve">  retratando  a  tríade  como um   ponto de  referência único  na   segurança da informação.     Em segundo lugar, examinamos    como a  pesquisa  acadêmica em segurança  de   sistemas de informação  sugeriu    várias extensões sociotécnicas    à tríade  original da CIA,   a fim de   </w:t>
      </w:r>
      <w:proofErr w:type="spellStart"/>
      <w:r>
        <w:rPr>
          <w:lang w:val="pt"/>
        </w:rPr>
        <w:t>adicionarress</w:t>
      </w:r>
      <w:proofErr w:type="spellEnd"/>
      <w:r>
        <w:rPr>
          <w:lang w:val="pt"/>
        </w:rPr>
        <w:t xml:space="preserve">  o     escopo  limitado  de  controles técnicos.    Nosso  objetivo  era    fornecer  uma   explicação  plausível sobre  por que  os profissionais de  segurança  ignoraram  em grande parte    essas  extensões  e  continuam a  dar  grande  importância  na   chave   componentes  da  própria tríade  da   CIA.  Para   finalizar, apresentamos    uma redefinição  da  tríade  de  uma forma  que  essencialmente incorpora   todas as      diferentes extensões  sociotécnicas, e     assim,  concilia  os  dois  pontos de vista. Um olhar  mais atento  aos       principais currículos  de certificação profissional   e  standards de  prática  em segurança  indica  que os profissionais não refutaram  a  utilidade  e   valor  da   perspectiva   acadêmica .  Por outro lado,   eles usam a  tríade  sob  um  significado  expandido, que  vai  além dos aspectos     estritamente  técnicos      da </w:t>
      </w:r>
      <w:proofErr w:type="spellStart"/>
      <w:r>
        <w:rPr>
          <w:lang w:val="pt"/>
        </w:rPr>
        <w:t>alização</w:t>
      </w:r>
      <w:proofErr w:type="spellEnd"/>
      <w:r>
        <w:rPr>
          <w:lang w:val="pt"/>
        </w:rPr>
        <w:t xml:space="preserve">  conceitual original   da  CIA.  Apesar  da  defasagem  no   alinhamento  de  diferentes  abordagens,   parece    haver  um  diálogo   contínuo pelo qual  a pesquisa  acadêmica  informa padrões  de  prática,  enquanto  normas  e  insights de praticantes informam  a  visão  dos  estudiosos  de   segurança.   Ao  longo  de  mais de   40 anos  de  história, a tríade  da CIA     passou por  um processo tranquilo    de  reinvenção  e  reconfiguração,   a fim de   acomodar  o  crescimento  exponencial   da  tecnologia da   informação  e  das  mudanças significativas  de pontos de vista em   relação à  segurança  – evoluindo  do  foco  inicial, passando pela  mudança  de  dados  de   informações, e  ultimamente     à segurança  cibernética.    </w:t>
      </w:r>
    </w:p>
    <w:p w14:paraId="1DDA9724" w14:textId="77777777" w:rsidR="0089005C" w:rsidRDefault="00095529">
      <w:pPr>
        <w:spacing w:after="356"/>
        <w:ind w:left="-5" w:right="44"/>
      </w:pPr>
      <w:r>
        <w:rPr>
          <w:lang w:val="pt"/>
        </w:rPr>
        <w:lastRenderedPageBreak/>
        <w:t xml:space="preserve">Ao longo de nossa análise notamos  uma falta de interesse de  pesquisa na  área intersetorialmente pela disponibilidade e confidencialidade. Parece que a maioria dos  conceitos de expansão da CIA  estão focados apenas na proteção da integridade dos dados que residem em um sistema.   Por conta do aumento  do uso de tecnologias móveis, combinado com a crescente preocupação  com a privacidade,  acreditamos que em futuras expansões da tríade da CIA  que o  a intersecção entre disponibilidade e confidencialidade oferecerá  uma agenda mais elegante para  os pesquisadores de segurança da informação  estudarem mais.  Um caminho adicional para os futuros pesquisadores é  explorar a relação entre segurança e privacidade, que aborda uma variedade de implicações sociais  e perguntas, que ainda precisa  ser resolvido.  Nossa futura  agenda de pesquisa está concentrada em entender como as práticas de segurança  variam entre diferentes setores no que diz respeito à aplicação da CIA e à extensão  de seus conceitos.  Também estamos interessados   em  saber se a lacuna entre as  práticas atuais de segurança da  informação e a agenda  de pesquisa acadêmica  está, de fato, diminuindo.  Um aspecto  desta pesquisa é que, à medida que  a tecnologia evolui e os tipos  difusos de tecnologia em uso entram em moda de  gestão, então diferentes aspectos da tríade da CIA  será  mais dominante do que outros, como foi o caso no  passado. </w:t>
      </w:r>
    </w:p>
    <w:p w14:paraId="65E4F101" w14:textId="77777777" w:rsidR="0089005C" w:rsidRDefault="00095529">
      <w:pPr>
        <w:pStyle w:val="Ttulo1"/>
        <w:ind w:left="-5"/>
      </w:pPr>
      <w:r>
        <w:rPr>
          <w:lang w:val="pt"/>
        </w:rPr>
        <w:t>Referências</w:t>
      </w:r>
    </w:p>
    <w:p w14:paraId="1AFEA4A8" w14:textId="77777777" w:rsidR="0089005C" w:rsidRDefault="00095529">
      <w:pPr>
        <w:spacing w:after="241" w:line="284" w:lineRule="auto"/>
        <w:ind w:left="-5" w:right="41"/>
      </w:pPr>
      <w:r>
        <w:rPr>
          <w:noProof/>
          <w:lang w:val="pt"/>
        </w:rPr>
        <w:drawing>
          <wp:anchor distT="0" distB="0" distL="114300" distR="114300" simplePos="0" relativeHeight="251674624" behindDoc="0" locked="0" layoutInCell="1" allowOverlap="0" wp14:anchorId="1BAACC6C" wp14:editId="0271162B">
            <wp:simplePos x="0" y="0"/>
            <wp:positionH relativeFrom="page">
              <wp:posOffset>5850255</wp:posOffset>
            </wp:positionH>
            <wp:positionV relativeFrom="page">
              <wp:posOffset>1707921</wp:posOffset>
            </wp:positionV>
            <wp:extent cx="1219200" cy="726415"/>
            <wp:effectExtent l="0" t="0" r="0" b="0"/>
            <wp:wrapSquare wrapText="bothSides"/>
            <wp:docPr id="1675" name="Picture 1675"/>
            <wp:cNvGraphicFramePr/>
            <a:graphic xmlns:a="http://schemas.openxmlformats.org/drawingml/2006/main">
              <a:graphicData uri="http://schemas.openxmlformats.org/drawingml/2006/picture">
                <pic:pic xmlns:pic="http://schemas.openxmlformats.org/drawingml/2006/picture">
                  <pic:nvPicPr>
                    <pic:cNvPr id="1675" name="Picture 1675"/>
                    <pic:cNvPicPr/>
                  </pic:nvPicPr>
                  <pic:blipFill>
                    <a:blip r:embed="rId8"/>
                    <a:stretch>
                      <a:fillRect/>
                    </a:stretch>
                  </pic:blipFill>
                  <pic:spPr>
                    <a:xfrm>
                      <a:off x="0" y="0"/>
                      <a:ext cx="1219200" cy="726415"/>
                    </a:xfrm>
                    <a:prstGeom prst="rect">
                      <a:avLst/>
                    </a:prstGeom>
                  </pic:spPr>
                </pic:pic>
              </a:graphicData>
            </a:graphic>
          </wp:anchor>
        </w:drawing>
      </w:r>
      <w:proofErr w:type="spellStart"/>
      <w:r>
        <w:rPr>
          <w:lang w:val="pt"/>
        </w:rPr>
        <w:t>Åhlfeldt</w:t>
      </w:r>
      <w:proofErr w:type="spellEnd"/>
      <w:r>
        <w:rPr>
          <w:lang w:val="pt"/>
        </w:rPr>
        <w:t xml:space="preserve">, R.-M., </w:t>
      </w:r>
      <w:proofErr w:type="spellStart"/>
      <w:r>
        <w:rPr>
          <w:lang w:val="pt"/>
        </w:rPr>
        <w:t>Spagnoletti</w:t>
      </w:r>
      <w:proofErr w:type="spellEnd"/>
      <w:r>
        <w:rPr>
          <w:lang w:val="pt"/>
        </w:rPr>
        <w:t xml:space="preserve">, P.  e </w:t>
      </w:r>
      <w:proofErr w:type="spellStart"/>
      <w:r>
        <w:rPr>
          <w:lang w:val="pt"/>
        </w:rPr>
        <w:t>Sindre</w:t>
      </w:r>
      <w:proofErr w:type="spellEnd"/>
      <w:r>
        <w:rPr>
          <w:lang w:val="pt"/>
        </w:rPr>
        <w:t xml:space="preserve">, G. (2007).  Melhorando o Modelo de Segurança  do </w:t>
      </w:r>
      <w:proofErr w:type="spellStart"/>
      <w:r>
        <w:rPr>
          <w:lang w:val="pt"/>
        </w:rPr>
        <w:t>Infor</w:t>
      </w:r>
      <w:proofErr w:type="spellEnd"/>
      <w:r>
        <w:rPr>
          <w:lang w:val="pt"/>
        </w:rPr>
        <w:t xml:space="preserve"> </w:t>
      </w:r>
      <w:proofErr w:type="spellStart"/>
      <w:r>
        <w:rPr>
          <w:lang w:val="pt"/>
        </w:rPr>
        <w:t>mation</w:t>
      </w:r>
      <w:proofErr w:type="spellEnd"/>
      <w:r>
        <w:rPr>
          <w:lang w:val="pt"/>
        </w:rPr>
        <w:t xml:space="preserve"> utilizando a TFI, na </w:t>
      </w:r>
      <w:r>
        <w:rPr>
          <w:i/>
          <w:lang w:val="pt"/>
        </w:rPr>
        <w:t xml:space="preserve"> Federação Internacional</w:t>
      </w:r>
      <w:r>
        <w:rPr>
          <w:lang w:val="pt"/>
        </w:rPr>
        <w:t xml:space="preserve"> de </w:t>
      </w:r>
      <w:r>
        <w:rPr>
          <w:i/>
          <w:lang w:val="pt"/>
        </w:rPr>
        <w:t xml:space="preserve"> Processos de Processamento de</w:t>
      </w:r>
      <w:r>
        <w:rPr>
          <w:lang w:val="pt"/>
        </w:rPr>
        <w:t xml:space="preserve"> </w:t>
      </w:r>
      <w:r>
        <w:rPr>
          <w:i/>
          <w:lang w:val="pt"/>
        </w:rPr>
        <w:t>Informações</w:t>
      </w:r>
      <w:r>
        <w:rPr>
          <w:lang w:val="pt"/>
        </w:rPr>
        <w:t xml:space="preserve"> da </w:t>
      </w:r>
      <w:r>
        <w:rPr>
          <w:i/>
          <w:lang w:val="pt"/>
        </w:rPr>
        <w:t>IFIP, Vol. 232, Nº 1: Novas Abordagens para Segurança, Privacidade e Confiança em  Ambientes Complexos</w:t>
      </w:r>
      <w:r>
        <w:rPr>
          <w:lang w:val="pt"/>
        </w:rPr>
        <w:t xml:space="preserve">, Springer, pp. 73-84. </w:t>
      </w:r>
    </w:p>
    <w:p w14:paraId="35FF8D16" w14:textId="77777777" w:rsidR="0089005C" w:rsidRDefault="00095529">
      <w:pPr>
        <w:ind w:left="-5" w:right="44"/>
      </w:pPr>
      <w:r>
        <w:rPr>
          <w:lang w:val="pt"/>
        </w:rPr>
        <w:t xml:space="preserve">Anderson, J. (2002). Por que precisamos  de uma definição new  de segurança da informação.  </w:t>
      </w:r>
      <w:r>
        <w:rPr>
          <w:i/>
          <w:lang w:val="pt"/>
        </w:rPr>
        <w:t>Computador e Segurança</w:t>
      </w:r>
      <w:r>
        <w:rPr>
          <w:lang w:val="pt"/>
        </w:rPr>
        <w:t xml:space="preserve">, 22 (4), 308-313. </w:t>
      </w:r>
    </w:p>
    <w:p w14:paraId="27D4467B" w14:textId="77777777" w:rsidR="0089005C" w:rsidRDefault="00095529">
      <w:pPr>
        <w:ind w:left="-5" w:right="44"/>
      </w:pPr>
      <w:proofErr w:type="spellStart"/>
      <w:r>
        <w:rPr>
          <w:lang w:val="pt"/>
        </w:rPr>
        <w:t>Angin</w:t>
      </w:r>
      <w:proofErr w:type="spellEnd"/>
      <w:r>
        <w:rPr>
          <w:lang w:val="pt"/>
        </w:rPr>
        <w:t xml:space="preserve">, P., </w:t>
      </w:r>
      <w:proofErr w:type="spellStart"/>
      <w:r>
        <w:rPr>
          <w:lang w:val="pt"/>
        </w:rPr>
        <w:t>Bhargava</w:t>
      </w:r>
      <w:proofErr w:type="spellEnd"/>
      <w:r>
        <w:rPr>
          <w:lang w:val="pt"/>
        </w:rPr>
        <w:t xml:space="preserve">, B., </w:t>
      </w:r>
      <w:proofErr w:type="spellStart"/>
      <w:r>
        <w:rPr>
          <w:lang w:val="pt"/>
        </w:rPr>
        <w:t>Ranchal</w:t>
      </w:r>
      <w:proofErr w:type="spellEnd"/>
      <w:r>
        <w:rPr>
          <w:lang w:val="pt"/>
        </w:rPr>
        <w:t xml:space="preserve">, R., Singh, N., </w:t>
      </w:r>
      <w:proofErr w:type="spellStart"/>
      <w:r>
        <w:rPr>
          <w:lang w:val="pt"/>
        </w:rPr>
        <w:t>Othmane</w:t>
      </w:r>
      <w:proofErr w:type="spellEnd"/>
      <w:r>
        <w:rPr>
          <w:lang w:val="pt"/>
        </w:rPr>
        <w:t xml:space="preserve">, L.B., </w:t>
      </w:r>
      <w:proofErr w:type="spellStart"/>
      <w:r>
        <w:rPr>
          <w:lang w:val="pt"/>
        </w:rPr>
        <w:t>Lilien</w:t>
      </w:r>
      <w:proofErr w:type="spellEnd"/>
      <w:r>
        <w:rPr>
          <w:lang w:val="pt"/>
        </w:rPr>
        <w:t xml:space="preserve">, L.  e </w:t>
      </w:r>
      <w:proofErr w:type="spellStart"/>
      <w:r>
        <w:rPr>
          <w:lang w:val="pt"/>
        </w:rPr>
        <w:t>Linderman</w:t>
      </w:r>
      <w:proofErr w:type="spellEnd"/>
      <w:r>
        <w:rPr>
          <w:lang w:val="pt"/>
        </w:rPr>
        <w:t xml:space="preserve">, M. (2010).  Uma abordagem  centrada na entidade para privacidade e gerenciamento  de identidade em computação em nuvem, 29º Simpósio IEEE  sobre Sistemas Distribuídos  Confiáveis,  31 de outubro a 3 de novembro New Delhi, Índia. </w:t>
      </w:r>
    </w:p>
    <w:p w14:paraId="15A0AD16" w14:textId="77777777" w:rsidR="0089005C" w:rsidRDefault="00095529">
      <w:pPr>
        <w:spacing w:after="241" w:line="284" w:lineRule="auto"/>
        <w:ind w:left="-5" w:right="41"/>
      </w:pPr>
      <w:proofErr w:type="spellStart"/>
      <w:r>
        <w:rPr>
          <w:lang w:val="pt"/>
        </w:rPr>
        <w:t>Backhouse</w:t>
      </w:r>
      <w:proofErr w:type="spellEnd"/>
      <w:r>
        <w:rPr>
          <w:lang w:val="pt"/>
        </w:rPr>
        <w:t xml:space="preserve">, J.  e </w:t>
      </w:r>
      <w:proofErr w:type="spellStart"/>
      <w:r>
        <w:rPr>
          <w:lang w:val="pt"/>
        </w:rPr>
        <w:t>Halperin</w:t>
      </w:r>
      <w:proofErr w:type="spellEnd"/>
      <w:r>
        <w:rPr>
          <w:lang w:val="pt"/>
        </w:rPr>
        <w:t xml:space="preserve">, R. (2009).  </w:t>
      </w:r>
      <w:r>
        <w:rPr>
          <w:i/>
          <w:lang w:val="pt"/>
        </w:rPr>
        <w:t>Aproximando-se da interoperabilidade para  sistemas de gestão de identidade</w:t>
      </w:r>
      <w:r>
        <w:rPr>
          <w:lang w:val="pt"/>
        </w:rPr>
        <w:t xml:space="preserve">, Springer. </w:t>
      </w:r>
    </w:p>
    <w:p w14:paraId="501CD4A5" w14:textId="77777777" w:rsidR="0089005C" w:rsidRDefault="00095529">
      <w:pPr>
        <w:ind w:left="-5" w:right="44"/>
      </w:pPr>
      <w:proofErr w:type="spellStart"/>
      <w:r>
        <w:rPr>
          <w:lang w:val="pt"/>
        </w:rPr>
        <w:t>Baskerville</w:t>
      </w:r>
      <w:proofErr w:type="spellEnd"/>
      <w:r>
        <w:rPr>
          <w:lang w:val="pt"/>
        </w:rPr>
        <w:t xml:space="preserve">, R. (1988).  </w:t>
      </w:r>
      <w:r>
        <w:rPr>
          <w:i/>
          <w:lang w:val="pt"/>
        </w:rPr>
        <w:t>Projetando</w:t>
      </w:r>
      <w:r>
        <w:rPr>
          <w:lang w:val="pt"/>
        </w:rPr>
        <w:t xml:space="preserve"> </w:t>
      </w:r>
      <w:r>
        <w:rPr>
          <w:i/>
          <w:lang w:val="pt"/>
        </w:rPr>
        <w:t>segurança</w:t>
      </w:r>
      <w:r>
        <w:rPr>
          <w:lang w:val="pt"/>
        </w:rPr>
        <w:t xml:space="preserve"> dos </w:t>
      </w:r>
      <w:r>
        <w:rPr>
          <w:i/>
          <w:lang w:val="pt"/>
        </w:rPr>
        <w:t xml:space="preserve"> sistemas  de informação, </w:t>
      </w:r>
      <w:proofErr w:type="spellStart"/>
      <w:r>
        <w:rPr>
          <w:lang w:val="pt"/>
        </w:rPr>
        <w:t>Wiley</w:t>
      </w:r>
      <w:proofErr w:type="spellEnd"/>
      <w:r>
        <w:rPr>
          <w:lang w:val="pt"/>
        </w:rPr>
        <w:t xml:space="preserve">, </w:t>
      </w:r>
      <w:proofErr w:type="spellStart"/>
      <w:r>
        <w:rPr>
          <w:lang w:val="pt"/>
        </w:rPr>
        <w:t>Chichester</w:t>
      </w:r>
      <w:proofErr w:type="spellEnd"/>
      <w:r>
        <w:rPr>
          <w:lang w:val="pt"/>
        </w:rPr>
        <w:t xml:space="preserve"> </w:t>
      </w:r>
      <w:proofErr w:type="spellStart"/>
      <w:r>
        <w:rPr>
          <w:lang w:val="pt"/>
        </w:rPr>
        <w:t>England</w:t>
      </w:r>
      <w:proofErr w:type="spellEnd"/>
      <w:r>
        <w:rPr>
          <w:lang w:val="pt"/>
        </w:rPr>
        <w:t xml:space="preserve">; Nova Iorque. </w:t>
      </w:r>
    </w:p>
    <w:p w14:paraId="7D16ABDC" w14:textId="77777777" w:rsidR="0089005C" w:rsidRDefault="00095529">
      <w:pPr>
        <w:ind w:left="-5" w:right="44"/>
      </w:pPr>
      <w:proofErr w:type="spellStart"/>
      <w:r>
        <w:rPr>
          <w:lang w:val="pt"/>
        </w:rPr>
        <w:lastRenderedPageBreak/>
        <w:t>Baskerville</w:t>
      </w:r>
      <w:proofErr w:type="spellEnd"/>
      <w:r>
        <w:rPr>
          <w:lang w:val="pt"/>
        </w:rPr>
        <w:t xml:space="preserve">, R. (1993).  Métodos de  design de  segurança de  sistemas de ação: implicações para o desenvolvimento de sistemas de informação, </w:t>
      </w:r>
      <w:r>
        <w:rPr>
          <w:i/>
          <w:lang w:val="pt"/>
        </w:rPr>
        <w:t xml:space="preserve">ACM </w:t>
      </w:r>
      <w:proofErr w:type="spellStart"/>
      <w:r>
        <w:rPr>
          <w:i/>
          <w:lang w:val="pt"/>
        </w:rPr>
        <w:t>Computing</w:t>
      </w:r>
      <w:proofErr w:type="spellEnd"/>
      <w:r>
        <w:rPr>
          <w:i/>
          <w:lang w:val="pt"/>
        </w:rPr>
        <w:t xml:space="preserve"> </w:t>
      </w:r>
      <w:proofErr w:type="spellStart"/>
      <w:r>
        <w:rPr>
          <w:i/>
          <w:lang w:val="pt"/>
        </w:rPr>
        <w:t>Surveys</w:t>
      </w:r>
      <w:proofErr w:type="spellEnd"/>
      <w:r>
        <w:rPr>
          <w:i/>
          <w:lang w:val="pt"/>
        </w:rPr>
        <w:t xml:space="preserve"> (CSUR),</w:t>
      </w:r>
      <w:r>
        <w:rPr>
          <w:b/>
          <w:lang w:val="pt"/>
        </w:rPr>
        <w:t xml:space="preserve"> 25</w:t>
      </w:r>
      <w:r>
        <w:rPr>
          <w:lang w:val="pt"/>
        </w:rPr>
        <w:t xml:space="preserve">, 4, 375-414. </w:t>
      </w:r>
    </w:p>
    <w:p w14:paraId="69CC02AB" w14:textId="77777777" w:rsidR="0089005C" w:rsidRDefault="00095529">
      <w:pPr>
        <w:ind w:left="-5" w:right="44"/>
      </w:pPr>
      <w:proofErr w:type="spellStart"/>
      <w:r>
        <w:rPr>
          <w:lang w:val="pt"/>
        </w:rPr>
        <w:t>Baskerville</w:t>
      </w:r>
      <w:proofErr w:type="spellEnd"/>
      <w:r>
        <w:rPr>
          <w:lang w:val="pt"/>
        </w:rPr>
        <w:t xml:space="preserve">, R. L., &amp; Myers, M. D. (2009). Ondas de moda  em pesquisa e prática de sistemas de informação.  </w:t>
      </w:r>
      <w:r>
        <w:rPr>
          <w:i/>
          <w:lang w:val="pt"/>
        </w:rPr>
        <w:t>MIS Trimestral</w:t>
      </w:r>
      <w:r>
        <w:rPr>
          <w:lang w:val="pt"/>
        </w:rPr>
        <w:t xml:space="preserve">, 33(4), 3. </w:t>
      </w:r>
    </w:p>
    <w:p w14:paraId="528F3BC0" w14:textId="77777777" w:rsidR="0089005C" w:rsidRDefault="00095529">
      <w:pPr>
        <w:ind w:left="-5" w:right="44"/>
      </w:pPr>
      <w:proofErr w:type="spellStart"/>
      <w:r>
        <w:rPr>
          <w:lang w:val="pt"/>
        </w:rPr>
        <w:t>Benassi</w:t>
      </w:r>
      <w:proofErr w:type="spellEnd"/>
      <w:r>
        <w:rPr>
          <w:lang w:val="pt"/>
        </w:rPr>
        <w:t xml:space="preserve"> P. (1999).  </w:t>
      </w:r>
      <w:proofErr w:type="spellStart"/>
      <w:r>
        <w:rPr>
          <w:lang w:val="pt"/>
        </w:rPr>
        <w:t>TRUSTe</w:t>
      </w:r>
      <w:proofErr w:type="spellEnd"/>
      <w:r>
        <w:rPr>
          <w:lang w:val="pt"/>
        </w:rPr>
        <w:t xml:space="preserve">: um programa de  selo de privacidade online.  </w:t>
      </w:r>
      <w:r>
        <w:rPr>
          <w:i/>
          <w:lang w:val="pt"/>
        </w:rPr>
        <w:t>Comunicações  do ACM</w:t>
      </w:r>
      <w:r>
        <w:rPr>
          <w:lang w:val="pt"/>
        </w:rPr>
        <w:t xml:space="preserve"> Volume 42 Edição 2, Fev. 1999, 56 – 59. </w:t>
      </w:r>
    </w:p>
    <w:p w14:paraId="5BF42896" w14:textId="77777777" w:rsidR="0089005C" w:rsidRDefault="00095529">
      <w:pPr>
        <w:ind w:left="-5" w:right="44"/>
      </w:pPr>
      <w:proofErr w:type="spellStart"/>
      <w:r>
        <w:rPr>
          <w:lang w:val="pt"/>
        </w:rPr>
        <w:t>Benbasat</w:t>
      </w:r>
      <w:proofErr w:type="spellEnd"/>
      <w:r>
        <w:rPr>
          <w:lang w:val="pt"/>
        </w:rPr>
        <w:t xml:space="preserve">, I., &amp; </w:t>
      </w:r>
      <w:proofErr w:type="spellStart"/>
      <w:r>
        <w:rPr>
          <w:lang w:val="pt"/>
        </w:rPr>
        <w:t>Zmud</w:t>
      </w:r>
      <w:proofErr w:type="spellEnd"/>
      <w:r>
        <w:rPr>
          <w:lang w:val="pt"/>
        </w:rPr>
        <w:t xml:space="preserve">, R. W. (1999).  Pesquisa empírica  em  sistemas de informação: a prática de relevância.  </w:t>
      </w:r>
      <w:r>
        <w:rPr>
          <w:i/>
          <w:lang w:val="pt"/>
        </w:rPr>
        <w:t xml:space="preserve">MIS </w:t>
      </w:r>
      <w:proofErr w:type="spellStart"/>
      <w:r>
        <w:rPr>
          <w:i/>
          <w:lang w:val="pt"/>
        </w:rPr>
        <w:t>Quarterly</w:t>
      </w:r>
      <w:proofErr w:type="spellEnd"/>
      <w:r>
        <w:rPr>
          <w:lang w:val="pt"/>
        </w:rPr>
        <w:t xml:space="preserve">, 3-16. </w:t>
      </w:r>
    </w:p>
    <w:p w14:paraId="40C5FBA7" w14:textId="77777777" w:rsidR="0089005C" w:rsidRDefault="00095529">
      <w:pPr>
        <w:ind w:left="-5" w:right="44"/>
      </w:pPr>
      <w:r>
        <w:rPr>
          <w:lang w:val="pt"/>
        </w:rPr>
        <w:t xml:space="preserve">Bell, D., e La </w:t>
      </w:r>
      <w:proofErr w:type="spellStart"/>
      <w:r>
        <w:rPr>
          <w:lang w:val="pt"/>
        </w:rPr>
        <w:t>Padula</w:t>
      </w:r>
      <w:proofErr w:type="spellEnd"/>
      <w:r>
        <w:rPr>
          <w:lang w:val="pt"/>
        </w:rPr>
        <w:t xml:space="preserve">, L. (1975).  Sistema de Computador Seguro:  Exposição Unificada e Interpretação </w:t>
      </w:r>
      <w:proofErr w:type="spellStart"/>
      <w:r>
        <w:rPr>
          <w:lang w:val="pt"/>
        </w:rPr>
        <w:t>Multics</w:t>
      </w:r>
      <w:proofErr w:type="spellEnd"/>
      <w:r>
        <w:rPr>
          <w:lang w:val="pt"/>
        </w:rPr>
        <w:t xml:space="preserve">.  Relatório Técnico  ESD-TR-75-306, A CORPORAÇÃO MITRE, Bedford, MA. </w:t>
      </w:r>
    </w:p>
    <w:p w14:paraId="0654047F" w14:textId="77777777" w:rsidR="0089005C" w:rsidRDefault="00095529">
      <w:pPr>
        <w:ind w:left="-5" w:right="44"/>
      </w:pPr>
      <w:r>
        <w:rPr>
          <w:lang w:val="pt"/>
        </w:rPr>
        <w:t xml:space="preserve">Biba, K.J. (1975).  Considerações de integridade para  sistemas de computador seguros.   Relatório Técnico MTR-3153, MITRE Corporation, Bedford, MA. </w:t>
      </w:r>
    </w:p>
    <w:p w14:paraId="603D32E8" w14:textId="77777777" w:rsidR="0089005C" w:rsidRDefault="00095529">
      <w:pPr>
        <w:spacing w:after="239" w:line="285" w:lineRule="auto"/>
        <w:ind w:left="-5"/>
        <w:jc w:val="left"/>
      </w:pPr>
      <w:proofErr w:type="spellStart"/>
      <w:r>
        <w:rPr>
          <w:lang w:val="pt"/>
        </w:rPr>
        <w:t>Bowen</w:t>
      </w:r>
      <w:proofErr w:type="spellEnd"/>
      <w:r>
        <w:rPr>
          <w:lang w:val="pt"/>
        </w:rPr>
        <w:t xml:space="preserve">, S.A. (2004).   Fatores organizacionais Incentivando a Tomada  de Decisões Éticas: Uma exploração  no  caso de um exemplar.  </w:t>
      </w:r>
      <w:r>
        <w:rPr>
          <w:i/>
          <w:lang w:val="pt"/>
        </w:rPr>
        <w:t>Revista de</w:t>
      </w:r>
      <w:r>
        <w:rPr>
          <w:lang w:val="pt"/>
        </w:rPr>
        <w:t xml:space="preserve"> </w:t>
      </w:r>
      <w:r>
        <w:rPr>
          <w:i/>
          <w:lang w:val="pt"/>
        </w:rPr>
        <w:t xml:space="preserve">Ética Empresarial </w:t>
      </w:r>
      <w:r>
        <w:rPr>
          <w:lang w:val="pt"/>
        </w:rPr>
        <w:t xml:space="preserve"> 52(4), 311324. </w:t>
      </w:r>
    </w:p>
    <w:p w14:paraId="26D6E605" w14:textId="77777777" w:rsidR="0089005C" w:rsidRDefault="00095529">
      <w:pPr>
        <w:ind w:left="-5" w:right="44"/>
      </w:pPr>
      <w:r>
        <w:rPr>
          <w:noProof/>
          <w:lang w:val="pt"/>
        </w:rPr>
        <w:drawing>
          <wp:anchor distT="0" distB="0" distL="114300" distR="114300" simplePos="0" relativeHeight="251675648" behindDoc="0" locked="0" layoutInCell="1" allowOverlap="0" wp14:anchorId="476C154F" wp14:editId="187A5F8E">
            <wp:simplePos x="0" y="0"/>
            <wp:positionH relativeFrom="page">
              <wp:posOffset>838200</wp:posOffset>
            </wp:positionH>
            <wp:positionV relativeFrom="page">
              <wp:posOffset>1707921</wp:posOffset>
            </wp:positionV>
            <wp:extent cx="1219200" cy="726415"/>
            <wp:effectExtent l="0" t="0" r="0" b="0"/>
            <wp:wrapSquare wrapText="bothSides"/>
            <wp:docPr id="1780" name="Picture 1780"/>
            <wp:cNvGraphicFramePr/>
            <a:graphic xmlns:a="http://schemas.openxmlformats.org/drawingml/2006/main">
              <a:graphicData uri="http://schemas.openxmlformats.org/drawingml/2006/picture">
                <pic:pic xmlns:pic="http://schemas.openxmlformats.org/drawingml/2006/picture">
                  <pic:nvPicPr>
                    <pic:cNvPr id="1780" name="Picture 1780"/>
                    <pic:cNvPicPr/>
                  </pic:nvPicPr>
                  <pic:blipFill>
                    <a:blip r:embed="rId8"/>
                    <a:stretch>
                      <a:fillRect/>
                    </a:stretch>
                  </pic:blipFill>
                  <pic:spPr>
                    <a:xfrm>
                      <a:off x="0" y="0"/>
                      <a:ext cx="1219200" cy="726415"/>
                    </a:xfrm>
                    <a:prstGeom prst="rect">
                      <a:avLst/>
                    </a:prstGeom>
                  </pic:spPr>
                </pic:pic>
              </a:graphicData>
            </a:graphic>
          </wp:anchor>
        </w:drawing>
      </w:r>
      <w:proofErr w:type="spellStart"/>
      <w:r>
        <w:rPr>
          <w:lang w:val="pt"/>
        </w:rPr>
        <w:t>Camp</w:t>
      </w:r>
      <w:proofErr w:type="spellEnd"/>
      <w:r>
        <w:rPr>
          <w:lang w:val="pt"/>
        </w:rPr>
        <w:t xml:space="preserve">, L. J. (1999). Web </w:t>
      </w:r>
      <w:proofErr w:type="spellStart"/>
      <w:r>
        <w:rPr>
          <w:lang w:val="pt"/>
        </w:rPr>
        <w:t>security</w:t>
      </w:r>
      <w:proofErr w:type="spellEnd"/>
      <w:r>
        <w:rPr>
          <w:lang w:val="pt"/>
        </w:rPr>
        <w:t xml:space="preserve"> e privacidade: uma perspectiva americana.  </w:t>
      </w:r>
      <w:r>
        <w:rPr>
          <w:i/>
          <w:lang w:val="pt"/>
        </w:rPr>
        <w:t>A  Sociedade da</w:t>
      </w:r>
      <w:r>
        <w:rPr>
          <w:lang w:val="pt"/>
        </w:rPr>
        <w:t xml:space="preserve"> </w:t>
      </w:r>
      <w:r>
        <w:rPr>
          <w:i/>
          <w:lang w:val="pt"/>
        </w:rPr>
        <w:t>Informação</w:t>
      </w:r>
      <w:r>
        <w:rPr>
          <w:lang w:val="pt"/>
        </w:rPr>
        <w:t xml:space="preserve">, 15(4), 249-256. </w:t>
      </w:r>
    </w:p>
    <w:p w14:paraId="1D430B56" w14:textId="77777777" w:rsidR="0089005C" w:rsidRDefault="00095529">
      <w:pPr>
        <w:ind w:left="-5" w:right="44"/>
      </w:pPr>
      <w:r>
        <w:rPr>
          <w:lang w:val="pt"/>
        </w:rPr>
        <w:t xml:space="preserve">Canhoto, A. I. e </w:t>
      </w:r>
      <w:proofErr w:type="spellStart"/>
      <w:r>
        <w:rPr>
          <w:lang w:val="pt"/>
        </w:rPr>
        <w:t>Backhouse</w:t>
      </w:r>
      <w:proofErr w:type="spellEnd"/>
      <w:r>
        <w:rPr>
          <w:lang w:val="pt"/>
        </w:rPr>
        <w:t>, J. (2007).  Perfil sob condições de ambiguidade — Um aplicativo no  setor</w:t>
      </w:r>
      <w:r>
        <w:rPr>
          <w:i/>
          <w:lang w:val="pt"/>
        </w:rPr>
        <w:t xml:space="preserve"> de</w:t>
      </w:r>
      <w:r>
        <w:rPr>
          <w:lang w:val="pt"/>
        </w:rPr>
        <w:t xml:space="preserve"> serviços financeiros, </w:t>
      </w:r>
      <w:proofErr w:type="spellStart"/>
      <w:r>
        <w:rPr>
          <w:i/>
          <w:lang w:val="pt"/>
        </w:rPr>
        <w:t>Journal</w:t>
      </w:r>
      <w:proofErr w:type="spellEnd"/>
      <w:r>
        <w:rPr>
          <w:i/>
          <w:lang w:val="pt"/>
        </w:rPr>
        <w:t xml:space="preserve"> </w:t>
      </w:r>
      <w:proofErr w:type="spellStart"/>
      <w:r>
        <w:rPr>
          <w:i/>
          <w:lang w:val="pt"/>
        </w:rPr>
        <w:t>of</w:t>
      </w:r>
      <w:proofErr w:type="spellEnd"/>
      <w:r>
        <w:rPr>
          <w:i/>
          <w:lang w:val="pt"/>
        </w:rPr>
        <w:t xml:space="preserve"> </w:t>
      </w:r>
      <w:proofErr w:type="spellStart"/>
      <w:r>
        <w:rPr>
          <w:i/>
          <w:lang w:val="pt"/>
        </w:rPr>
        <w:t>Retailing</w:t>
      </w:r>
      <w:proofErr w:type="spellEnd"/>
      <w:r>
        <w:rPr>
          <w:i/>
          <w:lang w:val="pt"/>
        </w:rPr>
        <w:t xml:space="preserve"> e </w:t>
      </w:r>
      <w:proofErr w:type="spellStart"/>
      <w:r>
        <w:rPr>
          <w:i/>
          <w:lang w:val="pt"/>
        </w:rPr>
        <w:t>Consumer</w:t>
      </w:r>
      <w:proofErr w:type="spellEnd"/>
      <w:r>
        <w:rPr>
          <w:i/>
          <w:lang w:val="pt"/>
        </w:rPr>
        <w:t xml:space="preserve"> Services,</w:t>
      </w:r>
      <w:r>
        <w:rPr>
          <w:b/>
          <w:lang w:val="pt"/>
        </w:rPr>
        <w:t xml:space="preserve"> 14</w:t>
      </w:r>
      <w:r>
        <w:rPr>
          <w:lang w:val="pt"/>
        </w:rPr>
        <w:t xml:space="preserve">, 6, 408-419.  </w:t>
      </w:r>
    </w:p>
    <w:p w14:paraId="30169A97" w14:textId="77777777" w:rsidR="0089005C" w:rsidRDefault="00095529">
      <w:pPr>
        <w:ind w:left="-5" w:right="44"/>
      </w:pPr>
      <w:r>
        <w:rPr>
          <w:lang w:val="pt"/>
        </w:rPr>
        <w:t xml:space="preserve">Cardinali, R. (1995). Reforçando nossa visão moral: examinando a relação entre comportamento antiético e crime  de computador.  Estudo do Trabalho  44(8), 11-17. </w:t>
      </w:r>
    </w:p>
    <w:p w14:paraId="6E355D1B" w14:textId="77777777" w:rsidR="0089005C" w:rsidRDefault="00095529">
      <w:pPr>
        <w:ind w:left="-5" w:right="44"/>
      </w:pPr>
      <w:proofErr w:type="spellStart"/>
      <w:r>
        <w:rPr>
          <w:lang w:val="pt"/>
        </w:rPr>
        <w:t>Cavoukian</w:t>
      </w:r>
      <w:proofErr w:type="spellEnd"/>
      <w:r>
        <w:rPr>
          <w:lang w:val="pt"/>
        </w:rPr>
        <w:t>, A. (2009).  Privacidade por design: Os 7  princípios fundamentais.   Comissariado de Informação e Privacidade de Ontário, Canadá</w:t>
      </w:r>
    </w:p>
    <w:p w14:paraId="1041D53D" w14:textId="77777777" w:rsidR="0089005C" w:rsidRDefault="00095529">
      <w:pPr>
        <w:ind w:left="-5" w:right="44"/>
      </w:pPr>
      <w:r>
        <w:rPr>
          <w:lang w:val="pt"/>
        </w:rPr>
        <w:t xml:space="preserve">Chapman, M. (2012). No </w:t>
      </w:r>
      <w:r>
        <w:rPr>
          <w:i/>
          <w:lang w:val="pt"/>
        </w:rPr>
        <w:t xml:space="preserve"> manual de gestão de segurança</w:t>
      </w:r>
      <w:r>
        <w:rPr>
          <w:lang w:val="pt"/>
        </w:rPr>
        <w:t xml:space="preserve"> </w:t>
      </w:r>
      <w:r>
        <w:rPr>
          <w:i/>
          <w:lang w:val="pt"/>
        </w:rPr>
        <w:t>da</w:t>
      </w:r>
      <w:r>
        <w:rPr>
          <w:lang w:val="pt"/>
        </w:rPr>
        <w:t xml:space="preserve"> informação, (</w:t>
      </w:r>
      <w:proofErr w:type="spellStart"/>
      <w:r>
        <w:rPr>
          <w:lang w:val="pt"/>
        </w:rPr>
        <w:t>Eds</w:t>
      </w:r>
      <w:proofErr w:type="spellEnd"/>
      <w:r>
        <w:rPr>
          <w:lang w:val="pt"/>
        </w:rPr>
        <w:t xml:space="preserve">, </w:t>
      </w:r>
      <w:proofErr w:type="spellStart"/>
      <w:r>
        <w:rPr>
          <w:lang w:val="pt"/>
        </w:rPr>
        <w:t>Tipton</w:t>
      </w:r>
      <w:proofErr w:type="spellEnd"/>
      <w:r>
        <w:rPr>
          <w:lang w:val="pt"/>
        </w:rPr>
        <w:t xml:space="preserve">, H. F.  e Krause, M.), CRC Press. </w:t>
      </w:r>
    </w:p>
    <w:p w14:paraId="489E4586" w14:textId="77777777" w:rsidR="0089005C" w:rsidRDefault="00095529">
      <w:pPr>
        <w:ind w:left="-5" w:right="44"/>
      </w:pPr>
      <w:proofErr w:type="spellStart"/>
      <w:r>
        <w:rPr>
          <w:lang w:val="pt"/>
        </w:rPr>
        <w:lastRenderedPageBreak/>
        <w:t>Choobineh</w:t>
      </w:r>
      <w:proofErr w:type="spellEnd"/>
      <w:r>
        <w:rPr>
          <w:lang w:val="pt"/>
        </w:rPr>
        <w:t xml:space="preserve">, J., </w:t>
      </w:r>
      <w:proofErr w:type="spellStart"/>
      <w:r>
        <w:rPr>
          <w:lang w:val="pt"/>
        </w:rPr>
        <w:t>Dhillon</w:t>
      </w:r>
      <w:proofErr w:type="spellEnd"/>
      <w:r>
        <w:rPr>
          <w:lang w:val="pt"/>
        </w:rPr>
        <w:t xml:space="preserve">, G., </w:t>
      </w:r>
      <w:proofErr w:type="spellStart"/>
      <w:r>
        <w:rPr>
          <w:lang w:val="pt"/>
        </w:rPr>
        <w:t>Grimaila</w:t>
      </w:r>
      <w:proofErr w:type="spellEnd"/>
      <w:r>
        <w:rPr>
          <w:lang w:val="pt"/>
        </w:rPr>
        <w:t xml:space="preserve">, M.R.  e </w:t>
      </w:r>
      <w:proofErr w:type="spellStart"/>
      <w:r>
        <w:rPr>
          <w:lang w:val="pt"/>
        </w:rPr>
        <w:t>Rees</w:t>
      </w:r>
      <w:proofErr w:type="spellEnd"/>
      <w:r>
        <w:rPr>
          <w:lang w:val="pt"/>
        </w:rPr>
        <w:t xml:space="preserve">, J. (2007). Gestão   </w:t>
      </w:r>
      <w:proofErr w:type="spellStart"/>
      <w:r>
        <w:rPr>
          <w:lang w:val="pt"/>
        </w:rPr>
        <w:t>dainformação</w:t>
      </w:r>
      <w:proofErr w:type="spellEnd"/>
      <w:r>
        <w:rPr>
          <w:lang w:val="pt"/>
        </w:rPr>
        <w:t xml:space="preserve">: Desafios e direções de pesquisa.  </w:t>
      </w:r>
      <w:r>
        <w:rPr>
          <w:i/>
          <w:lang w:val="pt"/>
        </w:rPr>
        <w:t xml:space="preserve">Comunicações  da Associação de </w:t>
      </w:r>
      <w:r>
        <w:rPr>
          <w:lang w:val="pt"/>
        </w:rPr>
        <w:t xml:space="preserve"> Sistemas </w:t>
      </w:r>
      <w:r>
        <w:rPr>
          <w:i/>
          <w:lang w:val="pt"/>
        </w:rPr>
        <w:t>de Informação,</w:t>
      </w:r>
      <w:r>
        <w:rPr>
          <w:b/>
          <w:lang w:val="pt"/>
        </w:rPr>
        <w:t xml:space="preserve"> 20</w:t>
      </w:r>
      <w:r>
        <w:rPr>
          <w:lang w:val="pt"/>
        </w:rPr>
        <w:t xml:space="preserve">, 1, 57. </w:t>
      </w:r>
    </w:p>
    <w:p w14:paraId="7ADE00A4" w14:textId="77777777" w:rsidR="0089005C" w:rsidRDefault="00095529">
      <w:pPr>
        <w:ind w:left="-5" w:right="44"/>
      </w:pPr>
      <w:proofErr w:type="spellStart"/>
      <w:r>
        <w:rPr>
          <w:lang w:val="pt"/>
        </w:rPr>
        <w:t>Chowdhuri</w:t>
      </w:r>
      <w:proofErr w:type="spellEnd"/>
      <w:r>
        <w:rPr>
          <w:lang w:val="pt"/>
        </w:rPr>
        <w:t xml:space="preserve">, R., </w:t>
      </w:r>
      <w:proofErr w:type="spellStart"/>
      <w:r>
        <w:rPr>
          <w:lang w:val="pt"/>
        </w:rPr>
        <w:t>Dhillon</w:t>
      </w:r>
      <w:proofErr w:type="spellEnd"/>
      <w:r>
        <w:rPr>
          <w:lang w:val="pt"/>
        </w:rPr>
        <w:t xml:space="preserve">, G., &amp; Harris, M. A. (2012).  Entendendo a segurança da informação.  </w:t>
      </w:r>
      <w:r>
        <w:rPr>
          <w:i/>
          <w:lang w:val="pt"/>
        </w:rPr>
        <w:t>Diário de  Segurança do Sistema de Informação</w:t>
      </w:r>
      <w:r>
        <w:rPr>
          <w:lang w:val="pt"/>
        </w:rPr>
        <w:t xml:space="preserve">, 8(2). </w:t>
      </w:r>
    </w:p>
    <w:p w14:paraId="31CB810D" w14:textId="77777777" w:rsidR="0089005C" w:rsidRDefault="00095529">
      <w:pPr>
        <w:ind w:left="-5" w:right="44"/>
      </w:pPr>
      <w:r>
        <w:rPr>
          <w:lang w:val="pt"/>
        </w:rPr>
        <w:t xml:space="preserve">Cody-Allen E., </w:t>
      </w:r>
      <w:proofErr w:type="spellStart"/>
      <w:r>
        <w:rPr>
          <w:lang w:val="pt"/>
        </w:rPr>
        <w:t>Kishore</w:t>
      </w:r>
      <w:proofErr w:type="spellEnd"/>
      <w:r>
        <w:rPr>
          <w:lang w:val="pt"/>
        </w:rPr>
        <w:t xml:space="preserve"> R. (2006).  Uma extensão  do  modelo UTAUT com Construções de Igualdade, Confiança e Satisfação, Processos da conferência SIGMIS, 13 a 15 de abril, </w:t>
      </w:r>
      <w:proofErr w:type="spellStart"/>
      <w:r>
        <w:rPr>
          <w:lang w:val="pt"/>
        </w:rPr>
        <w:t>Claremont</w:t>
      </w:r>
      <w:proofErr w:type="spellEnd"/>
      <w:r>
        <w:rPr>
          <w:lang w:val="pt"/>
        </w:rPr>
        <w:t xml:space="preserve">, CA, EUA, ACM Press, 82-89 </w:t>
      </w:r>
    </w:p>
    <w:p w14:paraId="672291BB" w14:textId="77777777" w:rsidR="0089005C" w:rsidRDefault="00095529">
      <w:pPr>
        <w:ind w:left="-5" w:right="44"/>
      </w:pPr>
      <w:proofErr w:type="spellStart"/>
      <w:r>
        <w:rPr>
          <w:lang w:val="pt"/>
        </w:rPr>
        <w:t>Choobineh</w:t>
      </w:r>
      <w:proofErr w:type="spellEnd"/>
      <w:r>
        <w:rPr>
          <w:lang w:val="pt"/>
        </w:rPr>
        <w:t xml:space="preserve">, J., </w:t>
      </w:r>
      <w:proofErr w:type="spellStart"/>
      <w:r>
        <w:rPr>
          <w:lang w:val="pt"/>
        </w:rPr>
        <w:t>Dhillon</w:t>
      </w:r>
      <w:proofErr w:type="spellEnd"/>
      <w:r>
        <w:rPr>
          <w:lang w:val="pt"/>
        </w:rPr>
        <w:t xml:space="preserve">, G., </w:t>
      </w:r>
      <w:proofErr w:type="spellStart"/>
      <w:r>
        <w:rPr>
          <w:lang w:val="pt"/>
        </w:rPr>
        <w:t>Grimaila</w:t>
      </w:r>
      <w:proofErr w:type="spellEnd"/>
      <w:r>
        <w:rPr>
          <w:lang w:val="pt"/>
        </w:rPr>
        <w:t xml:space="preserve">, M. R., &amp; </w:t>
      </w:r>
      <w:proofErr w:type="spellStart"/>
      <w:r>
        <w:rPr>
          <w:lang w:val="pt"/>
        </w:rPr>
        <w:t>Rees</w:t>
      </w:r>
      <w:proofErr w:type="spellEnd"/>
      <w:r>
        <w:rPr>
          <w:lang w:val="pt"/>
        </w:rPr>
        <w:t xml:space="preserve">, J.  (2007). Gestão da segurança da informação: Desafios e direções de pesquisa.  </w:t>
      </w:r>
      <w:r>
        <w:rPr>
          <w:i/>
          <w:lang w:val="pt"/>
        </w:rPr>
        <w:t>Comunicações da  Associação de  Sistemas</w:t>
      </w:r>
      <w:r>
        <w:rPr>
          <w:lang w:val="pt"/>
        </w:rPr>
        <w:t xml:space="preserve"> </w:t>
      </w:r>
      <w:r>
        <w:rPr>
          <w:i/>
          <w:lang w:val="pt"/>
        </w:rPr>
        <w:t>de Informação</w:t>
      </w:r>
      <w:r>
        <w:rPr>
          <w:lang w:val="pt"/>
        </w:rPr>
        <w:t xml:space="preserve">, 20(1), 57. </w:t>
      </w:r>
    </w:p>
    <w:p w14:paraId="343DB41C" w14:textId="77777777" w:rsidR="0089005C" w:rsidRDefault="00095529">
      <w:pPr>
        <w:ind w:left="-5" w:right="44"/>
      </w:pPr>
      <w:proofErr w:type="spellStart"/>
      <w:r>
        <w:rPr>
          <w:lang w:val="pt"/>
        </w:rPr>
        <w:t>Coss</w:t>
      </w:r>
      <w:proofErr w:type="spellEnd"/>
      <w:r>
        <w:rPr>
          <w:lang w:val="pt"/>
        </w:rPr>
        <w:t xml:space="preserve">, D. L. (2013). Cloud </w:t>
      </w:r>
      <w:proofErr w:type="spellStart"/>
      <w:r>
        <w:rPr>
          <w:lang w:val="pt"/>
        </w:rPr>
        <w:t>Privacy</w:t>
      </w:r>
      <w:proofErr w:type="spellEnd"/>
      <w:r>
        <w:rPr>
          <w:lang w:val="pt"/>
        </w:rPr>
        <w:t xml:space="preserve"> </w:t>
      </w:r>
      <w:proofErr w:type="spellStart"/>
      <w:r>
        <w:rPr>
          <w:lang w:val="pt"/>
        </w:rPr>
        <w:t>Audit</w:t>
      </w:r>
      <w:proofErr w:type="spellEnd"/>
      <w:r>
        <w:rPr>
          <w:lang w:val="pt"/>
        </w:rPr>
        <w:t xml:space="preserve"> Framework: A </w:t>
      </w:r>
      <w:proofErr w:type="spellStart"/>
      <w:r>
        <w:rPr>
          <w:lang w:val="pt"/>
        </w:rPr>
        <w:t>Value-Based</w:t>
      </w:r>
      <w:proofErr w:type="spellEnd"/>
      <w:r>
        <w:rPr>
          <w:lang w:val="pt"/>
        </w:rPr>
        <w:t xml:space="preserve"> Design (dissertação de doutorado, Virginia Commonwealth </w:t>
      </w:r>
      <w:proofErr w:type="spellStart"/>
      <w:r>
        <w:rPr>
          <w:lang w:val="pt"/>
        </w:rPr>
        <w:t>University</w:t>
      </w:r>
      <w:proofErr w:type="spellEnd"/>
      <w:r>
        <w:rPr>
          <w:lang w:val="pt"/>
        </w:rPr>
        <w:t xml:space="preserve">, Richmond, Virginia). </w:t>
      </w:r>
    </w:p>
    <w:p w14:paraId="3E3375B5" w14:textId="77777777" w:rsidR="0089005C" w:rsidRDefault="00095529">
      <w:pPr>
        <w:ind w:left="-5" w:right="44"/>
      </w:pPr>
      <w:proofErr w:type="spellStart"/>
      <w:r>
        <w:rPr>
          <w:lang w:val="pt"/>
        </w:rPr>
        <w:t>Cowan</w:t>
      </w:r>
      <w:proofErr w:type="spellEnd"/>
      <w:r>
        <w:rPr>
          <w:lang w:val="pt"/>
        </w:rPr>
        <w:t xml:space="preserve">, D. (2012).  Comentário: Muita segurança pode afetar processos de negócios, </w:t>
      </w:r>
      <w:proofErr w:type="spellStart"/>
      <w:r>
        <w:rPr>
          <w:lang w:val="pt"/>
        </w:rPr>
        <w:t>Infosecurity</w:t>
      </w:r>
      <w:proofErr w:type="spellEnd"/>
      <w:r>
        <w:rPr>
          <w:lang w:val="pt"/>
        </w:rPr>
        <w:t xml:space="preserve">, 27 de junho de  2012, http://www.infosecurity-magazine.com/view/26550/ comentário-muito-segurança-pode-afetar-processos de negócios/,  acessado pela última vez em 16 de julho de 2014. </w:t>
      </w:r>
    </w:p>
    <w:p w14:paraId="57376AEF" w14:textId="77777777" w:rsidR="0089005C" w:rsidRDefault="00095529">
      <w:pPr>
        <w:ind w:left="-5" w:right="44"/>
      </w:pPr>
      <w:r>
        <w:rPr>
          <w:lang w:val="pt"/>
        </w:rPr>
        <w:t>D'</w:t>
      </w:r>
      <w:proofErr w:type="spellStart"/>
      <w:r>
        <w:rPr>
          <w:lang w:val="pt"/>
        </w:rPr>
        <w:t>Arcy</w:t>
      </w:r>
      <w:proofErr w:type="spellEnd"/>
      <w:r>
        <w:rPr>
          <w:lang w:val="pt"/>
        </w:rPr>
        <w:t xml:space="preserve">, J. &amp; Greene, G. (2009). A  natureza multifacetada da  cultura de segurança e sua influência no comportamento do usuário final.  Em  Workshop Internacional de Pesquisa em Segurança de Sistemas de  Informação (pp. 145-157). </w:t>
      </w:r>
    </w:p>
    <w:p w14:paraId="040E25EC" w14:textId="77777777" w:rsidR="0089005C" w:rsidRDefault="00095529">
      <w:pPr>
        <w:ind w:left="-5" w:right="44"/>
      </w:pPr>
      <w:r>
        <w:rPr>
          <w:noProof/>
          <w:lang w:val="pt"/>
        </w:rPr>
        <w:drawing>
          <wp:anchor distT="0" distB="0" distL="114300" distR="114300" simplePos="0" relativeHeight="251676672" behindDoc="0" locked="0" layoutInCell="1" allowOverlap="0" wp14:anchorId="29B08BA0" wp14:editId="74E94613">
            <wp:simplePos x="0" y="0"/>
            <wp:positionH relativeFrom="page">
              <wp:posOffset>5850255</wp:posOffset>
            </wp:positionH>
            <wp:positionV relativeFrom="page">
              <wp:posOffset>1707921</wp:posOffset>
            </wp:positionV>
            <wp:extent cx="1219200" cy="726415"/>
            <wp:effectExtent l="0" t="0" r="0" b="0"/>
            <wp:wrapSquare wrapText="bothSides"/>
            <wp:docPr id="1921" name="Picture 1921"/>
            <wp:cNvGraphicFramePr/>
            <a:graphic xmlns:a="http://schemas.openxmlformats.org/drawingml/2006/main">
              <a:graphicData uri="http://schemas.openxmlformats.org/drawingml/2006/picture">
                <pic:pic xmlns:pic="http://schemas.openxmlformats.org/drawingml/2006/picture">
                  <pic:nvPicPr>
                    <pic:cNvPr id="1921" name="Picture 1921"/>
                    <pic:cNvPicPr/>
                  </pic:nvPicPr>
                  <pic:blipFill>
                    <a:blip r:embed="rId8"/>
                    <a:stretch>
                      <a:fillRect/>
                    </a:stretch>
                  </pic:blipFill>
                  <pic:spPr>
                    <a:xfrm>
                      <a:off x="0" y="0"/>
                      <a:ext cx="1219200" cy="726415"/>
                    </a:xfrm>
                    <a:prstGeom prst="rect">
                      <a:avLst/>
                    </a:prstGeom>
                  </pic:spPr>
                </pic:pic>
              </a:graphicData>
            </a:graphic>
          </wp:anchor>
        </w:drawing>
      </w:r>
      <w:proofErr w:type="spellStart"/>
      <w:r>
        <w:rPr>
          <w:lang w:val="pt"/>
        </w:rPr>
        <w:t>Denning</w:t>
      </w:r>
      <w:proofErr w:type="spellEnd"/>
      <w:r>
        <w:rPr>
          <w:lang w:val="pt"/>
        </w:rPr>
        <w:t xml:space="preserve">, D.E. (1987).  Um modelo  de detecção de intrusões. Engenharia de Software, IEEE </w:t>
      </w:r>
      <w:proofErr w:type="spellStart"/>
      <w:r>
        <w:rPr>
          <w:lang w:val="pt"/>
        </w:rPr>
        <w:t>Transactions</w:t>
      </w:r>
      <w:proofErr w:type="spellEnd"/>
      <w:r>
        <w:rPr>
          <w:lang w:val="pt"/>
        </w:rPr>
        <w:t xml:space="preserve"> </w:t>
      </w:r>
      <w:proofErr w:type="spellStart"/>
      <w:r>
        <w:rPr>
          <w:lang w:val="pt"/>
        </w:rPr>
        <w:t>on</w:t>
      </w:r>
      <w:proofErr w:type="spellEnd"/>
      <w:r>
        <w:rPr>
          <w:lang w:val="pt"/>
        </w:rPr>
        <w:t xml:space="preserve">, (2), 222-232. </w:t>
      </w:r>
    </w:p>
    <w:p w14:paraId="2DD19312" w14:textId="77777777" w:rsidR="0089005C" w:rsidRDefault="00095529">
      <w:pPr>
        <w:ind w:left="-5" w:right="44"/>
      </w:pPr>
      <w:proofErr w:type="spellStart"/>
      <w:r>
        <w:rPr>
          <w:lang w:val="pt"/>
        </w:rPr>
        <w:t>Dhamija</w:t>
      </w:r>
      <w:proofErr w:type="spellEnd"/>
      <w:r>
        <w:rPr>
          <w:lang w:val="pt"/>
        </w:rPr>
        <w:t xml:space="preserve">, R., &amp; </w:t>
      </w:r>
      <w:proofErr w:type="spellStart"/>
      <w:r>
        <w:rPr>
          <w:lang w:val="pt"/>
        </w:rPr>
        <w:t>Dusseault</w:t>
      </w:r>
      <w:proofErr w:type="spellEnd"/>
      <w:r>
        <w:rPr>
          <w:lang w:val="pt"/>
        </w:rPr>
        <w:t xml:space="preserve">, L. (2008). As sete falhas da gestão da </w:t>
      </w:r>
      <w:proofErr w:type="spellStart"/>
      <w:r>
        <w:rPr>
          <w:lang w:val="pt"/>
        </w:rPr>
        <w:t>identity</w:t>
      </w:r>
      <w:proofErr w:type="spellEnd"/>
      <w:r>
        <w:rPr>
          <w:lang w:val="pt"/>
        </w:rPr>
        <w:t xml:space="preserve">: </w:t>
      </w:r>
      <w:proofErr w:type="spellStart"/>
      <w:r>
        <w:rPr>
          <w:lang w:val="pt"/>
        </w:rPr>
        <w:t>Usability</w:t>
      </w:r>
      <w:proofErr w:type="spellEnd"/>
      <w:r>
        <w:rPr>
          <w:lang w:val="pt"/>
        </w:rPr>
        <w:t xml:space="preserve"> e desafios de segurança.  </w:t>
      </w:r>
      <w:r>
        <w:rPr>
          <w:i/>
          <w:lang w:val="pt"/>
        </w:rPr>
        <w:t xml:space="preserve">IEEE Security &amp; </w:t>
      </w:r>
      <w:proofErr w:type="spellStart"/>
      <w:r>
        <w:rPr>
          <w:i/>
          <w:lang w:val="pt"/>
        </w:rPr>
        <w:t>Privacy</w:t>
      </w:r>
      <w:proofErr w:type="spellEnd"/>
      <w:r>
        <w:rPr>
          <w:lang w:val="pt"/>
        </w:rPr>
        <w:t xml:space="preserve">, 6(2), 24-29. </w:t>
      </w:r>
    </w:p>
    <w:p w14:paraId="5C03E630" w14:textId="77777777" w:rsidR="0089005C" w:rsidRDefault="00095529">
      <w:pPr>
        <w:ind w:left="-5" w:right="44"/>
      </w:pPr>
      <w:proofErr w:type="spellStart"/>
      <w:r>
        <w:rPr>
          <w:lang w:val="pt"/>
        </w:rPr>
        <w:t>Dhillon</w:t>
      </w:r>
      <w:proofErr w:type="spellEnd"/>
      <w:r>
        <w:rPr>
          <w:lang w:val="pt"/>
        </w:rPr>
        <w:t xml:space="preserve">, G. (1995).  </w:t>
      </w:r>
      <w:r>
        <w:rPr>
          <w:i/>
          <w:lang w:val="pt"/>
        </w:rPr>
        <w:t>Interpretando a gestão da</w:t>
      </w:r>
      <w:r>
        <w:rPr>
          <w:lang w:val="pt"/>
        </w:rPr>
        <w:t xml:space="preserve"> </w:t>
      </w:r>
      <w:r>
        <w:rPr>
          <w:i/>
          <w:lang w:val="pt"/>
        </w:rPr>
        <w:t>segurança</w:t>
      </w:r>
      <w:r>
        <w:rPr>
          <w:lang w:val="pt"/>
        </w:rPr>
        <w:t xml:space="preserve"> dos </w:t>
      </w:r>
      <w:r>
        <w:rPr>
          <w:i/>
          <w:lang w:val="pt"/>
        </w:rPr>
        <w:t xml:space="preserve"> sistemas </w:t>
      </w:r>
      <w:r>
        <w:rPr>
          <w:lang w:val="pt"/>
        </w:rPr>
        <w:t xml:space="preserve"> de </w:t>
      </w:r>
      <w:r>
        <w:rPr>
          <w:i/>
          <w:lang w:val="pt"/>
        </w:rPr>
        <w:t xml:space="preserve"> informação,</w:t>
      </w:r>
      <w:r>
        <w:rPr>
          <w:lang w:val="pt"/>
        </w:rPr>
        <w:t xml:space="preserve"> Departamento de Sistemas de Informação, The London </w:t>
      </w:r>
      <w:proofErr w:type="spellStart"/>
      <w:r>
        <w:rPr>
          <w:lang w:val="pt"/>
        </w:rPr>
        <w:t>School</w:t>
      </w:r>
      <w:proofErr w:type="spellEnd"/>
      <w:r>
        <w:rPr>
          <w:lang w:val="pt"/>
        </w:rPr>
        <w:t xml:space="preserve"> </w:t>
      </w:r>
      <w:proofErr w:type="spellStart"/>
      <w:r>
        <w:rPr>
          <w:lang w:val="pt"/>
        </w:rPr>
        <w:t>of</w:t>
      </w:r>
      <w:proofErr w:type="spellEnd"/>
      <w:r>
        <w:rPr>
          <w:lang w:val="pt"/>
        </w:rPr>
        <w:t xml:space="preserve"> </w:t>
      </w:r>
      <w:proofErr w:type="spellStart"/>
      <w:r>
        <w:rPr>
          <w:lang w:val="pt"/>
        </w:rPr>
        <w:t>Economics</w:t>
      </w:r>
      <w:proofErr w:type="spellEnd"/>
      <w:r>
        <w:rPr>
          <w:lang w:val="pt"/>
        </w:rPr>
        <w:t xml:space="preserve"> e </w:t>
      </w:r>
      <w:proofErr w:type="spellStart"/>
      <w:r>
        <w:rPr>
          <w:lang w:val="pt"/>
        </w:rPr>
        <w:t>Political</w:t>
      </w:r>
      <w:proofErr w:type="spellEnd"/>
      <w:r>
        <w:rPr>
          <w:lang w:val="pt"/>
        </w:rPr>
        <w:t xml:space="preserve"> Science(LSE), Londres, Reino Unido. </w:t>
      </w:r>
    </w:p>
    <w:p w14:paraId="1CA2B8AD" w14:textId="77777777" w:rsidR="0089005C" w:rsidRDefault="00095529">
      <w:pPr>
        <w:spacing w:after="241" w:line="284" w:lineRule="auto"/>
        <w:ind w:left="-5" w:right="41"/>
      </w:pPr>
      <w:proofErr w:type="spellStart"/>
      <w:r>
        <w:rPr>
          <w:lang w:val="pt"/>
        </w:rPr>
        <w:t>Dhillon</w:t>
      </w:r>
      <w:proofErr w:type="spellEnd"/>
      <w:r>
        <w:rPr>
          <w:lang w:val="pt"/>
        </w:rPr>
        <w:t xml:space="preserve">, G. (2001).  </w:t>
      </w:r>
      <w:r>
        <w:rPr>
          <w:i/>
          <w:lang w:val="pt"/>
        </w:rPr>
        <w:t xml:space="preserve">  Gestão da segurança da informação: Desafios globais no novo milênio, </w:t>
      </w:r>
      <w:r>
        <w:rPr>
          <w:lang w:val="pt"/>
        </w:rPr>
        <w:t xml:space="preserve">Idea </w:t>
      </w:r>
      <w:proofErr w:type="spellStart"/>
      <w:r>
        <w:rPr>
          <w:lang w:val="pt"/>
        </w:rPr>
        <w:t>Group</w:t>
      </w:r>
      <w:proofErr w:type="spellEnd"/>
      <w:r>
        <w:rPr>
          <w:lang w:val="pt"/>
        </w:rPr>
        <w:t xml:space="preserve"> </w:t>
      </w:r>
      <w:proofErr w:type="spellStart"/>
      <w:r>
        <w:rPr>
          <w:lang w:val="pt"/>
        </w:rPr>
        <w:t>Publishing</w:t>
      </w:r>
      <w:proofErr w:type="spellEnd"/>
      <w:r>
        <w:rPr>
          <w:lang w:val="pt"/>
        </w:rPr>
        <w:t xml:space="preserve">, Londres, Reino Unido.  </w:t>
      </w:r>
    </w:p>
    <w:p w14:paraId="29937447" w14:textId="77777777" w:rsidR="0089005C" w:rsidRDefault="00095529">
      <w:pPr>
        <w:spacing w:after="241" w:line="284" w:lineRule="auto"/>
        <w:ind w:left="-5" w:right="41"/>
      </w:pPr>
      <w:proofErr w:type="spellStart"/>
      <w:r>
        <w:rPr>
          <w:lang w:val="pt"/>
        </w:rPr>
        <w:t>Dhillon</w:t>
      </w:r>
      <w:proofErr w:type="spellEnd"/>
      <w:r>
        <w:rPr>
          <w:lang w:val="pt"/>
        </w:rPr>
        <w:t xml:space="preserve">, G. (2007).  </w:t>
      </w:r>
      <w:r>
        <w:rPr>
          <w:i/>
          <w:lang w:val="pt"/>
        </w:rPr>
        <w:t>Princípios</w:t>
      </w:r>
      <w:r>
        <w:rPr>
          <w:lang w:val="pt"/>
        </w:rPr>
        <w:t xml:space="preserve"> de </w:t>
      </w:r>
      <w:r>
        <w:rPr>
          <w:i/>
          <w:lang w:val="pt"/>
        </w:rPr>
        <w:t>segurança</w:t>
      </w:r>
      <w:r>
        <w:rPr>
          <w:lang w:val="pt"/>
        </w:rPr>
        <w:t xml:space="preserve"> de </w:t>
      </w:r>
      <w:r>
        <w:rPr>
          <w:i/>
          <w:lang w:val="pt"/>
        </w:rPr>
        <w:t xml:space="preserve"> sistemas  de informação: texto e casos, </w:t>
      </w:r>
      <w:r>
        <w:rPr>
          <w:lang w:val="pt"/>
        </w:rPr>
        <w:t xml:space="preserve">John </w:t>
      </w:r>
      <w:proofErr w:type="spellStart"/>
      <w:r>
        <w:rPr>
          <w:lang w:val="pt"/>
        </w:rPr>
        <w:t>Wiley</w:t>
      </w:r>
      <w:proofErr w:type="spellEnd"/>
      <w:r>
        <w:rPr>
          <w:lang w:val="pt"/>
        </w:rPr>
        <w:t xml:space="preserve"> &amp; Sons, </w:t>
      </w:r>
      <w:proofErr w:type="spellStart"/>
      <w:r>
        <w:rPr>
          <w:lang w:val="pt"/>
        </w:rPr>
        <w:t>Hoboken</w:t>
      </w:r>
      <w:proofErr w:type="spellEnd"/>
      <w:r>
        <w:rPr>
          <w:lang w:val="pt"/>
        </w:rPr>
        <w:t xml:space="preserve">, NJ. </w:t>
      </w:r>
    </w:p>
    <w:p w14:paraId="18E0A0CF" w14:textId="77777777" w:rsidR="0089005C" w:rsidRDefault="00095529">
      <w:pPr>
        <w:ind w:left="-5" w:right="44"/>
      </w:pPr>
      <w:proofErr w:type="spellStart"/>
      <w:r>
        <w:rPr>
          <w:lang w:val="pt"/>
        </w:rPr>
        <w:lastRenderedPageBreak/>
        <w:t>Dhillon</w:t>
      </w:r>
      <w:proofErr w:type="spellEnd"/>
      <w:r>
        <w:rPr>
          <w:lang w:val="pt"/>
        </w:rPr>
        <w:t xml:space="preserve">, G.  e </w:t>
      </w:r>
      <w:proofErr w:type="spellStart"/>
      <w:r>
        <w:rPr>
          <w:lang w:val="pt"/>
        </w:rPr>
        <w:t>Backhouse</w:t>
      </w:r>
      <w:proofErr w:type="spellEnd"/>
      <w:r>
        <w:rPr>
          <w:lang w:val="pt"/>
        </w:rPr>
        <w:t xml:space="preserve">, J. (1996).  Riscos no uso  da  tecnologia da informação dentro das  organizações, </w:t>
      </w:r>
      <w:proofErr w:type="spellStart"/>
      <w:r>
        <w:rPr>
          <w:i/>
          <w:lang w:val="pt"/>
        </w:rPr>
        <w:t>International</w:t>
      </w:r>
      <w:proofErr w:type="spellEnd"/>
      <w:r>
        <w:rPr>
          <w:i/>
          <w:lang w:val="pt"/>
        </w:rPr>
        <w:t xml:space="preserve"> </w:t>
      </w:r>
      <w:proofErr w:type="spellStart"/>
      <w:r>
        <w:rPr>
          <w:i/>
          <w:lang w:val="pt"/>
        </w:rPr>
        <w:t>Journal</w:t>
      </w:r>
      <w:proofErr w:type="spellEnd"/>
      <w:r>
        <w:rPr>
          <w:i/>
          <w:lang w:val="pt"/>
        </w:rPr>
        <w:t xml:space="preserve"> </w:t>
      </w:r>
      <w:proofErr w:type="spellStart"/>
      <w:r>
        <w:rPr>
          <w:i/>
          <w:lang w:val="pt"/>
        </w:rPr>
        <w:t>of</w:t>
      </w:r>
      <w:proofErr w:type="spellEnd"/>
      <w:r>
        <w:rPr>
          <w:i/>
          <w:lang w:val="pt"/>
        </w:rPr>
        <w:t xml:space="preserve">  </w:t>
      </w:r>
      <w:proofErr w:type="spellStart"/>
      <w:r>
        <w:rPr>
          <w:i/>
          <w:lang w:val="pt"/>
        </w:rPr>
        <w:t>Information</w:t>
      </w:r>
      <w:proofErr w:type="spellEnd"/>
      <w:r>
        <w:rPr>
          <w:i/>
          <w:lang w:val="pt"/>
        </w:rPr>
        <w:t xml:space="preserve"> Management,</w:t>
      </w:r>
      <w:r>
        <w:rPr>
          <w:b/>
          <w:lang w:val="pt"/>
        </w:rPr>
        <w:t xml:space="preserve"> 16</w:t>
      </w:r>
      <w:r>
        <w:rPr>
          <w:lang w:val="pt"/>
        </w:rPr>
        <w:t xml:space="preserve">, 1, 65-74. </w:t>
      </w:r>
    </w:p>
    <w:p w14:paraId="7C85F6F1" w14:textId="77777777" w:rsidR="0089005C" w:rsidRDefault="00095529">
      <w:pPr>
        <w:ind w:left="-5" w:right="44"/>
      </w:pPr>
      <w:proofErr w:type="spellStart"/>
      <w:r>
        <w:rPr>
          <w:lang w:val="pt"/>
        </w:rPr>
        <w:t>Dhillon</w:t>
      </w:r>
      <w:proofErr w:type="spellEnd"/>
      <w:r>
        <w:rPr>
          <w:lang w:val="pt"/>
        </w:rPr>
        <w:t xml:space="preserve">, G.  e </w:t>
      </w:r>
      <w:proofErr w:type="spellStart"/>
      <w:r>
        <w:rPr>
          <w:lang w:val="pt"/>
        </w:rPr>
        <w:t>Backhouse</w:t>
      </w:r>
      <w:proofErr w:type="spellEnd"/>
      <w:r>
        <w:rPr>
          <w:lang w:val="pt"/>
        </w:rPr>
        <w:t xml:space="preserve">, J. (2000).  Parecer técnico: Gestão de segurança do sistema  de informações no  novo milênio, </w:t>
      </w:r>
      <w:r>
        <w:rPr>
          <w:i/>
          <w:lang w:val="pt"/>
        </w:rPr>
        <w:t>Comunicações da  ACM,</w:t>
      </w:r>
      <w:r>
        <w:rPr>
          <w:b/>
          <w:lang w:val="pt"/>
        </w:rPr>
        <w:t xml:space="preserve"> 43</w:t>
      </w:r>
      <w:r>
        <w:rPr>
          <w:lang w:val="pt"/>
        </w:rPr>
        <w:t xml:space="preserve">, 7, 125-128. </w:t>
      </w:r>
    </w:p>
    <w:p w14:paraId="3A5F8246" w14:textId="77777777" w:rsidR="0089005C" w:rsidRDefault="00095529">
      <w:pPr>
        <w:spacing w:after="239" w:line="285" w:lineRule="auto"/>
        <w:ind w:left="-5"/>
        <w:jc w:val="left"/>
      </w:pPr>
      <w:proofErr w:type="spellStart"/>
      <w:r>
        <w:rPr>
          <w:lang w:val="pt"/>
        </w:rPr>
        <w:t>Dhillon</w:t>
      </w:r>
      <w:proofErr w:type="spellEnd"/>
      <w:r>
        <w:rPr>
          <w:lang w:val="pt"/>
        </w:rPr>
        <w:t xml:space="preserve">, G.  e </w:t>
      </w:r>
      <w:proofErr w:type="spellStart"/>
      <w:r>
        <w:rPr>
          <w:lang w:val="pt"/>
        </w:rPr>
        <w:t>Backhouse</w:t>
      </w:r>
      <w:proofErr w:type="spellEnd"/>
      <w:r>
        <w:rPr>
          <w:lang w:val="pt"/>
        </w:rPr>
        <w:t xml:space="preserve">, J. (2001).  Direções atuais  na  pesquisa de segurança do EI: para perspectivas </w:t>
      </w:r>
      <w:r>
        <w:rPr>
          <w:i/>
          <w:lang w:val="pt"/>
        </w:rPr>
        <w:t xml:space="preserve"> </w:t>
      </w:r>
      <w:r>
        <w:rPr>
          <w:lang w:val="pt"/>
        </w:rPr>
        <w:t xml:space="preserve"> </w:t>
      </w:r>
      <w:proofErr w:type="spellStart"/>
      <w:r>
        <w:rPr>
          <w:lang w:val="pt"/>
        </w:rPr>
        <w:t>socioprossocionais</w:t>
      </w:r>
      <w:proofErr w:type="spellEnd"/>
      <w:r>
        <w:rPr>
          <w:lang w:val="pt"/>
        </w:rPr>
        <w:t xml:space="preserve">, </w:t>
      </w:r>
      <w:proofErr w:type="spellStart"/>
      <w:r>
        <w:rPr>
          <w:lang w:val="pt"/>
        </w:rPr>
        <w:t>Information</w:t>
      </w:r>
      <w:proofErr w:type="spellEnd"/>
      <w:r>
        <w:rPr>
          <w:lang w:val="pt"/>
        </w:rPr>
        <w:t xml:space="preserve"> Systems </w:t>
      </w:r>
      <w:proofErr w:type="spellStart"/>
      <w:r>
        <w:rPr>
          <w:i/>
          <w:lang w:val="pt"/>
        </w:rPr>
        <w:t>Journal</w:t>
      </w:r>
      <w:proofErr w:type="spellEnd"/>
      <w:r>
        <w:rPr>
          <w:lang w:val="pt"/>
        </w:rPr>
        <w:t xml:space="preserve">, </w:t>
      </w:r>
      <w:r>
        <w:rPr>
          <w:b/>
          <w:lang w:val="pt"/>
        </w:rPr>
        <w:t xml:space="preserve"> 11</w:t>
      </w:r>
      <w:r>
        <w:rPr>
          <w:lang w:val="pt"/>
        </w:rPr>
        <w:t xml:space="preserve">, 2, 127153. </w:t>
      </w:r>
    </w:p>
    <w:p w14:paraId="7D1581AE" w14:textId="77777777" w:rsidR="0089005C" w:rsidRDefault="00095529">
      <w:pPr>
        <w:ind w:left="-5" w:right="44"/>
      </w:pPr>
      <w:proofErr w:type="spellStart"/>
      <w:r>
        <w:rPr>
          <w:lang w:val="pt"/>
        </w:rPr>
        <w:t>Dhillon</w:t>
      </w:r>
      <w:proofErr w:type="spellEnd"/>
      <w:r>
        <w:rPr>
          <w:lang w:val="pt"/>
        </w:rPr>
        <w:t xml:space="preserve">, G., Oliveira, T., </w:t>
      </w:r>
      <w:proofErr w:type="spellStart"/>
      <w:r>
        <w:rPr>
          <w:lang w:val="pt"/>
        </w:rPr>
        <w:t>Susarapu</w:t>
      </w:r>
      <w:proofErr w:type="spellEnd"/>
      <w:r>
        <w:rPr>
          <w:lang w:val="pt"/>
        </w:rPr>
        <w:t xml:space="preserve">, S., &amp; Caldeira, M. (2012). Quando a conveniência supera a segurança: definindo objetivos para a segurança e a usabilidade dos sistemas. Em Informações Security </w:t>
      </w:r>
      <w:proofErr w:type="spellStart"/>
      <w:r>
        <w:rPr>
          <w:lang w:val="pt"/>
        </w:rPr>
        <w:t>and</w:t>
      </w:r>
      <w:proofErr w:type="spellEnd"/>
      <w:r>
        <w:rPr>
          <w:lang w:val="pt"/>
        </w:rPr>
        <w:t xml:space="preserve"> </w:t>
      </w:r>
      <w:proofErr w:type="spellStart"/>
      <w:r>
        <w:rPr>
          <w:lang w:val="pt"/>
        </w:rPr>
        <w:t>Privacy</w:t>
      </w:r>
      <w:proofErr w:type="spellEnd"/>
      <w:r>
        <w:rPr>
          <w:lang w:val="pt"/>
        </w:rPr>
        <w:t xml:space="preserve"> </w:t>
      </w:r>
      <w:proofErr w:type="spellStart"/>
      <w:r>
        <w:rPr>
          <w:lang w:val="pt"/>
        </w:rPr>
        <w:t>Research</w:t>
      </w:r>
      <w:proofErr w:type="spellEnd"/>
      <w:r>
        <w:rPr>
          <w:lang w:val="pt"/>
        </w:rPr>
        <w:t xml:space="preserve"> (pp. 352-363). Springer Berlin Heidelberg. </w:t>
      </w:r>
    </w:p>
    <w:p w14:paraId="3D1CF0A3" w14:textId="77777777" w:rsidR="0089005C" w:rsidRDefault="00095529">
      <w:pPr>
        <w:ind w:left="-5" w:right="44"/>
      </w:pPr>
      <w:proofErr w:type="spellStart"/>
      <w:r>
        <w:rPr>
          <w:lang w:val="pt"/>
        </w:rPr>
        <w:t>Dhillon</w:t>
      </w:r>
      <w:proofErr w:type="spellEnd"/>
      <w:r>
        <w:rPr>
          <w:lang w:val="pt"/>
        </w:rPr>
        <w:t xml:space="preserve">, G.  e </w:t>
      </w:r>
      <w:proofErr w:type="spellStart"/>
      <w:r>
        <w:rPr>
          <w:lang w:val="pt"/>
        </w:rPr>
        <w:t>Kolkowska</w:t>
      </w:r>
      <w:proofErr w:type="spellEnd"/>
      <w:r>
        <w:rPr>
          <w:lang w:val="pt"/>
        </w:rPr>
        <w:t xml:space="preserve">, E. (2011).  Uma nuvem  pode ser realmente segura? Um  diálogo socrático, em </w:t>
      </w:r>
      <w:r>
        <w:rPr>
          <w:i/>
          <w:lang w:val="pt"/>
        </w:rPr>
        <w:t>Computadores, privacidade e</w:t>
      </w:r>
      <w:r>
        <w:rPr>
          <w:lang w:val="pt"/>
        </w:rPr>
        <w:t xml:space="preserve"> </w:t>
      </w:r>
      <w:r>
        <w:rPr>
          <w:i/>
          <w:lang w:val="pt"/>
        </w:rPr>
        <w:t>proteção</w:t>
      </w:r>
      <w:r>
        <w:rPr>
          <w:lang w:val="pt"/>
        </w:rPr>
        <w:t xml:space="preserve"> de </w:t>
      </w:r>
      <w:r>
        <w:rPr>
          <w:i/>
          <w:lang w:val="pt"/>
        </w:rPr>
        <w:t xml:space="preserve"> dados: um elemento de escolha</w:t>
      </w:r>
      <w:r>
        <w:rPr>
          <w:lang w:val="pt"/>
        </w:rPr>
        <w:t xml:space="preserve">, Springer, pp. 345-360. </w:t>
      </w:r>
    </w:p>
    <w:p w14:paraId="1A4883F2" w14:textId="77777777" w:rsidR="0089005C" w:rsidRDefault="00095529">
      <w:pPr>
        <w:ind w:left="-5" w:right="44"/>
      </w:pPr>
      <w:proofErr w:type="spellStart"/>
      <w:r>
        <w:rPr>
          <w:lang w:val="pt"/>
        </w:rPr>
        <w:t>Dhillon</w:t>
      </w:r>
      <w:proofErr w:type="spellEnd"/>
      <w:r>
        <w:rPr>
          <w:lang w:val="pt"/>
        </w:rPr>
        <w:t xml:space="preserve">, G.  e </w:t>
      </w:r>
      <w:proofErr w:type="spellStart"/>
      <w:r>
        <w:rPr>
          <w:lang w:val="pt"/>
        </w:rPr>
        <w:t>Torkzadeh</w:t>
      </w:r>
      <w:proofErr w:type="spellEnd"/>
      <w:r>
        <w:rPr>
          <w:lang w:val="pt"/>
        </w:rPr>
        <w:t xml:space="preserve">, G. (2006).  Avaliação focada no valor da segurança do  sistema  de  informações nas organizações.  </w:t>
      </w:r>
      <w:r>
        <w:rPr>
          <w:i/>
          <w:lang w:val="pt"/>
        </w:rPr>
        <w:t>Diário de Sistemas de Informação,</w:t>
      </w:r>
      <w:r>
        <w:rPr>
          <w:b/>
          <w:lang w:val="pt"/>
        </w:rPr>
        <w:t xml:space="preserve"> 16</w:t>
      </w:r>
      <w:r>
        <w:rPr>
          <w:lang w:val="pt"/>
        </w:rPr>
        <w:t xml:space="preserve">, 3, 293-314. </w:t>
      </w:r>
    </w:p>
    <w:p w14:paraId="6AFA8F83" w14:textId="77777777" w:rsidR="0089005C" w:rsidRDefault="00095529">
      <w:pPr>
        <w:ind w:left="-5" w:right="44"/>
      </w:pPr>
      <w:proofErr w:type="spellStart"/>
      <w:r>
        <w:rPr>
          <w:lang w:val="pt"/>
        </w:rPr>
        <w:t>Dinev</w:t>
      </w:r>
      <w:proofErr w:type="spellEnd"/>
      <w:r>
        <w:rPr>
          <w:lang w:val="pt"/>
        </w:rPr>
        <w:t xml:space="preserve">, T., </w:t>
      </w:r>
      <w:proofErr w:type="spellStart"/>
      <w:r>
        <w:rPr>
          <w:lang w:val="pt"/>
        </w:rPr>
        <w:t>Xu</w:t>
      </w:r>
      <w:proofErr w:type="spellEnd"/>
      <w:r>
        <w:rPr>
          <w:lang w:val="pt"/>
        </w:rPr>
        <w:t xml:space="preserve">, H., Smith, J. H., e Hart, P. (2013).  Privacidade  de informações e correlações: um empírico </w:t>
      </w:r>
      <w:proofErr w:type="spellStart"/>
      <w:r>
        <w:rPr>
          <w:lang w:val="pt"/>
        </w:rPr>
        <w:t>embusca</w:t>
      </w:r>
      <w:proofErr w:type="spellEnd"/>
      <w:r>
        <w:rPr>
          <w:lang w:val="pt"/>
        </w:rPr>
        <w:t xml:space="preserve"> de fazer a ponte e distinguir conceitos relacionados à privacidade.  </w:t>
      </w:r>
      <w:proofErr w:type="spellStart"/>
      <w:r>
        <w:rPr>
          <w:i/>
          <w:lang w:val="pt"/>
        </w:rPr>
        <w:t>European</w:t>
      </w:r>
      <w:proofErr w:type="spellEnd"/>
      <w:r>
        <w:rPr>
          <w:i/>
          <w:lang w:val="pt"/>
        </w:rPr>
        <w:t xml:space="preserve"> </w:t>
      </w:r>
      <w:proofErr w:type="spellStart"/>
      <w:r>
        <w:rPr>
          <w:i/>
          <w:lang w:val="pt"/>
        </w:rPr>
        <w:t>Journal</w:t>
      </w:r>
      <w:proofErr w:type="spellEnd"/>
      <w:r>
        <w:rPr>
          <w:i/>
          <w:lang w:val="pt"/>
        </w:rPr>
        <w:t xml:space="preserve"> </w:t>
      </w:r>
      <w:proofErr w:type="spellStart"/>
      <w:r>
        <w:rPr>
          <w:i/>
          <w:lang w:val="pt"/>
        </w:rPr>
        <w:t>of</w:t>
      </w:r>
      <w:proofErr w:type="spellEnd"/>
      <w:r>
        <w:rPr>
          <w:i/>
          <w:lang w:val="pt"/>
        </w:rPr>
        <w:t xml:space="preserve"> </w:t>
      </w:r>
      <w:proofErr w:type="spellStart"/>
      <w:r>
        <w:rPr>
          <w:i/>
          <w:lang w:val="pt"/>
        </w:rPr>
        <w:t>Information</w:t>
      </w:r>
      <w:proofErr w:type="spellEnd"/>
      <w:r>
        <w:rPr>
          <w:i/>
          <w:lang w:val="pt"/>
        </w:rPr>
        <w:t xml:space="preserve"> Systems</w:t>
      </w:r>
      <w:r>
        <w:rPr>
          <w:lang w:val="pt"/>
        </w:rPr>
        <w:t xml:space="preserve">, 22(3), 295-316. </w:t>
      </w:r>
    </w:p>
    <w:p w14:paraId="29608210" w14:textId="77777777" w:rsidR="0089005C" w:rsidRDefault="00095529">
      <w:pPr>
        <w:ind w:left="-5" w:right="44"/>
      </w:pPr>
      <w:r>
        <w:rPr>
          <w:noProof/>
          <w:lang w:val="pt"/>
        </w:rPr>
        <w:drawing>
          <wp:anchor distT="0" distB="0" distL="114300" distR="114300" simplePos="0" relativeHeight="251677696" behindDoc="0" locked="0" layoutInCell="1" allowOverlap="0" wp14:anchorId="343235A6" wp14:editId="0540E6C4">
            <wp:simplePos x="0" y="0"/>
            <wp:positionH relativeFrom="page">
              <wp:posOffset>838200</wp:posOffset>
            </wp:positionH>
            <wp:positionV relativeFrom="page">
              <wp:posOffset>1707921</wp:posOffset>
            </wp:positionV>
            <wp:extent cx="1219200" cy="726415"/>
            <wp:effectExtent l="0" t="0" r="0" b="0"/>
            <wp:wrapSquare wrapText="bothSides"/>
            <wp:docPr id="2066" name="Picture 2066"/>
            <wp:cNvGraphicFramePr/>
            <a:graphic xmlns:a="http://schemas.openxmlformats.org/drawingml/2006/main">
              <a:graphicData uri="http://schemas.openxmlformats.org/drawingml/2006/picture">
                <pic:pic xmlns:pic="http://schemas.openxmlformats.org/drawingml/2006/picture">
                  <pic:nvPicPr>
                    <pic:cNvPr id="2066" name="Picture 2066"/>
                    <pic:cNvPicPr/>
                  </pic:nvPicPr>
                  <pic:blipFill>
                    <a:blip r:embed="rId8"/>
                    <a:stretch>
                      <a:fillRect/>
                    </a:stretch>
                  </pic:blipFill>
                  <pic:spPr>
                    <a:xfrm>
                      <a:off x="0" y="0"/>
                      <a:ext cx="1219200" cy="726415"/>
                    </a:xfrm>
                    <a:prstGeom prst="rect">
                      <a:avLst/>
                    </a:prstGeom>
                  </pic:spPr>
                </pic:pic>
              </a:graphicData>
            </a:graphic>
          </wp:anchor>
        </w:drawing>
      </w:r>
      <w:proofErr w:type="spellStart"/>
      <w:r>
        <w:rPr>
          <w:lang w:val="pt"/>
        </w:rPr>
        <w:t>Eibl</w:t>
      </w:r>
      <w:proofErr w:type="spellEnd"/>
      <w:r>
        <w:rPr>
          <w:lang w:val="pt"/>
        </w:rPr>
        <w:t>, C.J.  e Schubert, S. E. (2008).  Desenvolvimento de critérios de  design  de e-</w:t>
      </w:r>
      <w:proofErr w:type="spellStart"/>
      <w:r>
        <w:rPr>
          <w:lang w:val="pt"/>
        </w:rPr>
        <w:t>learning</w:t>
      </w:r>
      <w:proofErr w:type="spellEnd"/>
      <w:r>
        <w:rPr>
          <w:lang w:val="pt"/>
        </w:rPr>
        <w:t xml:space="preserve"> com  conceitos de realização segura, Em </w:t>
      </w:r>
      <w:r>
        <w:rPr>
          <w:i/>
          <w:lang w:val="pt"/>
        </w:rPr>
        <w:t xml:space="preserve">Informática </w:t>
      </w:r>
      <w:proofErr w:type="spellStart"/>
      <w:r>
        <w:rPr>
          <w:i/>
          <w:lang w:val="pt"/>
        </w:rPr>
        <w:t>Education-Support</w:t>
      </w:r>
      <w:proofErr w:type="spellEnd"/>
      <w:r>
        <w:rPr>
          <w:i/>
          <w:lang w:val="pt"/>
        </w:rPr>
        <w:t xml:space="preserve"> </w:t>
      </w:r>
      <w:proofErr w:type="spellStart"/>
      <w:r>
        <w:rPr>
          <w:i/>
          <w:lang w:val="pt"/>
        </w:rPr>
        <w:t>Computational</w:t>
      </w:r>
      <w:proofErr w:type="spellEnd"/>
      <w:r>
        <w:rPr>
          <w:lang w:val="pt"/>
        </w:rPr>
        <w:t xml:space="preserve"> </w:t>
      </w:r>
      <w:proofErr w:type="spellStart"/>
      <w:r>
        <w:rPr>
          <w:lang w:val="pt"/>
        </w:rPr>
        <w:t>Thinking</w:t>
      </w:r>
      <w:proofErr w:type="spellEnd"/>
      <w:r>
        <w:rPr>
          <w:lang w:val="pt"/>
        </w:rPr>
        <w:t xml:space="preserve">, Springer, pp. 327-336. </w:t>
      </w:r>
    </w:p>
    <w:p w14:paraId="766A61D2" w14:textId="77777777" w:rsidR="0089005C" w:rsidRDefault="00095529">
      <w:pPr>
        <w:ind w:left="-5" w:right="44"/>
      </w:pPr>
      <w:proofErr w:type="spellStart"/>
      <w:r>
        <w:rPr>
          <w:lang w:val="pt"/>
        </w:rPr>
        <w:t>Fieser</w:t>
      </w:r>
      <w:proofErr w:type="spellEnd"/>
      <w:r>
        <w:rPr>
          <w:lang w:val="pt"/>
        </w:rPr>
        <w:t xml:space="preserve">, James,  Ética, Enciclopédia de Filosofia da Internet  (2006), em www.iep.utm.edu/ (acessado em 21 de dezembro de  2014). </w:t>
      </w:r>
    </w:p>
    <w:p w14:paraId="6A37B677" w14:textId="77777777" w:rsidR="0089005C" w:rsidRDefault="00095529">
      <w:pPr>
        <w:ind w:left="-5" w:right="44"/>
      </w:pPr>
      <w:r>
        <w:rPr>
          <w:lang w:val="pt"/>
        </w:rPr>
        <w:t xml:space="preserve">Fitzgerald, K. J. (1995). Linhas  de base de segurança da informação.  </w:t>
      </w:r>
      <w:proofErr w:type="spellStart"/>
      <w:r>
        <w:rPr>
          <w:i/>
          <w:lang w:val="pt"/>
        </w:rPr>
        <w:t>Informatisobre</w:t>
      </w:r>
      <w:proofErr w:type="spellEnd"/>
      <w:r>
        <w:rPr>
          <w:i/>
          <w:lang w:val="pt"/>
        </w:rPr>
        <w:t xml:space="preserve"> Gestão &amp; Segurança de Computadores</w:t>
      </w:r>
      <w:r>
        <w:rPr>
          <w:lang w:val="pt"/>
        </w:rPr>
        <w:t xml:space="preserve">, 3(2), 8-12. </w:t>
      </w:r>
    </w:p>
    <w:p w14:paraId="765FD2C3" w14:textId="77777777" w:rsidR="0089005C" w:rsidRDefault="00095529">
      <w:pPr>
        <w:ind w:left="-5" w:right="44"/>
      </w:pPr>
      <w:proofErr w:type="spellStart"/>
      <w:r>
        <w:rPr>
          <w:lang w:val="pt"/>
        </w:rPr>
        <w:t>Gattiker</w:t>
      </w:r>
      <w:proofErr w:type="spellEnd"/>
      <w:r>
        <w:rPr>
          <w:lang w:val="pt"/>
        </w:rPr>
        <w:t xml:space="preserve">, U.E.  e H. Kelley: 1999, Moralidade e computadores: Atitudes e diferenças nos julgamentos, </w:t>
      </w:r>
      <w:r>
        <w:rPr>
          <w:i/>
          <w:lang w:val="pt"/>
        </w:rPr>
        <w:t xml:space="preserve"> Pesquisa de</w:t>
      </w:r>
      <w:r>
        <w:rPr>
          <w:lang w:val="pt"/>
        </w:rPr>
        <w:t xml:space="preserve"> </w:t>
      </w:r>
      <w:r>
        <w:rPr>
          <w:i/>
          <w:lang w:val="pt"/>
        </w:rPr>
        <w:t>Informações</w:t>
      </w:r>
      <w:r>
        <w:rPr>
          <w:lang w:val="pt"/>
        </w:rPr>
        <w:t xml:space="preserve">, 10(3); p. 233 </w:t>
      </w:r>
    </w:p>
    <w:p w14:paraId="55257362" w14:textId="77777777" w:rsidR="0089005C" w:rsidRDefault="00095529">
      <w:pPr>
        <w:spacing w:after="0"/>
        <w:ind w:left="-5" w:right="44"/>
      </w:pPr>
      <w:r>
        <w:rPr>
          <w:lang w:val="pt"/>
        </w:rPr>
        <w:lastRenderedPageBreak/>
        <w:t xml:space="preserve">Gill, G., &amp; </w:t>
      </w:r>
      <w:proofErr w:type="spellStart"/>
      <w:r>
        <w:rPr>
          <w:lang w:val="pt"/>
        </w:rPr>
        <w:t>Bhattacherjee</w:t>
      </w:r>
      <w:proofErr w:type="spellEnd"/>
      <w:r>
        <w:rPr>
          <w:lang w:val="pt"/>
        </w:rPr>
        <w:t xml:space="preserve">, A. (2009).  A quem estamos  informando?  Questões e recomendações para a pesquisa do MIS de uma perspectiva  científica informativa.  </w:t>
      </w:r>
      <w:r>
        <w:rPr>
          <w:i/>
          <w:lang w:val="pt"/>
        </w:rPr>
        <w:t>MIS</w:t>
      </w:r>
    </w:p>
    <w:p w14:paraId="18C849DA" w14:textId="77777777" w:rsidR="0089005C" w:rsidRDefault="00095529">
      <w:pPr>
        <w:ind w:left="-5" w:right="44"/>
      </w:pPr>
      <w:r>
        <w:rPr>
          <w:i/>
          <w:lang w:val="pt"/>
        </w:rPr>
        <w:t>Trimestral</w:t>
      </w:r>
      <w:r>
        <w:rPr>
          <w:lang w:val="pt"/>
        </w:rPr>
        <w:t xml:space="preserve">, 33(2), 3. </w:t>
      </w:r>
    </w:p>
    <w:p w14:paraId="56C5DC1A" w14:textId="77777777" w:rsidR="0089005C" w:rsidRDefault="00095529">
      <w:pPr>
        <w:ind w:left="-5" w:right="44"/>
      </w:pPr>
      <w:proofErr w:type="spellStart"/>
      <w:r>
        <w:rPr>
          <w:lang w:val="pt"/>
        </w:rPr>
        <w:t>Gollmann</w:t>
      </w:r>
      <w:proofErr w:type="spellEnd"/>
      <w:r>
        <w:rPr>
          <w:lang w:val="pt"/>
        </w:rPr>
        <w:t xml:space="preserve">, D. (2010). Segurança do computador.  </w:t>
      </w:r>
      <w:proofErr w:type="spellStart"/>
      <w:r>
        <w:rPr>
          <w:lang w:val="pt"/>
        </w:rPr>
        <w:t>Wiley</w:t>
      </w:r>
      <w:proofErr w:type="spellEnd"/>
      <w:r>
        <w:rPr>
          <w:lang w:val="pt"/>
        </w:rPr>
        <w:t xml:space="preserve"> Interdisciplinar: Estatísticas Computacionais, 2(5), 544-554. </w:t>
      </w:r>
    </w:p>
    <w:p w14:paraId="7F99BC37" w14:textId="77777777" w:rsidR="0089005C" w:rsidRDefault="00095529">
      <w:pPr>
        <w:ind w:left="-5" w:right="44"/>
      </w:pPr>
      <w:proofErr w:type="spellStart"/>
      <w:r>
        <w:rPr>
          <w:lang w:val="pt"/>
        </w:rPr>
        <w:t>Gopalakrishnan</w:t>
      </w:r>
      <w:proofErr w:type="spellEnd"/>
      <w:r>
        <w:rPr>
          <w:lang w:val="pt"/>
        </w:rPr>
        <w:t xml:space="preserve">, A. (2009). Cloud </w:t>
      </w:r>
      <w:proofErr w:type="spellStart"/>
      <w:r>
        <w:rPr>
          <w:lang w:val="pt"/>
        </w:rPr>
        <w:t>computing</w:t>
      </w:r>
      <w:proofErr w:type="spellEnd"/>
      <w:r>
        <w:rPr>
          <w:lang w:val="pt"/>
        </w:rPr>
        <w:t xml:space="preserve"> </w:t>
      </w:r>
      <w:proofErr w:type="spellStart"/>
      <w:r>
        <w:rPr>
          <w:lang w:val="pt"/>
        </w:rPr>
        <w:t>identity</w:t>
      </w:r>
      <w:proofErr w:type="spellEnd"/>
      <w:r>
        <w:rPr>
          <w:lang w:val="pt"/>
        </w:rPr>
        <w:t xml:space="preserve"> management.  </w:t>
      </w:r>
      <w:r>
        <w:rPr>
          <w:i/>
          <w:lang w:val="pt"/>
        </w:rPr>
        <w:t xml:space="preserve">Briefings </w:t>
      </w:r>
      <w:proofErr w:type="spellStart"/>
      <w:r>
        <w:rPr>
          <w:i/>
          <w:lang w:val="pt"/>
        </w:rPr>
        <w:t>setlabs</w:t>
      </w:r>
      <w:proofErr w:type="spellEnd"/>
      <w:r>
        <w:rPr>
          <w:lang w:val="pt"/>
        </w:rPr>
        <w:t xml:space="preserve">, 7(7), 45-54. </w:t>
      </w:r>
    </w:p>
    <w:p w14:paraId="47D683F7" w14:textId="77777777" w:rsidR="0089005C" w:rsidRDefault="00095529">
      <w:pPr>
        <w:ind w:left="-5" w:right="44"/>
      </w:pPr>
      <w:proofErr w:type="spellStart"/>
      <w:r>
        <w:rPr>
          <w:lang w:val="pt"/>
        </w:rPr>
        <w:t>Gunson</w:t>
      </w:r>
      <w:proofErr w:type="spellEnd"/>
      <w:r>
        <w:rPr>
          <w:lang w:val="pt"/>
        </w:rPr>
        <w:t xml:space="preserve">, N., Marshall, D., </w:t>
      </w:r>
      <w:proofErr w:type="spellStart"/>
      <w:r>
        <w:rPr>
          <w:lang w:val="pt"/>
        </w:rPr>
        <w:t>Morton</w:t>
      </w:r>
      <w:proofErr w:type="spellEnd"/>
      <w:r>
        <w:rPr>
          <w:lang w:val="pt"/>
        </w:rPr>
        <w:t xml:space="preserve">, H.  e Jack, M. (2011).  Percepções do usuário sobre segurança e usabilidade de autenticação de fator único e dois fatores em  banco  telefônico automatizado, </w:t>
      </w:r>
      <w:r>
        <w:rPr>
          <w:i/>
          <w:lang w:val="pt"/>
        </w:rPr>
        <w:t>Computadores &amp; Segurança,</w:t>
      </w:r>
      <w:r>
        <w:rPr>
          <w:b/>
          <w:lang w:val="pt"/>
        </w:rPr>
        <w:t xml:space="preserve"> 30</w:t>
      </w:r>
      <w:r>
        <w:rPr>
          <w:lang w:val="pt"/>
        </w:rPr>
        <w:t xml:space="preserve">, 4, pp. 208-220.  </w:t>
      </w:r>
    </w:p>
    <w:p w14:paraId="0B91697C" w14:textId="77777777" w:rsidR="0089005C" w:rsidRDefault="00095529">
      <w:pPr>
        <w:ind w:left="-5" w:right="44"/>
      </w:pPr>
      <w:r>
        <w:rPr>
          <w:lang w:val="pt"/>
        </w:rPr>
        <w:t xml:space="preserve">Hall, E. T. (1969). O </w:t>
      </w:r>
      <w:proofErr w:type="spellStart"/>
      <w:r>
        <w:rPr>
          <w:lang w:val="pt"/>
        </w:rPr>
        <w:t>la</w:t>
      </w:r>
      <w:proofErr w:type="spellEnd"/>
      <w:r>
        <w:rPr>
          <w:lang w:val="pt"/>
        </w:rPr>
        <w:t xml:space="preserve"> </w:t>
      </w:r>
      <w:proofErr w:type="spellStart"/>
      <w:r>
        <w:rPr>
          <w:lang w:val="pt"/>
        </w:rPr>
        <w:t>nguage</w:t>
      </w:r>
      <w:proofErr w:type="spellEnd"/>
      <w:r>
        <w:rPr>
          <w:lang w:val="pt"/>
        </w:rPr>
        <w:t xml:space="preserve"> silencioso. 1959. Dimensão Oculta. </w:t>
      </w:r>
    </w:p>
    <w:p w14:paraId="648869D9" w14:textId="77777777" w:rsidR="0089005C" w:rsidRDefault="00095529">
      <w:pPr>
        <w:ind w:left="-5" w:right="44"/>
      </w:pPr>
      <w:proofErr w:type="spellStart"/>
      <w:r>
        <w:rPr>
          <w:lang w:val="pt"/>
        </w:rPr>
        <w:t>Halperin</w:t>
      </w:r>
      <w:proofErr w:type="spellEnd"/>
      <w:r>
        <w:rPr>
          <w:lang w:val="pt"/>
        </w:rPr>
        <w:t xml:space="preserve">, R. (2006).  Identidade como   um campo emergente de estudo, </w:t>
      </w:r>
      <w:proofErr w:type="spellStart"/>
      <w:r>
        <w:rPr>
          <w:i/>
          <w:lang w:val="pt"/>
        </w:rPr>
        <w:t>Datenschutz</w:t>
      </w:r>
      <w:proofErr w:type="spellEnd"/>
      <w:r>
        <w:rPr>
          <w:i/>
          <w:lang w:val="pt"/>
        </w:rPr>
        <w:t xml:space="preserve"> </w:t>
      </w:r>
      <w:proofErr w:type="spellStart"/>
      <w:r>
        <w:rPr>
          <w:i/>
          <w:lang w:val="pt"/>
        </w:rPr>
        <w:t>und</w:t>
      </w:r>
      <w:proofErr w:type="spellEnd"/>
      <w:r>
        <w:rPr>
          <w:i/>
          <w:lang w:val="pt"/>
        </w:rPr>
        <w:t xml:space="preserve"> </w:t>
      </w:r>
      <w:proofErr w:type="spellStart"/>
      <w:r>
        <w:rPr>
          <w:i/>
          <w:lang w:val="pt"/>
        </w:rPr>
        <w:t>Datensicherheit</w:t>
      </w:r>
      <w:proofErr w:type="spellEnd"/>
      <w:r>
        <w:rPr>
          <w:i/>
          <w:lang w:val="pt"/>
        </w:rPr>
        <w:t xml:space="preserve"> - </w:t>
      </w:r>
      <w:proofErr w:type="spellStart"/>
      <w:r>
        <w:rPr>
          <w:i/>
          <w:lang w:val="pt"/>
        </w:rPr>
        <w:t>DuD</w:t>
      </w:r>
      <w:proofErr w:type="spellEnd"/>
      <w:r>
        <w:rPr>
          <w:i/>
          <w:lang w:val="pt"/>
        </w:rPr>
        <w:t>,</w:t>
      </w:r>
      <w:r>
        <w:rPr>
          <w:b/>
          <w:lang w:val="pt"/>
        </w:rPr>
        <w:t xml:space="preserve"> 30</w:t>
      </w:r>
      <w:r>
        <w:rPr>
          <w:lang w:val="pt"/>
        </w:rPr>
        <w:t xml:space="preserve">, 9, 533-537. </w:t>
      </w:r>
    </w:p>
    <w:p w14:paraId="6051A5B0" w14:textId="77777777" w:rsidR="0089005C" w:rsidRDefault="00095529">
      <w:pPr>
        <w:ind w:left="-5" w:right="44"/>
      </w:pPr>
      <w:proofErr w:type="spellStart"/>
      <w:r>
        <w:rPr>
          <w:lang w:val="pt"/>
        </w:rPr>
        <w:t>Halperin</w:t>
      </w:r>
      <w:proofErr w:type="spellEnd"/>
      <w:r>
        <w:rPr>
          <w:lang w:val="pt"/>
        </w:rPr>
        <w:t xml:space="preserve">, R., &amp; </w:t>
      </w:r>
      <w:proofErr w:type="spellStart"/>
      <w:r>
        <w:rPr>
          <w:lang w:val="pt"/>
        </w:rPr>
        <w:t>Backhouse</w:t>
      </w:r>
      <w:proofErr w:type="spellEnd"/>
      <w:r>
        <w:rPr>
          <w:lang w:val="pt"/>
        </w:rPr>
        <w:t xml:space="preserve">, J. (2007).  Usando a teoria da estruturação  na pesquisa do EI: Operacionalizando os principais golpes.  Tramitação da  Conferência Internacional sobre Sistemas  de Informação, (ICIS), p127. </w:t>
      </w:r>
    </w:p>
    <w:p w14:paraId="374E3471" w14:textId="77777777" w:rsidR="0089005C" w:rsidRDefault="00095529">
      <w:pPr>
        <w:ind w:left="-5" w:right="44"/>
      </w:pPr>
      <w:proofErr w:type="spellStart"/>
      <w:r>
        <w:rPr>
          <w:lang w:val="pt"/>
        </w:rPr>
        <w:t>Halperin</w:t>
      </w:r>
      <w:proofErr w:type="spellEnd"/>
      <w:r>
        <w:rPr>
          <w:lang w:val="pt"/>
        </w:rPr>
        <w:t xml:space="preserve">, R., &amp; </w:t>
      </w:r>
      <w:proofErr w:type="spellStart"/>
      <w:r>
        <w:rPr>
          <w:lang w:val="pt"/>
        </w:rPr>
        <w:t>Backhouse</w:t>
      </w:r>
      <w:proofErr w:type="spellEnd"/>
      <w:r>
        <w:rPr>
          <w:lang w:val="pt"/>
        </w:rPr>
        <w:t xml:space="preserve">, J. (2008). Um roteiro para pesquisa sobre identidade na  sociedade da informação.  </w:t>
      </w:r>
      <w:r>
        <w:rPr>
          <w:i/>
          <w:lang w:val="pt"/>
        </w:rPr>
        <w:t>Identidade na  sociedade</w:t>
      </w:r>
      <w:r>
        <w:rPr>
          <w:lang w:val="pt"/>
        </w:rPr>
        <w:t xml:space="preserve"> </w:t>
      </w:r>
      <w:r>
        <w:rPr>
          <w:i/>
          <w:lang w:val="pt"/>
        </w:rPr>
        <w:t>da informação</w:t>
      </w:r>
      <w:r>
        <w:rPr>
          <w:lang w:val="pt"/>
        </w:rPr>
        <w:t xml:space="preserve">, 1(1), 71-87. </w:t>
      </w:r>
    </w:p>
    <w:p w14:paraId="4E3EB548" w14:textId="77777777" w:rsidR="0089005C" w:rsidRDefault="00095529">
      <w:pPr>
        <w:ind w:left="-5" w:right="44"/>
      </w:pPr>
      <w:r>
        <w:rPr>
          <w:lang w:val="pt"/>
        </w:rPr>
        <w:t xml:space="preserve">Harrington, S. J. (1996), O efeito dos códigos de ética e negação pessoal da responsabilidade sobre julgamentos e intenções de  abuso  de  computador.  </w:t>
      </w:r>
      <w:r>
        <w:rPr>
          <w:i/>
          <w:lang w:val="pt"/>
        </w:rPr>
        <w:t>MIS Trimestral</w:t>
      </w:r>
      <w:r>
        <w:rPr>
          <w:lang w:val="pt"/>
        </w:rPr>
        <w:t xml:space="preserve"> 20(3), 257-278. </w:t>
      </w:r>
    </w:p>
    <w:p w14:paraId="56BD6A04" w14:textId="77777777" w:rsidR="0089005C" w:rsidRDefault="00095529">
      <w:pPr>
        <w:ind w:left="-5" w:right="44"/>
      </w:pPr>
      <w:r>
        <w:rPr>
          <w:noProof/>
          <w:lang w:val="pt"/>
        </w:rPr>
        <w:drawing>
          <wp:anchor distT="0" distB="0" distL="114300" distR="114300" simplePos="0" relativeHeight="251678720" behindDoc="0" locked="0" layoutInCell="1" allowOverlap="0" wp14:anchorId="25E1AF4B" wp14:editId="5E0E8BAA">
            <wp:simplePos x="0" y="0"/>
            <wp:positionH relativeFrom="page">
              <wp:posOffset>5850255</wp:posOffset>
            </wp:positionH>
            <wp:positionV relativeFrom="page">
              <wp:posOffset>1707921</wp:posOffset>
            </wp:positionV>
            <wp:extent cx="1219200" cy="726415"/>
            <wp:effectExtent l="0" t="0" r="0" b="0"/>
            <wp:wrapSquare wrapText="bothSides"/>
            <wp:docPr id="2205" name="Picture 2205"/>
            <wp:cNvGraphicFramePr/>
            <a:graphic xmlns:a="http://schemas.openxmlformats.org/drawingml/2006/main">
              <a:graphicData uri="http://schemas.openxmlformats.org/drawingml/2006/picture">
                <pic:pic xmlns:pic="http://schemas.openxmlformats.org/drawingml/2006/picture">
                  <pic:nvPicPr>
                    <pic:cNvPr id="2205" name="Picture 2205"/>
                    <pic:cNvPicPr/>
                  </pic:nvPicPr>
                  <pic:blipFill>
                    <a:blip r:embed="rId8"/>
                    <a:stretch>
                      <a:fillRect/>
                    </a:stretch>
                  </pic:blipFill>
                  <pic:spPr>
                    <a:xfrm>
                      <a:off x="0" y="0"/>
                      <a:ext cx="1219200" cy="726415"/>
                    </a:xfrm>
                    <a:prstGeom prst="rect">
                      <a:avLst/>
                    </a:prstGeom>
                  </pic:spPr>
                </pic:pic>
              </a:graphicData>
            </a:graphic>
          </wp:anchor>
        </w:drawing>
      </w:r>
      <w:r>
        <w:rPr>
          <w:lang w:val="pt"/>
        </w:rPr>
        <w:t>Harris, S. (2002). Guia de  exame de  certificação ALL-in-</w:t>
      </w:r>
      <w:proofErr w:type="spellStart"/>
      <w:r>
        <w:rPr>
          <w:lang w:val="pt"/>
        </w:rPr>
        <w:t>one</w:t>
      </w:r>
      <w:proofErr w:type="spellEnd"/>
      <w:r>
        <w:rPr>
          <w:lang w:val="pt"/>
        </w:rPr>
        <w:t xml:space="preserve"> do CISSP  . Nova Iorque, EUA: McGraw-Hill/Osborne. </w:t>
      </w:r>
    </w:p>
    <w:p w14:paraId="3B98F3A5" w14:textId="77777777" w:rsidR="0089005C" w:rsidRDefault="00095529">
      <w:pPr>
        <w:ind w:left="-5" w:right="44"/>
      </w:pPr>
      <w:r>
        <w:rPr>
          <w:lang w:val="pt"/>
        </w:rPr>
        <w:t xml:space="preserve">Harris, M. (2010). A formação dos objetivos de segurança dos gerentes  através do Treinamento de Conscientização em Segurança  da  Informação, Departamento de Sistemas de Informação, Virginia Commonwealth </w:t>
      </w:r>
      <w:proofErr w:type="spellStart"/>
      <w:r>
        <w:rPr>
          <w:lang w:val="pt"/>
        </w:rPr>
        <w:t>University</w:t>
      </w:r>
      <w:proofErr w:type="spellEnd"/>
      <w:r>
        <w:rPr>
          <w:lang w:val="pt"/>
        </w:rPr>
        <w:t xml:space="preserve">, Richmond, Virgínia, EUA. </w:t>
      </w:r>
    </w:p>
    <w:p w14:paraId="75C7D2C3" w14:textId="77777777" w:rsidR="0089005C" w:rsidRDefault="00095529">
      <w:pPr>
        <w:ind w:left="-5" w:right="44"/>
      </w:pPr>
      <w:proofErr w:type="spellStart"/>
      <w:r>
        <w:rPr>
          <w:lang w:val="pt"/>
        </w:rPr>
        <w:t>Hedström</w:t>
      </w:r>
      <w:proofErr w:type="spellEnd"/>
      <w:r>
        <w:rPr>
          <w:lang w:val="pt"/>
        </w:rPr>
        <w:t xml:space="preserve">, K., </w:t>
      </w:r>
      <w:proofErr w:type="spellStart"/>
      <w:r>
        <w:rPr>
          <w:lang w:val="pt"/>
        </w:rPr>
        <w:t>Dhillon</w:t>
      </w:r>
      <w:proofErr w:type="spellEnd"/>
      <w:r>
        <w:rPr>
          <w:lang w:val="pt"/>
        </w:rPr>
        <w:t xml:space="preserve">, G., &amp; </w:t>
      </w:r>
      <w:proofErr w:type="spellStart"/>
      <w:r>
        <w:rPr>
          <w:lang w:val="pt"/>
        </w:rPr>
        <w:t>Karlsson</w:t>
      </w:r>
      <w:proofErr w:type="spellEnd"/>
      <w:r>
        <w:rPr>
          <w:lang w:val="pt"/>
        </w:rPr>
        <w:t xml:space="preserve">, F. (2010).  Usando a teoria da rede  de atores para entender o   gerenciamento  de segurança da informação. Em Segurança e Privacidade -Forros prateados  na  nuvem (pp. 43-54). Springer Berlin Heidelberg. </w:t>
      </w:r>
    </w:p>
    <w:p w14:paraId="0DED6A2B" w14:textId="77777777" w:rsidR="0089005C" w:rsidRDefault="00095529">
      <w:pPr>
        <w:ind w:left="-5" w:right="44"/>
      </w:pPr>
      <w:r>
        <w:rPr>
          <w:lang w:val="pt"/>
        </w:rPr>
        <w:lastRenderedPageBreak/>
        <w:t xml:space="preserve">Jensen, M., </w:t>
      </w:r>
      <w:proofErr w:type="spellStart"/>
      <w:r>
        <w:rPr>
          <w:lang w:val="pt"/>
        </w:rPr>
        <w:t>Schwenk</w:t>
      </w:r>
      <w:proofErr w:type="spellEnd"/>
      <w:r>
        <w:rPr>
          <w:lang w:val="pt"/>
        </w:rPr>
        <w:t xml:space="preserve">, J., </w:t>
      </w:r>
      <w:proofErr w:type="spellStart"/>
      <w:r>
        <w:rPr>
          <w:lang w:val="pt"/>
        </w:rPr>
        <w:t>Gruschka</w:t>
      </w:r>
      <w:proofErr w:type="spellEnd"/>
      <w:r>
        <w:rPr>
          <w:lang w:val="pt"/>
        </w:rPr>
        <w:t xml:space="preserve">, N., &amp; </w:t>
      </w:r>
      <w:proofErr w:type="spellStart"/>
      <w:r>
        <w:rPr>
          <w:lang w:val="pt"/>
        </w:rPr>
        <w:t>Iacono</w:t>
      </w:r>
      <w:proofErr w:type="spellEnd"/>
      <w:r>
        <w:rPr>
          <w:lang w:val="pt"/>
        </w:rPr>
        <w:t xml:space="preserve">, L. L. (2009).  Sobre questões técnicas de  segurança em computação em nuvem. Em </w:t>
      </w:r>
      <w:r>
        <w:rPr>
          <w:i/>
          <w:lang w:val="pt"/>
        </w:rPr>
        <w:t xml:space="preserve">Cloud </w:t>
      </w:r>
      <w:proofErr w:type="spellStart"/>
      <w:r>
        <w:rPr>
          <w:i/>
          <w:lang w:val="pt"/>
        </w:rPr>
        <w:t>Computing</w:t>
      </w:r>
      <w:proofErr w:type="spellEnd"/>
      <w:r>
        <w:rPr>
          <w:lang w:val="pt"/>
        </w:rPr>
        <w:t xml:space="preserve">, 2009. CLOUD'09. Conferência Internacional do IEEE   (pp. 109-116). IEEE. </w:t>
      </w:r>
    </w:p>
    <w:p w14:paraId="680EB9AD" w14:textId="77777777" w:rsidR="0089005C" w:rsidRDefault="00095529">
      <w:pPr>
        <w:ind w:left="-5" w:right="44"/>
      </w:pPr>
      <w:proofErr w:type="spellStart"/>
      <w:r>
        <w:rPr>
          <w:lang w:val="pt"/>
        </w:rPr>
        <w:t>Joshi</w:t>
      </w:r>
      <w:proofErr w:type="spellEnd"/>
      <w:r>
        <w:rPr>
          <w:lang w:val="pt"/>
        </w:rPr>
        <w:t xml:space="preserve">, J. B., </w:t>
      </w:r>
      <w:proofErr w:type="spellStart"/>
      <w:r>
        <w:rPr>
          <w:lang w:val="pt"/>
        </w:rPr>
        <w:t>Aref</w:t>
      </w:r>
      <w:proofErr w:type="spellEnd"/>
      <w:r>
        <w:rPr>
          <w:lang w:val="pt"/>
        </w:rPr>
        <w:t xml:space="preserve">, W. G., </w:t>
      </w:r>
      <w:proofErr w:type="spellStart"/>
      <w:r>
        <w:rPr>
          <w:lang w:val="pt"/>
        </w:rPr>
        <w:t>Ghafoor</w:t>
      </w:r>
      <w:proofErr w:type="spellEnd"/>
      <w:r>
        <w:rPr>
          <w:lang w:val="pt"/>
        </w:rPr>
        <w:t xml:space="preserve">, A., &amp; </w:t>
      </w:r>
      <w:proofErr w:type="spellStart"/>
      <w:r>
        <w:rPr>
          <w:lang w:val="pt"/>
        </w:rPr>
        <w:t>Spafford</w:t>
      </w:r>
      <w:proofErr w:type="spellEnd"/>
      <w:r>
        <w:rPr>
          <w:lang w:val="pt"/>
        </w:rPr>
        <w:t xml:space="preserve">, E. H. (2001). Modelos de segurança para aplicativos baseados na Web.  </w:t>
      </w:r>
      <w:r>
        <w:rPr>
          <w:i/>
          <w:lang w:val="pt"/>
        </w:rPr>
        <w:t>Comunicações  da ACM</w:t>
      </w:r>
      <w:r>
        <w:rPr>
          <w:lang w:val="pt"/>
        </w:rPr>
        <w:t xml:space="preserve">, 44(2), 38-44. </w:t>
      </w:r>
    </w:p>
    <w:p w14:paraId="17F61BAF" w14:textId="77777777" w:rsidR="0089005C" w:rsidRDefault="00095529">
      <w:pPr>
        <w:ind w:left="-5" w:right="44"/>
      </w:pPr>
      <w:proofErr w:type="spellStart"/>
      <w:r>
        <w:rPr>
          <w:lang w:val="pt"/>
        </w:rPr>
        <w:t>Katsikas</w:t>
      </w:r>
      <w:proofErr w:type="spellEnd"/>
      <w:r>
        <w:rPr>
          <w:lang w:val="pt"/>
        </w:rPr>
        <w:t xml:space="preserve">, S. (2000). Gestão da saúde e segurança dos sistemas  de informação: conscientização, treinamento ou educação?  </w:t>
      </w:r>
      <w:proofErr w:type="spellStart"/>
      <w:r>
        <w:rPr>
          <w:i/>
          <w:lang w:val="pt"/>
        </w:rPr>
        <w:t>International</w:t>
      </w:r>
      <w:proofErr w:type="spellEnd"/>
      <w:r>
        <w:rPr>
          <w:i/>
          <w:lang w:val="pt"/>
        </w:rPr>
        <w:t xml:space="preserve"> </w:t>
      </w:r>
      <w:proofErr w:type="spellStart"/>
      <w:r>
        <w:rPr>
          <w:i/>
          <w:lang w:val="pt"/>
        </w:rPr>
        <w:t>Journal</w:t>
      </w:r>
      <w:proofErr w:type="spellEnd"/>
      <w:r>
        <w:rPr>
          <w:i/>
          <w:lang w:val="pt"/>
        </w:rPr>
        <w:t xml:space="preserve"> </w:t>
      </w:r>
      <w:proofErr w:type="spellStart"/>
      <w:r>
        <w:rPr>
          <w:i/>
          <w:lang w:val="pt"/>
        </w:rPr>
        <w:t>of</w:t>
      </w:r>
      <w:proofErr w:type="spellEnd"/>
      <w:r>
        <w:rPr>
          <w:i/>
          <w:lang w:val="pt"/>
        </w:rPr>
        <w:t xml:space="preserve">  Medical </w:t>
      </w:r>
      <w:proofErr w:type="spellStart"/>
      <w:r>
        <w:rPr>
          <w:i/>
          <w:lang w:val="pt"/>
        </w:rPr>
        <w:t>Informatics</w:t>
      </w:r>
      <w:proofErr w:type="spellEnd"/>
      <w:r>
        <w:rPr>
          <w:lang w:val="pt"/>
        </w:rPr>
        <w:t xml:space="preserve">, 60(2), 129-135. </w:t>
      </w:r>
    </w:p>
    <w:p w14:paraId="5790C963" w14:textId="77777777" w:rsidR="0089005C" w:rsidRDefault="00095529">
      <w:pPr>
        <w:ind w:left="-5" w:right="44"/>
      </w:pPr>
      <w:proofErr w:type="spellStart"/>
      <w:r>
        <w:rPr>
          <w:lang w:val="pt"/>
        </w:rPr>
        <w:t>Katzan</w:t>
      </w:r>
      <w:proofErr w:type="spellEnd"/>
      <w:r>
        <w:rPr>
          <w:lang w:val="pt"/>
        </w:rPr>
        <w:t xml:space="preserve"> Jr. (2011).  Sobre a privacidade da computação em nuvem</w:t>
      </w:r>
      <w:r>
        <w:rPr>
          <w:i/>
          <w:lang w:val="pt"/>
        </w:rPr>
        <w:t xml:space="preserve">. </w:t>
      </w:r>
      <w:r>
        <w:rPr>
          <w:lang w:val="pt"/>
        </w:rPr>
        <w:t xml:space="preserve"> </w:t>
      </w:r>
      <w:proofErr w:type="spellStart"/>
      <w:r>
        <w:rPr>
          <w:i/>
          <w:lang w:val="pt"/>
        </w:rPr>
        <w:t>International</w:t>
      </w:r>
      <w:proofErr w:type="spellEnd"/>
      <w:r>
        <w:rPr>
          <w:i/>
          <w:lang w:val="pt"/>
        </w:rPr>
        <w:t xml:space="preserve"> </w:t>
      </w:r>
      <w:proofErr w:type="spellStart"/>
      <w:r>
        <w:rPr>
          <w:i/>
          <w:lang w:val="pt"/>
        </w:rPr>
        <w:t>Journal</w:t>
      </w:r>
      <w:proofErr w:type="spellEnd"/>
      <w:r>
        <w:rPr>
          <w:i/>
          <w:lang w:val="pt"/>
        </w:rPr>
        <w:t xml:space="preserve"> </w:t>
      </w:r>
      <w:proofErr w:type="spellStart"/>
      <w:r>
        <w:rPr>
          <w:i/>
          <w:lang w:val="pt"/>
        </w:rPr>
        <w:t>of</w:t>
      </w:r>
      <w:proofErr w:type="spellEnd"/>
      <w:r>
        <w:rPr>
          <w:i/>
          <w:lang w:val="pt"/>
        </w:rPr>
        <w:t xml:space="preserve">  Management &amp; </w:t>
      </w:r>
      <w:proofErr w:type="spellStart"/>
      <w:r>
        <w:rPr>
          <w:i/>
          <w:lang w:val="pt"/>
        </w:rPr>
        <w:t>Information</w:t>
      </w:r>
      <w:proofErr w:type="spellEnd"/>
      <w:r>
        <w:rPr>
          <w:lang w:val="pt"/>
        </w:rPr>
        <w:t xml:space="preserve"> Systems,14(2). </w:t>
      </w:r>
      <w:r>
        <w:rPr>
          <w:i/>
          <w:lang w:val="pt"/>
        </w:rPr>
        <w:t xml:space="preserve"> </w:t>
      </w:r>
    </w:p>
    <w:p w14:paraId="688AB95F" w14:textId="77777777" w:rsidR="0089005C" w:rsidRDefault="00095529">
      <w:pPr>
        <w:ind w:left="-5" w:right="44"/>
      </w:pPr>
      <w:proofErr w:type="spellStart"/>
      <w:r>
        <w:rPr>
          <w:lang w:val="pt"/>
        </w:rPr>
        <w:t>Kolkowska</w:t>
      </w:r>
      <w:proofErr w:type="spellEnd"/>
      <w:r>
        <w:rPr>
          <w:lang w:val="pt"/>
        </w:rPr>
        <w:t xml:space="preserve">, E., </w:t>
      </w:r>
      <w:proofErr w:type="spellStart"/>
      <w:r>
        <w:rPr>
          <w:lang w:val="pt"/>
        </w:rPr>
        <w:t>Hedström</w:t>
      </w:r>
      <w:proofErr w:type="spellEnd"/>
      <w:r>
        <w:rPr>
          <w:lang w:val="pt"/>
        </w:rPr>
        <w:t xml:space="preserve">, K., &amp; </w:t>
      </w:r>
      <w:proofErr w:type="spellStart"/>
      <w:r>
        <w:rPr>
          <w:lang w:val="pt"/>
        </w:rPr>
        <w:t>Karlsson</w:t>
      </w:r>
      <w:proofErr w:type="spellEnd"/>
      <w:r>
        <w:rPr>
          <w:lang w:val="pt"/>
        </w:rPr>
        <w:t xml:space="preserve">, F. (2009).  Metas de segurança da informação em um  hospital sueco.  Em Segurança, Garantia e Privacidade:  desafios organizacionais. 8ª Conferência Anual de Segurança, 15 a 16 de Abril de 2009, </w:t>
      </w:r>
      <w:proofErr w:type="spellStart"/>
      <w:r>
        <w:rPr>
          <w:lang w:val="pt"/>
        </w:rPr>
        <w:t>Las</w:t>
      </w:r>
      <w:proofErr w:type="spellEnd"/>
      <w:r>
        <w:rPr>
          <w:lang w:val="pt"/>
        </w:rPr>
        <w:t xml:space="preserve"> Vegas, EUA. </w:t>
      </w:r>
    </w:p>
    <w:p w14:paraId="2CF66C9F" w14:textId="77777777" w:rsidR="0089005C" w:rsidRDefault="00095529">
      <w:pPr>
        <w:ind w:left="-5" w:right="44"/>
      </w:pPr>
      <w:proofErr w:type="spellStart"/>
      <w:r>
        <w:rPr>
          <w:lang w:val="pt"/>
        </w:rPr>
        <w:t>Lewick</w:t>
      </w:r>
      <w:proofErr w:type="spellEnd"/>
      <w:r>
        <w:rPr>
          <w:lang w:val="pt"/>
        </w:rPr>
        <w:t xml:space="preserve">, R.J., &amp; Bunker, B. B. (1996).  Desenvolver e manter a confiança nas  relações de trabalho. Confiança em Organizações: </w:t>
      </w:r>
      <w:proofErr w:type="spellStart"/>
      <w:r>
        <w:rPr>
          <w:lang w:val="pt"/>
        </w:rPr>
        <w:t>Frontiers</w:t>
      </w:r>
      <w:proofErr w:type="spellEnd"/>
      <w:r>
        <w:rPr>
          <w:lang w:val="pt"/>
        </w:rPr>
        <w:t xml:space="preserve"> </w:t>
      </w:r>
      <w:proofErr w:type="spellStart"/>
      <w:r>
        <w:rPr>
          <w:lang w:val="pt"/>
        </w:rPr>
        <w:t>of</w:t>
      </w:r>
      <w:proofErr w:type="spellEnd"/>
      <w:r>
        <w:rPr>
          <w:lang w:val="pt"/>
        </w:rPr>
        <w:t xml:space="preserve"> </w:t>
      </w:r>
      <w:proofErr w:type="spellStart"/>
      <w:r>
        <w:rPr>
          <w:lang w:val="pt"/>
        </w:rPr>
        <w:t>Theory</w:t>
      </w:r>
      <w:proofErr w:type="spellEnd"/>
      <w:r>
        <w:rPr>
          <w:lang w:val="pt"/>
        </w:rPr>
        <w:t xml:space="preserve"> </w:t>
      </w:r>
      <w:proofErr w:type="spellStart"/>
      <w:r>
        <w:rPr>
          <w:lang w:val="pt"/>
        </w:rPr>
        <w:t>and</w:t>
      </w:r>
      <w:proofErr w:type="spellEnd"/>
      <w:r>
        <w:rPr>
          <w:lang w:val="pt"/>
        </w:rPr>
        <w:t xml:space="preserve"> </w:t>
      </w:r>
      <w:proofErr w:type="spellStart"/>
      <w:r>
        <w:rPr>
          <w:lang w:val="pt"/>
        </w:rPr>
        <w:t>Reach</w:t>
      </w:r>
      <w:proofErr w:type="spellEnd"/>
      <w:r>
        <w:rPr>
          <w:lang w:val="pt"/>
        </w:rPr>
        <w:t xml:space="preserve">, 114-39. </w:t>
      </w:r>
    </w:p>
    <w:p w14:paraId="04B1D3F3" w14:textId="77777777" w:rsidR="0089005C" w:rsidRDefault="00095529">
      <w:pPr>
        <w:ind w:left="-5" w:right="44"/>
      </w:pPr>
      <w:proofErr w:type="spellStart"/>
      <w:r>
        <w:rPr>
          <w:lang w:val="pt"/>
        </w:rPr>
        <w:t>Liebenau</w:t>
      </w:r>
      <w:proofErr w:type="spellEnd"/>
      <w:r>
        <w:rPr>
          <w:lang w:val="pt"/>
        </w:rPr>
        <w:t xml:space="preserve">, J.  e </w:t>
      </w:r>
      <w:proofErr w:type="spellStart"/>
      <w:r>
        <w:rPr>
          <w:lang w:val="pt"/>
        </w:rPr>
        <w:t>Backhouse</w:t>
      </w:r>
      <w:proofErr w:type="spellEnd"/>
      <w:r>
        <w:rPr>
          <w:lang w:val="pt"/>
        </w:rPr>
        <w:t xml:space="preserve">, J. (1990).  </w:t>
      </w:r>
      <w:r>
        <w:rPr>
          <w:i/>
          <w:lang w:val="pt"/>
        </w:rPr>
        <w:t xml:space="preserve">Compreensão da informação: uma introdução, </w:t>
      </w:r>
      <w:proofErr w:type="spellStart"/>
      <w:r>
        <w:rPr>
          <w:lang w:val="pt"/>
        </w:rPr>
        <w:t>Macmillan</w:t>
      </w:r>
      <w:proofErr w:type="spellEnd"/>
      <w:r>
        <w:rPr>
          <w:lang w:val="pt"/>
        </w:rPr>
        <w:t xml:space="preserve">, Londres. </w:t>
      </w:r>
    </w:p>
    <w:p w14:paraId="351CCFFE" w14:textId="77777777" w:rsidR="0089005C" w:rsidRDefault="00095529">
      <w:pPr>
        <w:ind w:left="-5" w:right="44"/>
      </w:pPr>
      <w:proofErr w:type="spellStart"/>
      <w:r>
        <w:rPr>
          <w:lang w:val="pt"/>
        </w:rPr>
        <w:t>Luhmann</w:t>
      </w:r>
      <w:proofErr w:type="spellEnd"/>
      <w:r>
        <w:rPr>
          <w:lang w:val="pt"/>
        </w:rPr>
        <w:t xml:space="preserve">, N. (1979). Confiança e Poder.   </w:t>
      </w:r>
      <w:proofErr w:type="spellStart"/>
      <w:r>
        <w:rPr>
          <w:lang w:val="pt"/>
        </w:rPr>
        <w:t>Wiley</w:t>
      </w:r>
      <w:proofErr w:type="spellEnd"/>
      <w:r>
        <w:rPr>
          <w:lang w:val="pt"/>
        </w:rPr>
        <w:t xml:space="preserve">. </w:t>
      </w:r>
    </w:p>
    <w:p w14:paraId="2D641E63" w14:textId="77777777" w:rsidR="0089005C" w:rsidRDefault="00095529">
      <w:pPr>
        <w:ind w:left="-5" w:right="44"/>
      </w:pPr>
      <w:proofErr w:type="spellStart"/>
      <w:r>
        <w:rPr>
          <w:lang w:val="pt"/>
        </w:rPr>
        <w:t>Luo</w:t>
      </w:r>
      <w:proofErr w:type="spellEnd"/>
      <w:r>
        <w:rPr>
          <w:lang w:val="pt"/>
        </w:rPr>
        <w:t xml:space="preserve">, X. (2002). Confiança na produção e na  privacidade  preocupações com o Internet: Uma estrutura  baseada no marketing de  relacionamento e na teoria do intercâmbio social. Gerência de Marketing Industrial, 31(2), 111-118. </w:t>
      </w:r>
    </w:p>
    <w:p w14:paraId="74EE9101" w14:textId="77777777" w:rsidR="0089005C" w:rsidRDefault="00095529">
      <w:pPr>
        <w:ind w:left="-5" w:right="44"/>
      </w:pPr>
      <w:r>
        <w:rPr>
          <w:noProof/>
          <w:lang w:val="pt"/>
        </w:rPr>
        <w:drawing>
          <wp:anchor distT="0" distB="0" distL="114300" distR="114300" simplePos="0" relativeHeight="251679744" behindDoc="0" locked="0" layoutInCell="1" allowOverlap="0" wp14:anchorId="6F10D42B" wp14:editId="73A86689">
            <wp:simplePos x="0" y="0"/>
            <wp:positionH relativeFrom="page">
              <wp:posOffset>838200</wp:posOffset>
            </wp:positionH>
            <wp:positionV relativeFrom="page">
              <wp:posOffset>1707921</wp:posOffset>
            </wp:positionV>
            <wp:extent cx="1219200" cy="726415"/>
            <wp:effectExtent l="0" t="0" r="0" b="0"/>
            <wp:wrapSquare wrapText="bothSides"/>
            <wp:docPr id="2362" name="Picture 2362"/>
            <wp:cNvGraphicFramePr/>
            <a:graphic xmlns:a="http://schemas.openxmlformats.org/drawingml/2006/main">
              <a:graphicData uri="http://schemas.openxmlformats.org/drawingml/2006/picture">
                <pic:pic xmlns:pic="http://schemas.openxmlformats.org/drawingml/2006/picture">
                  <pic:nvPicPr>
                    <pic:cNvPr id="2362" name="Picture 2362"/>
                    <pic:cNvPicPr/>
                  </pic:nvPicPr>
                  <pic:blipFill>
                    <a:blip r:embed="rId8"/>
                    <a:stretch>
                      <a:fillRect/>
                    </a:stretch>
                  </pic:blipFill>
                  <pic:spPr>
                    <a:xfrm>
                      <a:off x="0" y="0"/>
                      <a:ext cx="1219200" cy="726415"/>
                    </a:xfrm>
                    <a:prstGeom prst="rect">
                      <a:avLst/>
                    </a:prstGeom>
                  </pic:spPr>
                </pic:pic>
              </a:graphicData>
            </a:graphic>
          </wp:anchor>
        </w:drawing>
      </w:r>
      <w:r>
        <w:rPr>
          <w:lang w:val="pt"/>
        </w:rPr>
        <w:t xml:space="preserve">Mayer, R.C., Davis, J.H., &amp; </w:t>
      </w:r>
      <w:proofErr w:type="spellStart"/>
      <w:r>
        <w:rPr>
          <w:lang w:val="pt"/>
        </w:rPr>
        <w:t>Schoorman</w:t>
      </w:r>
      <w:proofErr w:type="spellEnd"/>
      <w:r>
        <w:rPr>
          <w:lang w:val="pt"/>
        </w:rPr>
        <w:t xml:space="preserve">, F. D. (1995).  Um modelo  integrativo de confiança organizacional.    709-734. </w:t>
      </w:r>
    </w:p>
    <w:p w14:paraId="7F3DD9C8" w14:textId="77777777" w:rsidR="0089005C" w:rsidRDefault="00095529">
      <w:pPr>
        <w:ind w:left="-5" w:right="44"/>
      </w:pPr>
      <w:proofErr w:type="spellStart"/>
      <w:r>
        <w:rPr>
          <w:lang w:val="pt"/>
        </w:rPr>
        <w:t>McKnight</w:t>
      </w:r>
      <w:proofErr w:type="spellEnd"/>
      <w:r>
        <w:rPr>
          <w:lang w:val="pt"/>
        </w:rPr>
        <w:t xml:space="preserve">, D.H., </w:t>
      </w:r>
      <w:proofErr w:type="spellStart"/>
      <w:r>
        <w:rPr>
          <w:lang w:val="pt"/>
        </w:rPr>
        <w:t>Choudhury</w:t>
      </w:r>
      <w:proofErr w:type="spellEnd"/>
      <w:r>
        <w:rPr>
          <w:lang w:val="pt"/>
        </w:rPr>
        <w:t xml:space="preserve">, V., &amp; </w:t>
      </w:r>
      <w:proofErr w:type="spellStart"/>
      <w:r>
        <w:rPr>
          <w:lang w:val="pt"/>
        </w:rPr>
        <w:t>Kacmar</w:t>
      </w:r>
      <w:proofErr w:type="spellEnd"/>
      <w:r>
        <w:rPr>
          <w:lang w:val="pt"/>
        </w:rPr>
        <w:t xml:space="preserve">, C. (2002).  Desenvolvimento e validação de medidas de confiança para o e-commerce: Uma tipologia integrativa.  </w:t>
      </w:r>
      <w:r>
        <w:rPr>
          <w:i/>
          <w:lang w:val="pt"/>
        </w:rPr>
        <w:t>Pesquisa de Sistemas de Informação</w:t>
      </w:r>
      <w:r>
        <w:rPr>
          <w:lang w:val="pt"/>
        </w:rPr>
        <w:t xml:space="preserve">, 13(3), 334-359. </w:t>
      </w:r>
    </w:p>
    <w:p w14:paraId="02D8C8C4" w14:textId="77777777" w:rsidR="0089005C" w:rsidRDefault="00095529">
      <w:pPr>
        <w:ind w:left="-5" w:right="44"/>
      </w:pPr>
      <w:proofErr w:type="spellStart"/>
      <w:r>
        <w:rPr>
          <w:lang w:val="pt"/>
        </w:rPr>
        <w:t>Olden</w:t>
      </w:r>
      <w:proofErr w:type="spellEnd"/>
      <w:r>
        <w:rPr>
          <w:lang w:val="pt"/>
        </w:rPr>
        <w:t xml:space="preserve">, M.  e </w:t>
      </w:r>
      <w:proofErr w:type="spellStart"/>
      <w:r>
        <w:rPr>
          <w:lang w:val="pt"/>
        </w:rPr>
        <w:t>Za</w:t>
      </w:r>
      <w:proofErr w:type="spellEnd"/>
      <w:r>
        <w:rPr>
          <w:lang w:val="pt"/>
        </w:rPr>
        <w:t xml:space="preserve">, S. (2010).  Infraestruturas de autenticação biométrica e autorização  em  relações </w:t>
      </w:r>
      <w:proofErr w:type="spellStart"/>
      <w:r>
        <w:rPr>
          <w:lang w:val="pt"/>
        </w:rPr>
        <w:t>intra-organizacionais</w:t>
      </w:r>
      <w:proofErr w:type="spellEnd"/>
      <w:r>
        <w:rPr>
          <w:lang w:val="pt"/>
        </w:rPr>
        <w:t xml:space="preserve"> confiáveis, Em </w:t>
      </w:r>
      <w:r>
        <w:rPr>
          <w:i/>
          <w:lang w:val="pt"/>
        </w:rPr>
        <w:t>Gestão do  Mundo Interconectado</w:t>
      </w:r>
      <w:r>
        <w:rPr>
          <w:lang w:val="pt"/>
        </w:rPr>
        <w:t xml:space="preserve">, Springer, pp. 53-60. </w:t>
      </w:r>
    </w:p>
    <w:p w14:paraId="519ACB76" w14:textId="77777777" w:rsidR="0089005C" w:rsidRDefault="00095529">
      <w:pPr>
        <w:ind w:left="-5" w:right="44"/>
      </w:pPr>
      <w:proofErr w:type="spellStart"/>
      <w:r>
        <w:rPr>
          <w:lang w:val="pt"/>
        </w:rPr>
        <w:lastRenderedPageBreak/>
        <w:t>Padayachee</w:t>
      </w:r>
      <w:proofErr w:type="spellEnd"/>
      <w:r>
        <w:rPr>
          <w:lang w:val="pt"/>
        </w:rPr>
        <w:t xml:space="preserve">, K. (2012).  Taxonomia do comportamento de  segurança da informação compatível.  </w:t>
      </w:r>
      <w:r>
        <w:rPr>
          <w:i/>
          <w:lang w:val="pt"/>
        </w:rPr>
        <w:t>Computadores &amp; Segurança</w:t>
      </w:r>
      <w:r>
        <w:rPr>
          <w:lang w:val="pt"/>
        </w:rPr>
        <w:t xml:space="preserve">, 31(5), 673-680. </w:t>
      </w:r>
    </w:p>
    <w:p w14:paraId="3A7C59EB" w14:textId="77777777" w:rsidR="0089005C" w:rsidRDefault="00095529">
      <w:pPr>
        <w:spacing w:after="8"/>
        <w:ind w:left="-5" w:right="44"/>
      </w:pPr>
      <w:r>
        <w:rPr>
          <w:lang w:val="pt"/>
        </w:rPr>
        <w:t xml:space="preserve">Pearson, J. M., Pearson, A., e </w:t>
      </w:r>
      <w:proofErr w:type="spellStart"/>
      <w:r>
        <w:rPr>
          <w:lang w:val="pt"/>
        </w:rPr>
        <w:t>Shim</w:t>
      </w:r>
      <w:proofErr w:type="spellEnd"/>
      <w:r>
        <w:rPr>
          <w:lang w:val="pt"/>
        </w:rPr>
        <w:t>, J. P. (2005). A Relevância da Informação</w:t>
      </w:r>
    </w:p>
    <w:p w14:paraId="4F925400" w14:textId="77777777" w:rsidR="0089005C" w:rsidRDefault="00095529">
      <w:pPr>
        <w:ind w:left="-5" w:right="44"/>
      </w:pPr>
      <w:r>
        <w:rPr>
          <w:lang w:val="pt"/>
        </w:rPr>
        <w:t xml:space="preserve">Pesquisa de Sistemas: A  Visão do Praticante.  </w:t>
      </w:r>
      <w:r>
        <w:rPr>
          <w:i/>
          <w:lang w:val="pt"/>
        </w:rPr>
        <w:t>Revista de Gestão de  Recursos</w:t>
      </w:r>
      <w:r>
        <w:rPr>
          <w:lang w:val="pt"/>
        </w:rPr>
        <w:t xml:space="preserve"> </w:t>
      </w:r>
      <w:r>
        <w:rPr>
          <w:i/>
          <w:lang w:val="pt"/>
        </w:rPr>
        <w:t>da Informação</w:t>
      </w:r>
      <w:r>
        <w:rPr>
          <w:lang w:val="pt"/>
        </w:rPr>
        <w:t xml:space="preserve"> (18:3), pp. 50-67. </w:t>
      </w:r>
    </w:p>
    <w:p w14:paraId="3BAD76B7" w14:textId="77777777" w:rsidR="0089005C" w:rsidRDefault="00095529">
      <w:pPr>
        <w:ind w:left="-5" w:right="44"/>
      </w:pPr>
      <w:proofErr w:type="spellStart"/>
      <w:r>
        <w:rPr>
          <w:lang w:val="pt"/>
        </w:rPr>
        <w:t>Reichheld</w:t>
      </w:r>
      <w:proofErr w:type="spellEnd"/>
      <w:r>
        <w:rPr>
          <w:lang w:val="pt"/>
        </w:rPr>
        <w:t xml:space="preserve">, F.F., </w:t>
      </w:r>
      <w:proofErr w:type="spellStart"/>
      <w:r>
        <w:rPr>
          <w:lang w:val="pt"/>
        </w:rPr>
        <w:t>Schefter</w:t>
      </w:r>
      <w:proofErr w:type="spellEnd"/>
      <w:r>
        <w:rPr>
          <w:lang w:val="pt"/>
        </w:rPr>
        <w:t>, P., (2000). E-</w:t>
      </w:r>
      <w:proofErr w:type="spellStart"/>
      <w:r>
        <w:rPr>
          <w:lang w:val="pt"/>
        </w:rPr>
        <w:t>Loyalty</w:t>
      </w:r>
      <w:proofErr w:type="spellEnd"/>
      <w:r>
        <w:rPr>
          <w:lang w:val="pt"/>
        </w:rPr>
        <w:t xml:space="preserve">: Your </w:t>
      </w:r>
      <w:proofErr w:type="spellStart"/>
      <w:r>
        <w:rPr>
          <w:lang w:val="pt"/>
        </w:rPr>
        <w:t>Secret</w:t>
      </w:r>
      <w:proofErr w:type="spellEnd"/>
      <w:r>
        <w:rPr>
          <w:lang w:val="pt"/>
        </w:rPr>
        <w:t xml:space="preserve"> </w:t>
      </w:r>
      <w:proofErr w:type="spellStart"/>
      <w:r>
        <w:rPr>
          <w:lang w:val="pt"/>
        </w:rPr>
        <w:t>Weapon</w:t>
      </w:r>
      <w:proofErr w:type="spellEnd"/>
      <w:r>
        <w:rPr>
          <w:lang w:val="pt"/>
        </w:rPr>
        <w:t xml:space="preserve"> </w:t>
      </w:r>
      <w:proofErr w:type="spellStart"/>
      <w:r>
        <w:rPr>
          <w:lang w:val="pt"/>
        </w:rPr>
        <w:t>on</w:t>
      </w:r>
      <w:proofErr w:type="spellEnd"/>
      <w:r>
        <w:rPr>
          <w:lang w:val="pt"/>
        </w:rPr>
        <w:t xml:space="preserve"> </w:t>
      </w:r>
      <w:proofErr w:type="spellStart"/>
      <w:r>
        <w:rPr>
          <w:lang w:val="pt"/>
        </w:rPr>
        <w:t>the</w:t>
      </w:r>
      <w:proofErr w:type="spellEnd"/>
      <w:r>
        <w:rPr>
          <w:lang w:val="pt"/>
        </w:rPr>
        <w:t xml:space="preserve"> Web, </w:t>
      </w:r>
      <w:r>
        <w:rPr>
          <w:i/>
          <w:lang w:val="pt"/>
        </w:rPr>
        <w:t>Harvard Business Review</w:t>
      </w:r>
      <w:r>
        <w:rPr>
          <w:lang w:val="pt"/>
        </w:rPr>
        <w:t xml:space="preserve">, 78 4 105. </w:t>
      </w:r>
    </w:p>
    <w:p w14:paraId="08B027D8" w14:textId="77777777" w:rsidR="0089005C" w:rsidRDefault="00095529">
      <w:pPr>
        <w:ind w:left="-5" w:right="44"/>
      </w:pPr>
      <w:proofErr w:type="spellStart"/>
      <w:r>
        <w:rPr>
          <w:lang w:val="pt"/>
        </w:rPr>
        <w:t>Saltzer</w:t>
      </w:r>
      <w:proofErr w:type="spellEnd"/>
      <w:r>
        <w:rPr>
          <w:lang w:val="pt"/>
        </w:rPr>
        <w:t xml:space="preserve">, J. H., &amp; Schroeder, M. D. (1975). A proteção das informações em  sistemas de computador.  Tramitação do  IEEE, 63(9), 1278-1308. </w:t>
      </w:r>
    </w:p>
    <w:p w14:paraId="68F54961" w14:textId="77777777" w:rsidR="0089005C" w:rsidRDefault="00095529">
      <w:pPr>
        <w:ind w:left="-5" w:right="44"/>
      </w:pPr>
      <w:proofErr w:type="spellStart"/>
      <w:r>
        <w:rPr>
          <w:lang w:val="pt"/>
        </w:rPr>
        <w:t>Sandhu</w:t>
      </w:r>
      <w:proofErr w:type="spellEnd"/>
      <w:r>
        <w:rPr>
          <w:lang w:val="pt"/>
        </w:rPr>
        <w:t xml:space="preserve">, R., &amp; </w:t>
      </w:r>
      <w:proofErr w:type="spellStart"/>
      <w:r>
        <w:rPr>
          <w:lang w:val="pt"/>
        </w:rPr>
        <w:t>Buell</w:t>
      </w:r>
      <w:proofErr w:type="spellEnd"/>
      <w:r>
        <w:rPr>
          <w:lang w:val="pt"/>
        </w:rPr>
        <w:t xml:space="preserve">, D.A. (2003).  Introdução dos  Editores Convidados: </w:t>
      </w:r>
      <w:proofErr w:type="spellStart"/>
      <w:r>
        <w:rPr>
          <w:lang w:val="pt"/>
        </w:rPr>
        <w:t>Identity</w:t>
      </w:r>
      <w:proofErr w:type="spellEnd"/>
      <w:r>
        <w:rPr>
          <w:lang w:val="pt"/>
        </w:rPr>
        <w:t xml:space="preserve"> Management.   </w:t>
      </w:r>
      <w:r>
        <w:rPr>
          <w:i/>
          <w:lang w:val="pt"/>
        </w:rPr>
        <w:t xml:space="preserve">IEEE Internet </w:t>
      </w:r>
      <w:proofErr w:type="spellStart"/>
      <w:r>
        <w:rPr>
          <w:i/>
          <w:lang w:val="pt"/>
        </w:rPr>
        <w:t>Computing</w:t>
      </w:r>
      <w:proofErr w:type="spellEnd"/>
      <w:r>
        <w:rPr>
          <w:lang w:val="pt"/>
        </w:rPr>
        <w:t xml:space="preserve">, 7(6), 0026-28. </w:t>
      </w:r>
    </w:p>
    <w:p w14:paraId="250D0C1F" w14:textId="77777777" w:rsidR="0089005C" w:rsidRDefault="00095529">
      <w:pPr>
        <w:ind w:left="-5" w:right="44"/>
      </w:pPr>
      <w:proofErr w:type="spellStart"/>
      <w:r>
        <w:rPr>
          <w:lang w:val="pt"/>
        </w:rPr>
        <w:t>Samonas</w:t>
      </w:r>
      <w:proofErr w:type="spellEnd"/>
      <w:r>
        <w:rPr>
          <w:lang w:val="pt"/>
        </w:rPr>
        <w:t xml:space="preserve">, S. (2012).  </w:t>
      </w:r>
      <w:r>
        <w:rPr>
          <w:i/>
          <w:lang w:val="pt"/>
        </w:rPr>
        <w:t>Gestão</w:t>
      </w:r>
      <w:r>
        <w:rPr>
          <w:lang w:val="pt"/>
        </w:rPr>
        <w:t xml:space="preserve"> da </w:t>
      </w:r>
      <w:r>
        <w:rPr>
          <w:i/>
          <w:lang w:val="pt"/>
        </w:rPr>
        <w:t xml:space="preserve"> Burocracia Informatizada: Oportunidades e Riscos,</w:t>
      </w:r>
      <w:r>
        <w:rPr>
          <w:lang w:val="pt"/>
        </w:rPr>
        <w:t xml:space="preserve"> Departamento de Gestão,  Sistemas  de Informação e Grupo de Inovação, London </w:t>
      </w:r>
      <w:proofErr w:type="spellStart"/>
      <w:r>
        <w:rPr>
          <w:lang w:val="pt"/>
        </w:rPr>
        <w:t>School</w:t>
      </w:r>
      <w:proofErr w:type="spellEnd"/>
      <w:r>
        <w:rPr>
          <w:lang w:val="pt"/>
        </w:rPr>
        <w:t xml:space="preserve"> </w:t>
      </w:r>
      <w:proofErr w:type="spellStart"/>
      <w:r>
        <w:rPr>
          <w:lang w:val="pt"/>
        </w:rPr>
        <w:t>of</w:t>
      </w:r>
      <w:proofErr w:type="spellEnd"/>
      <w:r>
        <w:rPr>
          <w:lang w:val="pt"/>
        </w:rPr>
        <w:t xml:space="preserve"> </w:t>
      </w:r>
      <w:proofErr w:type="spellStart"/>
      <w:r>
        <w:rPr>
          <w:lang w:val="pt"/>
        </w:rPr>
        <w:t>Economics</w:t>
      </w:r>
      <w:proofErr w:type="spellEnd"/>
      <w:r>
        <w:rPr>
          <w:lang w:val="pt"/>
        </w:rPr>
        <w:t xml:space="preserve"> </w:t>
      </w:r>
      <w:proofErr w:type="spellStart"/>
      <w:r>
        <w:rPr>
          <w:lang w:val="pt"/>
        </w:rPr>
        <w:t>and</w:t>
      </w:r>
      <w:proofErr w:type="spellEnd"/>
      <w:r>
        <w:rPr>
          <w:lang w:val="pt"/>
        </w:rPr>
        <w:t xml:space="preserve"> </w:t>
      </w:r>
      <w:proofErr w:type="spellStart"/>
      <w:r>
        <w:rPr>
          <w:lang w:val="pt"/>
        </w:rPr>
        <w:t>Political</w:t>
      </w:r>
      <w:proofErr w:type="spellEnd"/>
      <w:r>
        <w:rPr>
          <w:lang w:val="pt"/>
        </w:rPr>
        <w:t xml:space="preserve"> Science (LSE), Londres, Reino Unido. </w:t>
      </w:r>
    </w:p>
    <w:p w14:paraId="0096BABC" w14:textId="77777777" w:rsidR="0089005C" w:rsidRDefault="00095529">
      <w:pPr>
        <w:ind w:left="-5" w:right="44"/>
      </w:pPr>
      <w:proofErr w:type="spellStart"/>
      <w:r>
        <w:rPr>
          <w:lang w:val="pt"/>
        </w:rPr>
        <w:t>Sipior</w:t>
      </w:r>
      <w:proofErr w:type="spellEnd"/>
      <w:r>
        <w:rPr>
          <w:lang w:val="pt"/>
        </w:rPr>
        <w:t xml:space="preserve">, J.C., B.T. Ward e G.R.  </w:t>
      </w:r>
      <w:proofErr w:type="spellStart"/>
      <w:r>
        <w:rPr>
          <w:lang w:val="pt"/>
        </w:rPr>
        <w:t>Roselli</w:t>
      </w:r>
      <w:proofErr w:type="spellEnd"/>
      <w:r>
        <w:rPr>
          <w:lang w:val="pt"/>
        </w:rPr>
        <w:t xml:space="preserve"> (2005). As Preocupações Éticas e Legais  do </w:t>
      </w:r>
      <w:proofErr w:type="spellStart"/>
      <w:r>
        <w:rPr>
          <w:lang w:val="pt"/>
        </w:rPr>
        <w:t>Spyware</w:t>
      </w:r>
      <w:proofErr w:type="spellEnd"/>
      <w:r>
        <w:rPr>
          <w:lang w:val="pt"/>
        </w:rPr>
        <w:t xml:space="preserve">.  </w:t>
      </w:r>
      <w:r>
        <w:rPr>
          <w:i/>
          <w:lang w:val="pt"/>
        </w:rPr>
        <w:t xml:space="preserve"> Gestão da</w:t>
      </w:r>
      <w:r>
        <w:rPr>
          <w:lang w:val="pt"/>
        </w:rPr>
        <w:t xml:space="preserve"> </w:t>
      </w:r>
      <w:r>
        <w:rPr>
          <w:i/>
          <w:lang w:val="pt"/>
        </w:rPr>
        <w:t>Informação</w:t>
      </w:r>
      <w:r>
        <w:rPr>
          <w:lang w:val="pt"/>
        </w:rPr>
        <w:t xml:space="preserve"> 22(2), 39-49. </w:t>
      </w:r>
    </w:p>
    <w:p w14:paraId="31867DFD" w14:textId="77777777" w:rsidR="0089005C" w:rsidRDefault="00095529">
      <w:pPr>
        <w:spacing w:after="241" w:line="284" w:lineRule="auto"/>
        <w:ind w:left="-5" w:right="41"/>
      </w:pPr>
      <w:proofErr w:type="spellStart"/>
      <w:r>
        <w:rPr>
          <w:lang w:val="pt"/>
        </w:rPr>
        <w:t>Smithson</w:t>
      </w:r>
      <w:proofErr w:type="spellEnd"/>
      <w:r>
        <w:rPr>
          <w:lang w:val="pt"/>
        </w:rPr>
        <w:t xml:space="preserve">, S.  e Angell, I. (1991).  </w:t>
      </w:r>
      <w:r>
        <w:rPr>
          <w:i/>
          <w:lang w:val="pt"/>
        </w:rPr>
        <w:t xml:space="preserve"> Gestão de sistemas de informação: oportunidades e riscos, </w:t>
      </w:r>
      <w:proofErr w:type="spellStart"/>
      <w:r>
        <w:rPr>
          <w:lang w:val="pt"/>
        </w:rPr>
        <w:t>Palgrave</w:t>
      </w:r>
      <w:proofErr w:type="spellEnd"/>
      <w:r>
        <w:rPr>
          <w:lang w:val="pt"/>
        </w:rPr>
        <w:t xml:space="preserve"> </w:t>
      </w:r>
      <w:proofErr w:type="spellStart"/>
      <w:r>
        <w:rPr>
          <w:lang w:val="pt"/>
        </w:rPr>
        <w:t>Macmillan</w:t>
      </w:r>
      <w:proofErr w:type="spellEnd"/>
      <w:r>
        <w:rPr>
          <w:lang w:val="pt"/>
        </w:rPr>
        <w:t xml:space="preserve">. </w:t>
      </w:r>
    </w:p>
    <w:p w14:paraId="0F9C1587" w14:textId="77777777" w:rsidR="0089005C" w:rsidRDefault="00095529">
      <w:pPr>
        <w:ind w:left="-5" w:right="44"/>
      </w:pPr>
      <w:proofErr w:type="spellStart"/>
      <w:r>
        <w:rPr>
          <w:lang w:val="pt"/>
        </w:rPr>
        <w:t>Spagnoletti</w:t>
      </w:r>
      <w:proofErr w:type="spellEnd"/>
      <w:r>
        <w:rPr>
          <w:lang w:val="pt"/>
        </w:rPr>
        <w:t xml:space="preserve">, P.  e </w:t>
      </w:r>
      <w:proofErr w:type="spellStart"/>
      <w:r>
        <w:rPr>
          <w:lang w:val="pt"/>
        </w:rPr>
        <w:t>Resca</w:t>
      </w:r>
      <w:proofErr w:type="spellEnd"/>
      <w:r>
        <w:rPr>
          <w:lang w:val="pt"/>
        </w:rPr>
        <w:t xml:space="preserve">, A. (2008) A dualidade da Gestão de Segurança da Informação: combate a ameaças previsíveis e imprevisíveis, </w:t>
      </w:r>
      <w:proofErr w:type="spellStart"/>
      <w:r>
        <w:rPr>
          <w:i/>
          <w:lang w:val="pt"/>
        </w:rPr>
        <w:t>Journal</w:t>
      </w:r>
      <w:proofErr w:type="spellEnd"/>
      <w:r>
        <w:rPr>
          <w:i/>
          <w:lang w:val="pt"/>
        </w:rPr>
        <w:t xml:space="preserve"> </w:t>
      </w:r>
      <w:proofErr w:type="spellStart"/>
      <w:r>
        <w:rPr>
          <w:i/>
          <w:lang w:val="pt"/>
        </w:rPr>
        <w:t>of</w:t>
      </w:r>
      <w:proofErr w:type="spellEnd"/>
      <w:r>
        <w:rPr>
          <w:i/>
          <w:lang w:val="pt"/>
        </w:rPr>
        <w:t xml:space="preserve"> </w:t>
      </w:r>
      <w:proofErr w:type="spellStart"/>
      <w:r>
        <w:rPr>
          <w:i/>
          <w:lang w:val="pt"/>
        </w:rPr>
        <w:t>Information</w:t>
      </w:r>
      <w:proofErr w:type="spellEnd"/>
      <w:r>
        <w:rPr>
          <w:i/>
          <w:lang w:val="pt"/>
        </w:rPr>
        <w:t xml:space="preserve"> System Security,</w:t>
      </w:r>
      <w:r>
        <w:rPr>
          <w:lang w:val="pt"/>
        </w:rPr>
        <w:t xml:space="preserve"> 446-62. </w:t>
      </w:r>
    </w:p>
    <w:p w14:paraId="71F28703" w14:textId="77777777" w:rsidR="0089005C" w:rsidRDefault="00095529">
      <w:pPr>
        <w:ind w:left="-5" w:right="44"/>
      </w:pPr>
      <w:proofErr w:type="spellStart"/>
      <w:r>
        <w:rPr>
          <w:lang w:val="pt"/>
        </w:rPr>
        <w:t>Stamper</w:t>
      </w:r>
      <w:proofErr w:type="spellEnd"/>
      <w:r>
        <w:rPr>
          <w:lang w:val="pt"/>
        </w:rPr>
        <w:t xml:space="preserve">, R. (1973).  Informações em sistemas empresariais e administrativos. John </w:t>
      </w:r>
      <w:proofErr w:type="spellStart"/>
      <w:r>
        <w:rPr>
          <w:lang w:val="pt"/>
        </w:rPr>
        <w:t>Wiley</w:t>
      </w:r>
      <w:proofErr w:type="spellEnd"/>
      <w:r>
        <w:rPr>
          <w:lang w:val="pt"/>
        </w:rPr>
        <w:t xml:space="preserve"> &amp; Sons, Inc. </w:t>
      </w:r>
    </w:p>
    <w:p w14:paraId="003271AC" w14:textId="77777777" w:rsidR="0089005C" w:rsidRDefault="00095529">
      <w:pPr>
        <w:ind w:left="-5" w:right="44"/>
      </w:pPr>
      <w:r>
        <w:rPr>
          <w:noProof/>
          <w:lang w:val="pt"/>
        </w:rPr>
        <w:drawing>
          <wp:anchor distT="0" distB="0" distL="114300" distR="114300" simplePos="0" relativeHeight="251680768" behindDoc="0" locked="0" layoutInCell="1" allowOverlap="0" wp14:anchorId="1E728BC9" wp14:editId="2B6954CB">
            <wp:simplePos x="0" y="0"/>
            <wp:positionH relativeFrom="page">
              <wp:posOffset>5850255</wp:posOffset>
            </wp:positionH>
            <wp:positionV relativeFrom="page">
              <wp:posOffset>1707921</wp:posOffset>
            </wp:positionV>
            <wp:extent cx="1219200" cy="726415"/>
            <wp:effectExtent l="0" t="0" r="0" b="0"/>
            <wp:wrapSquare wrapText="bothSides"/>
            <wp:docPr id="2489" name="Picture 2489"/>
            <wp:cNvGraphicFramePr/>
            <a:graphic xmlns:a="http://schemas.openxmlformats.org/drawingml/2006/main">
              <a:graphicData uri="http://schemas.openxmlformats.org/drawingml/2006/picture">
                <pic:pic xmlns:pic="http://schemas.openxmlformats.org/drawingml/2006/picture">
                  <pic:nvPicPr>
                    <pic:cNvPr id="2489" name="Picture 2489"/>
                    <pic:cNvPicPr/>
                  </pic:nvPicPr>
                  <pic:blipFill>
                    <a:blip r:embed="rId8"/>
                    <a:stretch>
                      <a:fillRect/>
                    </a:stretch>
                  </pic:blipFill>
                  <pic:spPr>
                    <a:xfrm>
                      <a:off x="0" y="0"/>
                      <a:ext cx="1219200" cy="726415"/>
                    </a:xfrm>
                    <a:prstGeom prst="rect">
                      <a:avLst/>
                    </a:prstGeom>
                  </pic:spPr>
                </pic:pic>
              </a:graphicData>
            </a:graphic>
          </wp:anchor>
        </w:drawing>
      </w:r>
      <w:proofErr w:type="spellStart"/>
      <w:r>
        <w:rPr>
          <w:lang w:val="pt"/>
        </w:rPr>
        <w:t>Straub</w:t>
      </w:r>
      <w:proofErr w:type="spellEnd"/>
      <w:r>
        <w:rPr>
          <w:lang w:val="pt"/>
        </w:rPr>
        <w:t xml:space="preserve"> Jr.  Segurança eficaz do EI: um estudo empírico.  </w:t>
      </w:r>
      <w:r>
        <w:rPr>
          <w:i/>
          <w:lang w:val="pt"/>
        </w:rPr>
        <w:t>Pesquisa de Sistemas de Informação</w:t>
      </w:r>
      <w:r>
        <w:rPr>
          <w:lang w:val="pt"/>
        </w:rPr>
        <w:t xml:space="preserve">, 1(3), 255-276. </w:t>
      </w:r>
    </w:p>
    <w:p w14:paraId="2A3F7AD3" w14:textId="77777777" w:rsidR="0089005C" w:rsidRDefault="00095529">
      <w:pPr>
        <w:spacing w:after="241" w:line="284" w:lineRule="auto"/>
        <w:ind w:left="-5" w:right="41"/>
      </w:pPr>
      <w:r>
        <w:rPr>
          <w:lang w:val="pt"/>
        </w:rPr>
        <w:t xml:space="preserve">van </w:t>
      </w:r>
      <w:proofErr w:type="spellStart"/>
      <w:r>
        <w:rPr>
          <w:lang w:val="pt"/>
        </w:rPr>
        <w:t>Deursen</w:t>
      </w:r>
      <w:proofErr w:type="spellEnd"/>
      <w:r>
        <w:rPr>
          <w:lang w:val="pt"/>
        </w:rPr>
        <w:t xml:space="preserve">, N. (2014).  </w:t>
      </w:r>
      <w:r>
        <w:rPr>
          <w:i/>
          <w:lang w:val="pt"/>
        </w:rPr>
        <w:t>HI-Risk: um Método</w:t>
      </w:r>
      <w:r>
        <w:rPr>
          <w:lang w:val="pt"/>
        </w:rPr>
        <w:t xml:space="preserve"> </w:t>
      </w:r>
      <w:r>
        <w:rPr>
          <w:i/>
          <w:lang w:val="pt"/>
        </w:rPr>
        <w:t>Sociotécnico para  identificação e monitoramento de</w:t>
      </w:r>
      <w:r>
        <w:rPr>
          <w:lang w:val="pt"/>
        </w:rPr>
        <w:t xml:space="preserve"> </w:t>
      </w:r>
      <w:r>
        <w:rPr>
          <w:i/>
          <w:lang w:val="pt"/>
        </w:rPr>
        <w:t>riscos</w:t>
      </w:r>
      <w:r>
        <w:rPr>
          <w:lang w:val="pt"/>
        </w:rPr>
        <w:t xml:space="preserve"> de </w:t>
      </w:r>
      <w:r>
        <w:rPr>
          <w:i/>
          <w:lang w:val="pt"/>
        </w:rPr>
        <w:t xml:space="preserve"> segurança </w:t>
      </w:r>
      <w:r>
        <w:rPr>
          <w:lang w:val="pt"/>
        </w:rPr>
        <w:t xml:space="preserve"> da </w:t>
      </w:r>
      <w:r>
        <w:rPr>
          <w:i/>
          <w:lang w:val="pt"/>
        </w:rPr>
        <w:t>informação</w:t>
      </w:r>
      <w:r>
        <w:rPr>
          <w:lang w:val="pt"/>
        </w:rPr>
        <w:t xml:space="preserve"> em </w:t>
      </w:r>
      <w:r>
        <w:rPr>
          <w:i/>
          <w:lang w:val="pt"/>
        </w:rPr>
        <w:t xml:space="preserve"> saúde  na sociedade de informação,</w:t>
      </w:r>
      <w:r>
        <w:rPr>
          <w:lang w:val="pt"/>
        </w:rPr>
        <w:t xml:space="preserve"> Instituto de Informática e Inovação Digital, Edimburgo Napier  Universidade, Edimburgo, Reino Unido. </w:t>
      </w:r>
    </w:p>
    <w:p w14:paraId="6057B1FD" w14:textId="77777777" w:rsidR="0089005C" w:rsidRDefault="00095529">
      <w:pPr>
        <w:ind w:left="-5" w:right="44"/>
      </w:pPr>
      <w:r>
        <w:rPr>
          <w:lang w:val="pt"/>
        </w:rPr>
        <w:lastRenderedPageBreak/>
        <w:t xml:space="preserve">von </w:t>
      </w:r>
      <w:proofErr w:type="spellStart"/>
      <w:r>
        <w:rPr>
          <w:lang w:val="pt"/>
        </w:rPr>
        <w:t>Solms</w:t>
      </w:r>
      <w:proofErr w:type="spellEnd"/>
      <w:r>
        <w:rPr>
          <w:lang w:val="pt"/>
        </w:rPr>
        <w:t xml:space="preserve">  e van </w:t>
      </w:r>
      <w:proofErr w:type="spellStart"/>
      <w:r>
        <w:rPr>
          <w:lang w:val="pt"/>
        </w:rPr>
        <w:t>Niekerk</w:t>
      </w:r>
      <w:proofErr w:type="spellEnd"/>
      <w:r>
        <w:rPr>
          <w:lang w:val="pt"/>
        </w:rPr>
        <w:t xml:space="preserve">, J. (2013). Da segurança da informação  à segurança cibernética, </w:t>
      </w:r>
      <w:r>
        <w:rPr>
          <w:i/>
          <w:lang w:val="pt"/>
        </w:rPr>
        <w:t>Computadores &amp; Segurança,</w:t>
      </w:r>
      <w:r>
        <w:rPr>
          <w:b/>
          <w:lang w:val="pt"/>
        </w:rPr>
        <w:t xml:space="preserve"> 38</w:t>
      </w:r>
      <w:r>
        <w:rPr>
          <w:lang w:val="pt"/>
        </w:rPr>
        <w:t xml:space="preserve">, pp. 97-102. </w:t>
      </w:r>
    </w:p>
    <w:p w14:paraId="1F542E20" w14:textId="77777777" w:rsidR="0089005C" w:rsidRDefault="00095529">
      <w:pPr>
        <w:ind w:left="-5" w:right="44"/>
      </w:pPr>
      <w:proofErr w:type="spellStart"/>
      <w:r>
        <w:rPr>
          <w:lang w:val="pt"/>
        </w:rPr>
        <w:t>Vroom</w:t>
      </w:r>
      <w:proofErr w:type="spellEnd"/>
      <w:r>
        <w:rPr>
          <w:lang w:val="pt"/>
        </w:rPr>
        <w:t xml:space="preserve">, C., &amp; Von </w:t>
      </w:r>
      <w:proofErr w:type="spellStart"/>
      <w:r>
        <w:rPr>
          <w:lang w:val="pt"/>
        </w:rPr>
        <w:t>Solms</w:t>
      </w:r>
      <w:proofErr w:type="spellEnd"/>
      <w:r>
        <w:rPr>
          <w:lang w:val="pt"/>
        </w:rPr>
        <w:t xml:space="preserve">, R. (2004).  Para conformidade comportamental de segurança da informação.  </w:t>
      </w:r>
      <w:r>
        <w:rPr>
          <w:i/>
          <w:lang w:val="pt"/>
        </w:rPr>
        <w:t>Computadores &amp; Segurança</w:t>
      </w:r>
      <w:r>
        <w:rPr>
          <w:lang w:val="pt"/>
        </w:rPr>
        <w:t xml:space="preserve">, 23(3), 191-198. </w:t>
      </w:r>
    </w:p>
    <w:p w14:paraId="7B7A34B9" w14:textId="77777777" w:rsidR="0089005C" w:rsidRDefault="00095529">
      <w:pPr>
        <w:ind w:left="-5" w:right="44"/>
      </w:pPr>
      <w:r>
        <w:rPr>
          <w:lang w:val="pt"/>
        </w:rPr>
        <w:t>Wang, H, Lee, M, e Wang, C. (1998).  Privacidade do consumidor  Preocupações com o Marketing na Internet</w:t>
      </w:r>
      <w:r>
        <w:rPr>
          <w:i/>
          <w:lang w:val="pt"/>
        </w:rPr>
        <w:t>. Comunicações  da ACM</w:t>
      </w:r>
      <w:r>
        <w:rPr>
          <w:lang w:val="pt"/>
        </w:rPr>
        <w:t xml:space="preserve">, março </w:t>
      </w:r>
      <w:r>
        <w:rPr>
          <w:i/>
          <w:lang w:val="pt"/>
        </w:rPr>
        <w:t>de</w:t>
      </w:r>
      <w:r>
        <w:rPr>
          <w:lang w:val="pt"/>
        </w:rPr>
        <w:t xml:space="preserve"> 1998, Volume 41, </w:t>
      </w:r>
      <w:proofErr w:type="spellStart"/>
      <w:r>
        <w:rPr>
          <w:lang w:val="pt"/>
        </w:rPr>
        <w:t>Number</w:t>
      </w:r>
      <w:proofErr w:type="spellEnd"/>
      <w:r>
        <w:rPr>
          <w:lang w:val="pt"/>
        </w:rPr>
        <w:t xml:space="preserve"> 3, 63-70. </w:t>
      </w:r>
    </w:p>
    <w:p w14:paraId="1A4598C4" w14:textId="77777777" w:rsidR="0089005C" w:rsidRDefault="00095529">
      <w:pPr>
        <w:ind w:left="-5" w:right="44"/>
      </w:pPr>
      <w:r>
        <w:rPr>
          <w:lang w:val="pt"/>
        </w:rPr>
        <w:t xml:space="preserve">Weir, C.S., Douglas, G., </w:t>
      </w:r>
      <w:proofErr w:type="spellStart"/>
      <w:r>
        <w:rPr>
          <w:lang w:val="pt"/>
        </w:rPr>
        <w:t>Carruthers</w:t>
      </w:r>
      <w:proofErr w:type="spellEnd"/>
      <w:r>
        <w:rPr>
          <w:lang w:val="pt"/>
        </w:rPr>
        <w:t xml:space="preserve">, M.  e Jack, M. (2009).   Percepções do usuário sobre  segurança, conveniência e usabilidade para  tokens  de  autenticação de </w:t>
      </w:r>
      <w:proofErr w:type="spellStart"/>
      <w:r>
        <w:rPr>
          <w:lang w:val="pt"/>
        </w:rPr>
        <w:t>ebanking</w:t>
      </w:r>
      <w:proofErr w:type="spellEnd"/>
      <w:r>
        <w:rPr>
          <w:lang w:val="pt"/>
        </w:rPr>
        <w:t xml:space="preserve">, </w:t>
      </w:r>
      <w:r>
        <w:rPr>
          <w:i/>
          <w:lang w:val="pt"/>
        </w:rPr>
        <w:t>Computadores &amp; Segurança,</w:t>
      </w:r>
      <w:r>
        <w:rPr>
          <w:b/>
          <w:lang w:val="pt"/>
        </w:rPr>
        <w:t xml:space="preserve"> 28</w:t>
      </w:r>
      <w:r>
        <w:rPr>
          <w:lang w:val="pt"/>
        </w:rPr>
        <w:t xml:space="preserve">, 1-2, pp. 47-62. </w:t>
      </w:r>
    </w:p>
    <w:p w14:paraId="7B025EE8" w14:textId="77777777" w:rsidR="0089005C" w:rsidRDefault="00095529">
      <w:pPr>
        <w:ind w:left="-5" w:right="44"/>
      </w:pPr>
      <w:proofErr w:type="spellStart"/>
      <w:r>
        <w:rPr>
          <w:lang w:val="pt"/>
        </w:rPr>
        <w:t>Whitten</w:t>
      </w:r>
      <w:proofErr w:type="spellEnd"/>
      <w:r>
        <w:rPr>
          <w:lang w:val="pt"/>
        </w:rPr>
        <w:t xml:space="preserve">, A., &amp; </w:t>
      </w:r>
      <w:proofErr w:type="spellStart"/>
      <w:r>
        <w:rPr>
          <w:lang w:val="pt"/>
        </w:rPr>
        <w:t>Tygar</w:t>
      </w:r>
      <w:proofErr w:type="spellEnd"/>
      <w:r>
        <w:rPr>
          <w:lang w:val="pt"/>
        </w:rPr>
        <w:t xml:space="preserve">, J. D. (1999).  Por que Johnny não pode criptografar: uma  avaliação de usabilidade do PGP 5.0. Em </w:t>
      </w:r>
      <w:proofErr w:type="spellStart"/>
      <w:r>
        <w:rPr>
          <w:lang w:val="pt"/>
        </w:rPr>
        <w:t>Usenix</w:t>
      </w:r>
      <w:proofErr w:type="spellEnd"/>
      <w:r>
        <w:rPr>
          <w:lang w:val="pt"/>
        </w:rPr>
        <w:t xml:space="preserve"> Security (agosto). </w:t>
      </w:r>
    </w:p>
    <w:p w14:paraId="24FFE3F7" w14:textId="77777777" w:rsidR="0089005C" w:rsidRDefault="00095529">
      <w:pPr>
        <w:ind w:left="-5" w:right="44"/>
      </w:pPr>
      <w:r>
        <w:rPr>
          <w:lang w:val="pt"/>
        </w:rPr>
        <w:t xml:space="preserve">Williams, P. A. (2008). Em um ambiente  "confiante", todos são responsáveis pela  segurança da informação.   Relatório Técnico de Segurança da Informação, 13(4), 207-215. </w:t>
      </w:r>
    </w:p>
    <w:p w14:paraId="07D953F9" w14:textId="77777777" w:rsidR="0089005C" w:rsidRDefault="00095529">
      <w:pPr>
        <w:ind w:left="-5" w:right="44"/>
      </w:pPr>
      <w:proofErr w:type="spellStart"/>
      <w:r>
        <w:rPr>
          <w:lang w:val="pt"/>
        </w:rPr>
        <w:t>Willison</w:t>
      </w:r>
      <w:proofErr w:type="spellEnd"/>
      <w:r>
        <w:rPr>
          <w:lang w:val="pt"/>
        </w:rPr>
        <w:t xml:space="preserve">, R. , &amp; </w:t>
      </w:r>
      <w:proofErr w:type="spellStart"/>
      <w:r>
        <w:rPr>
          <w:lang w:val="pt"/>
        </w:rPr>
        <w:t>Warkentin</w:t>
      </w:r>
      <w:proofErr w:type="spellEnd"/>
      <w:r>
        <w:rPr>
          <w:lang w:val="pt"/>
        </w:rPr>
        <w:t xml:space="preserve">, M. (2013).  Além da dissuasão: uma visão ampliada do abuso de computadores dos funcionários  .  </w:t>
      </w:r>
      <w:r>
        <w:rPr>
          <w:i/>
          <w:lang w:val="pt"/>
        </w:rPr>
        <w:t>MIS Trimestral</w:t>
      </w:r>
      <w:r>
        <w:rPr>
          <w:lang w:val="pt"/>
        </w:rPr>
        <w:t xml:space="preserve">, 37(1), 1-20. </w:t>
      </w:r>
    </w:p>
    <w:p w14:paraId="377737BF" w14:textId="77777777" w:rsidR="0089005C" w:rsidRDefault="00095529">
      <w:pPr>
        <w:ind w:left="-5" w:right="44"/>
      </w:pPr>
      <w:r>
        <w:rPr>
          <w:noProof/>
          <w:lang w:val="pt"/>
        </w:rPr>
        <w:drawing>
          <wp:anchor distT="0" distB="0" distL="114300" distR="114300" simplePos="0" relativeHeight="251681792" behindDoc="0" locked="0" layoutInCell="1" allowOverlap="0" wp14:anchorId="02E6C11F" wp14:editId="698B7FC7">
            <wp:simplePos x="0" y="0"/>
            <wp:positionH relativeFrom="page">
              <wp:posOffset>838200</wp:posOffset>
            </wp:positionH>
            <wp:positionV relativeFrom="page">
              <wp:posOffset>1707921</wp:posOffset>
            </wp:positionV>
            <wp:extent cx="1219200" cy="726415"/>
            <wp:effectExtent l="0" t="0" r="0" b="0"/>
            <wp:wrapSquare wrapText="bothSides"/>
            <wp:docPr id="2639" name="Picture 2639"/>
            <wp:cNvGraphicFramePr/>
            <a:graphic xmlns:a="http://schemas.openxmlformats.org/drawingml/2006/main">
              <a:graphicData uri="http://schemas.openxmlformats.org/drawingml/2006/picture">
                <pic:pic xmlns:pic="http://schemas.openxmlformats.org/drawingml/2006/picture">
                  <pic:nvPicPr>
                    <pic:cNvPr id="2639" name="Picture 2639"/>
                    <pic:cNvPicPr/>
                  </pic:nvPicPr>
                  <pic:blipFill>
                    <a:blip r:embed="rId8"/>
                    <a:stretch>
                      <a:fillRect/>
                    </a:stretch>
                  </pic:blipFill>
                  <pic:spPr>
                    <a:xfrm>
                      <a:off x="0" y="0"/>
                      <a:ext cx="1219200" cy="726415"/>
                    </a:xfrm>
                    <a:prstGeom prst="rect">
                      <a:avLst/>
                    </a:prstGeom>
                  </pic:spPr>
                </pic:pic>
              </a:graphicData>
            </a:graphic>
          </wp:anchor>
        </w:drawing>
      </w:r>
      <w:r>
        <w:rPr>
          <w:lang w:val="pt"/>
        </w:rPr>
        <w:t xml:space="preserve">Yan, L., </w:t>
      </w:r>
      <w:proofErr w:type="spellStart"/>
      <w:r>
        <w:rPr>
          <w:lang w:val="pt"/>
        </w:rPr>
        <w:t>Rong</w:t>
      </w:r>
      <w:proofErr w:type="spellEnd"/>
      <w:r>
        <w:rPr>
          <w:lang w:val="pt"/>
        </w:rPr>
        <w:t xml:space="preserve">, C., &amp; Zhao, G. (2009).  Fortaleça a segurança da computação em nuvem  com  o gerenciamento  federal  de identidade usando criptografia  hierárquica de identidade b.  </w:t>
      </w:r>
      <w:r>
        <w:rPr>
          <w:i/>
          <w:lang w:val="pt"/>
        </w:rPr>
        <w:t xml:space="preserve">Cloud </w:t>
      </w:r>
      <w:proofErr w:type="spellStart"/>
      <w:r>
        <w:rPr>
          <w:i/>
          <w:lang w:val="pt"/>
        </w:rPr>
        <w:t>Computing</w:t>
      </w:r>
      <w:proofErr w:type="spellEnd"/>
      <w:r>
        <w:rPr>
          <w:lang w:val="pt"/>
        </w:rPr>
        <w:t xml:space="preserve">, 167-177. </w:t>
      </w:r>
    </w:p>
    <w:p w14:paraId="73A26E61" w14:textId="77777777" w:rsidR="0089005C" w:rsidRDefault="00095529">
      <w:pPr>
        <w:ind w:left="-5" w:right="44"/>
      </w:pPr>
      <w:r>
        <w:rPr>
          <w:lang w:val="pt"/>
        </w:rPr>
        <w:t xml:space="preserve">Zucker, L. G. (1986). Produção de confiança: Fontes institucionais  de estrutura econômica, 1840-1920.  </w:t>
      </w:r>
      <w:r>
        <w:rPr>
          <w:i/>
          <w:lang w:val="pt"/>
        </w:rPr>
        <w:t>Pesquisa em  Comportamento</w:t>
      </w:r>
      <w:r>
        <w:rPr>
          <w:lang w:val="pt"/>
        </w:rPr>
        <w:t xml:space="preserve"> </w:t>
      </w:r>
      <w:r>
        <w:rPr>
          <w:i/>
          <w:lang w:val="pt"/>
        </w:rPr>
        <w:t>Organizacional</w:t>
      </w:r>
      <w:r>
        <w:rPr>
          <w:lang w:val="pt"/>
        </w:rPr>
        <w:t xml:space="preserve">, </w:t>
      </w:r>
      <w:proofErr w:type="spellStart"/>
      <w:r>
        <w:rPr>
          <w:lang w:val="pt"/>
        </w:rPr>
        <w:t>Vol</w:t>
      </w:r>
      <w:proofErr w:type="spellEnd"/>
      <w:r>
        <w:rPr>
          <w:lang w:val="pt"/>
        </w:rPr>
        <w:t xml:space="preserve"> 8, 1986, 53-111. </w:t>
      </w:r>
    </w:p>
    <w:p w14:paraId="397170D5" w14:textId="3EEE55D8" w:rsidR="0089005C" w:rsidRDefault="00095529">
      <w:pPr>
        <w:ind w:left="-5" w:right="44"/>
      </w:pPr>
      <w:proofErr w:type="spellStart"/>
      <w:r>
        <w:rPr>
          <w:lang w:val="pt"/>
        </w:rPr>
        <w:t>Zwick</w:t>
      </w:r>
      <w:proofErr w:type="spellEnd"/>
      <w:r>
        <w:rPr>
          <w:lang w:val="pt"/>
        </w:rPr>
        <w:t xml:space="preserve">, D., &amp; </w:t>
      </w:r>
      <w:proofErr w:type="spellStart"/>
      <w:r>
        <w:rPr>
          <w:lang w:val="pt"/>
        </w:rPr>
        <w:t>Dholakia</w:t>
      </w:r>
      <w:proofErr w:type="spellEnd"/>
      <w:r>
        <w:rPr>
          <w:lang w:val="pt"/>
        </w:rPr>
        <w:t xml:space="preserve">, N. (2004).  De quem é  a identidade?   Representação do consumidor na era do marketing de banco de dados.  </w:t>
      </w:r>
      <w:r>
        <w:rPr>
          <w:i/>
          <w:lang w:val="pt"/>
        </w:rPr>
        <w:t xml:space="preserve">Revista de </w:t>
      </w:r>
      <w:proofErr w:type="spellStart"/>
      <w:r>
        <w:rPr>
          <w:i/>
          <w:lang w:val="pt"/>
        </w:rPr>
        <w:t>Macromarketing</w:t>
      </w:r>
      <w:proofErr w:type="spellEnd"/>
      <w:r>
        <w:rPr>
          <w:lang w:val="pt"/>
        </w:rPr>
        <w:t xml:space="preserve">, 24(1), 31-43. </w:t>
      </w:r>
    </w:p>
    <w:sectPr w:rsidR="0089005C">
      <w:type w:val="continuous"/>
      <w:pgSz w:w="12240" w:h="15840"/>
      <w:pgMar w:top="2859" w:right="3957" w:bottom="145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1963C" w14:textId="77777777" w:rsidR="00853F65" w:rsidRDefault="00853F65">
      <w:pPr>
        <w:spacing w:after="0" w:line="240" w:lineRule="auto"/>
      </w:pPr>
      <w:r>
        <w:rPr>
          <w:lang w:val="pt"/>
        </w:rPr>
        <w:separator/>
      </w:r>
    </w:p>
  </w:endnote>
  <w:endnote w:type="continuationSeparator" w:id="0">
    <w:p w14:paraId="657706F2" w14:textId="77777777" w:rsidR="00853F65" w:rsidRDefault="00853F65">
      <w:pPr>
        <w:spacing w:after="0" w:line="240" w:lineRule="auto"/>
      </w:pPr>
      <w:r>
        <w:rPr>
          <w:lang w:val="pt"/>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ADB8A" w14:textId="77777777" w:rsidR="0089005C" w:rsidRDefault="00095529">
    <w:pPr>
      <w:spacing w:after="0" w:line="259" w:lineRule="auto"/>
      <w:ind w:left="368" w:firstLine="0"/>
      <w:jc w:val="left"/>
    </w:pPr>
    <w:r>
      <w:rPr>
        <w:lang w:val="pt"/>
      </w:rPr>
      <w:fldChar w:fldCharType="begin"/>
    </w:r>
    <w:r>
      <w:rPr>
        <w:lang w:val="pt"/>
      </w:rPr>
      <w:instrText xml:space="preserve"> PAGE   \* MERGEFORMAT </w:instrText>
    </w:r>
    <w:r>
      <w:rPr>
        <w:lang w:val="pt"/>
      </w:rPr>
      <w:fldChar w:fldCharType="separate"/>
    </w:r>
    <w:r>
      <w:rPr>
        <w:color w:val="7F7F7F"/>
        <w:sz w:val="16"/>
        <w:lang w:val="pt"/>
      </w:rPr>
      <w:t>22</w:t>
    </w:r>
    <w:r>
      <w:rPr>
        <w:color w:val="7F7F7F"/>
        <w:sz w:val="16"/>
        <w:lang w:val="pt"/>
      </w:rPr>
      <w:fldChar w:fldCharType="end"/>
    </w:r>
    <w:r>
      <w:rPr>
        <w:sz w:val="16"/>
        <w:lang w:val="pt"/>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9051E" w14:textId="77777777" w:rsidR="0089005C" w:rsidRDefault="00095529">
    <w:pPr>
      <w:spacing w:after="0" w:line="259" w:lineRule="auto"/>
      <w:ind w:left="0" w:right="1" w:firstLine="0"/>
      <w:jc w:val="right"/>
    </w:pPr>
    <w:r>
      <w:rPr>
        <w:lang w:val="pt"/>
      </w:rPr>
      <w:fldChar w:fldCharType="begin"/>
    </w:r>
    <w:r>
      <w:rPr>
        <w:lang w:val="pt"/>
      </w:rPr>
      <w:instrText xml:space="preserve"> PAGE   \* MERGEFORMAT </w:instrText>
    </w:r>
    <w:r>
      <w:rPr>
        <w:lang w:val="pt"/>
      </w:rPr>
      <w:fldChar w:fldCharType="separate"/>
    </w:r>
    <w:r>
      <w:rPr>
        <w:color w:val="7F7F7F"/>
        <w:sz w:val="18"/>
        <w:lang w:val="pt"/>
      </w:rPr>
      <w:t>21</w:t>
    </w:r>
    <w:r>
      <w:rPr>
        <w:color w:val="7F7F7F"/>
        <w:sz w:val="18"/>
        <w:lang w:val="pt"/>
      </w:rPr>
      <w:fldChar w:fldCharType="end"/>
    </w:r>
    <w:r>
      <w:rPr>
        <w:color w:val="7F7F7F"/>
        <w:sz w:val="18"/>
        <w:lang w:val="pt"/>
      </w:rPr>
      <w:t xml:space="preserve"> </w:t>
    </w:r>
  </w:p>
  <w:p w14:paraId="58961EA6" w14:textId="77777777" w:rsidR="0089005C" w:rsidRDefault="00095529">
    <w:pPr>
      <w:spacing w:after="0" w:line="259" w:lineRule="auto"/>
      <w:ind w:left="2889" w:firstLine="0"/>
      <w:jc w:val="left"/>
    </w:pPr>
    <w:r>
      <w:rPr>
        <w:color w:val="7F7F7F"/>
        <w:sz w:val="16"/>
        <w:lang w:val="pt"/>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9A373" w14:textId="77777777" w:rsidR="0089005C" w:rsidRDefault="00095529">
    <w:pPr>
      <w:spacing w:after="0" w:line="259" w:lineRule="auto"/>
      <w:ind w:left="0" w:right="1" w:firstLine="0"/>
      <w:jc w:val="right"/>
    </w:pPr>
    <w:r>
      <w:rPr>
        <w:lang w:val="pt"/>
      </w:rPr>
      <w:fldChar w:fldCharType="begin"/>
    </w:r>
    <w:r>
      <w:rPr>
        <w:lang w:val="pt"/>
      </w:rPr>
      <w:instrText xml:space="preserve"> PAGE   \* MERGEFORMAT </w:instrText>
    </w:r>
    <w:r>
      <w:rPr>
        <w:lang w:val="pt"/>
      </w:rPr>
      <w:fldChar w:fldCharType="separate"/>
    </w:r>
    <w:r>
      <w:rPr>
        <w:color w:val="7F7F7F"/>
        <w:sz w:val="18"/>
        <w:lang w:val="pt"/>
      </w:rPr>
      <w:t>21</w:t>
    </w:r>
    <w:r>
      <w:rPr>
        <w:color w:val="7F7F7F"/>
        <w:sz w:val="18"/>
        <w:lang w:val="pt"/>
      </w:rPr>
      <w:fldChar w:fldCharType="end"/>
    </w:r>
    <w:r>
      <w:rPr>
        <w:color w:val="7F7F7F"/>
        <w:sz w:val="18"/>
        <w:lang w:val="pt"/>
      </w:rPr>
      <w:t xml:space="preserve"> </w:t>
    </w:r>
  </w:p>
  <w:p w14:paraId="3C605648" w14:textId="77777777" w:rsidR="0089005C" w:rsidRDefault="00095529">
    <w:pPr>
      <w:spacing w:after="0" w:line="259" w:lineRule="auto"/>
      <w:ind w:left="2889" w:firstLine="0"/>
      <w:jc w:val="left"/>
    </w:pPr>
    <w:r>
      <w:rPr>
        <w:color w:val="7F7F7F"/>
        <w:sz w:val="16"/>
        <w:lang w:val="pt"/>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CC82B" w14:textId="77777777" w:rsidR="00853F65" w:rsidRDefault="00853F65">
      <w:pPr>
        <w:spacing w:after="0" w:line="261" w:lineRule="auto"/>
        <w:ind w:left="0" w:firstLine="0"/>
      </w:pPr>
      <w:r>
        <w:rPr>
          <w:lang w:val="pt"/>
        </w:rPr>
        <w:separator/>
      </w:r>
    </w:p>
  </w:footnote>
  <w:footnote w:type="continuationSeparator" w:id="0">
    <w:p w14:paraId="45F80197" w14:textId="77777777" w:rsidR="00853F65" w:rsidRDefault="00853F65">
      <w:pPr>
        <w:spacing w:after="0" w:line="261" w:lineRule="auto"/>
        <w:ind w:left="0" w:firstLine="0"/>
      </w:pPr>
      <w:r>
        <w:rPr>
          <w:lang w:val="pt"/>
        </w:rPr>
        <w:continuationSeparator/>
      </w:r>
    </w:p>
  </w:footnote>
  <w:footnote w:id="1">
    <w:p w14:paraId="779894D7" w14:textId="77777777" w:rsidR="0089005C" w:rsidRDefault="00095529">
      <w:pPr>
        <w:pStyle w:val="footnotedescription"/>
      </w:pPr>
      <w:r>
        <w:rPr>
          <w:rStyle w:val="footnotemark"/>
          <w:rFonts w:eastAsia="Gill Sans MT"/>
          <w:lang w:val="pt"/>
        </w:rPr>
        <w:footnoteRef/>
      </w:r>
      <w:r>
        <w:rPr>
          <w:lang w:val="pt"/>
        </w:rPr>
        <w:t xml:space="preserve"> Neste artigo, o padrão BS7799 que foi lançado em 1995 pela British Standards Institution é considerado um evento marcante na informagerenciamento de segurança, normas e códigos de prática.</w:t>
      </w:r>
      <w:r>
        <w:rPr>
          <w:sz w:val="20"/>
          <w:lang w:val="pt"/>
        </w:rPr>
        <w:t xml:space="preserve"> </w:t>
      </w:r>
    </w:p>
  </w:footnote>
  <w:footnote w:id="2">
    <w:p w14:paraId="3392F44B" w14:textId="77777777" w:rsidR="0089005C" w:rsidRDefault="00095529">
      <w:pPr>
        <w:pStyle w:val="footnotedescription"/>
      </w:pPr>
      <w:r>
        <w:rPr>
          <w:rStyle w:val="footnotemark"/>
          <w:rFonts w:eastAsia="Gill Sans MT"/>
          <w:lang w:val="pt"/>
        </w:rPr>
        <w:footnoteRef/>
      </w:r>
      <w:r>
        <w:rPr>
          <w:lang w:val="pt"/>
        </w:rPr>
        <w:t xml:space="preserve"> Para efeitos de nossa análise, as palavras "autenticidade" e "autenticação" são usadas intercambiavelmente ao longo deste artigo, a menos que seja declarado o contrário.</w:t>
      </w:r>
      <w:r>
        <w:rPr>
          <w:sz w:val="20"/>
          <w:lang w:val="pt"/>
        </w:rPr>
        <w:t xml:space="preserve"> </w:t>
      </w:r>
    </w:p>
  </w:footnote>
  <w:footnote w:id="3">
    <w:p w14:paraId="27B2A236" w14:textId="77777777" w:rsidR="0089005C" w:rsidRDefault="00095529">
      <w:pPr>
        <w:pStyle w:val="footnotedescription"/>
        <w:spacing w:line="250" w:lineRule="auto"/>
        <w:ind w:right="58"/>
      </w:pPr>
      <w:r>
        <w:rPr>
          <w:rStyle w:val="footnotemark"/>
          <w:rFonts w:eastAsia="Gill Sans MT"/>
          <w:lang w:val="pt"/>
        </w:rPr>
        <w:footnoteRef/>
      </w:r>
      <w:r>
        <w:rPr>
          <w:lang w:val="pt"/>
        </w:rPr>
        <w:t xml:space="preserve"> Neste artigo, focamos na relação entre usabilidade do sistema e segurança. No entanto, semelhante conclusões foram traçadas na literatura no que diz respeito à relação entre conveniência e segurança (Chapman, 2012; Dhillon et al., 2012)</w:t>
      </w:r>
      <w:r>
        <w:rPr>
          <w:sz w:val="20"/>
          <w:lang w:val="pt"/>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335EBE"/>
    <w:multiLevelType w:val="hybridMultilevel"/>
    <w:tmpl w:val="DE98F08A"/>
    <w:lvl w:ilvl="0" w:tplc="6F7E8D3A">
      <w:start w:val="1"/>
      <w:numFmt w:val="decimal"/>
      <w:lvlText w:val="%1)"/>
      <w:lvlJc w:val="left"/>
      <w:pPr>
        <w:ind w:left="426"/>
      </w:pPr>
      <w:rPr>
        <w:rFonts w:ascii="Gill Sans MT" w:eastAsia="Gill Sans MT" w:hAnsi="Gill Sans MT" w:cs="Gill Sans MT"/>
        <w:b w:val="0"/>
        <w:i w:val="0"/>
        <w:strike w:val="0"/>
        <w:dstrike w:val="0"/>
        <w:color w:val="000000"/>
        <w:sz w:val="20"/>
        <w:szCs w:val="20"/>
        <w:u w:val="none" w:color="000000"/>
        <w:bdr w:val="none" w:sz="0" w:space="0" w:color="auto"/>
        <w:shd w:val="clear" w:color="auto" w:fill="auto"/>
        <w:vertAlign w:val="baseline"/>
      </w:rPr>
    </w:lvl>
    <w:lvl w:ilvl="1" w:tplc="6C0C7482">
      <w:start w:val="1"/>
      <w:numFmt w:val="lowerLetter"/>
      <w:lvlText w:val="%2"/>
      <w:lvlJc w:val="left"/>
      <w:pPr>
        <w:ind w:left="1222"/>
      </w:pPr>
      <w:rPr>
        <w:rFonts w:ascii="Gill Sans MT" w:eastAsia="Gill Sans MT" w:hAnsi="Gill Sans MT" w:cs="Gill Sans MT"/>
        <w:b w:val="0"/>
        <w:i w:val="0"/>
        <w:strike w:val="0"/>
        <w:dstrike w:val="0"/>
        <w:color w:val="000000"/>
        <w:sz w:val="20"/>
        <w:szCs w:val="20"/>
        <w:u w:val="none" w:color="000000"/>
        <w:bdr w:val="none" w:sz="0" w:space="0" w:color="auto"/>
        <w:shd w:val="clear" w:color="auto" w:fill="auto"/>
        <w:vertAlign w:val="baseline"/>
      </w:rPr>
    </w:lvl>
    <w:lvl w:ilvl="2" w:tplc="2DF800CA">
      <w:start w:val="1"/>
      <w:numFmt w:val="lowerRoman"/>
      <w:lvlText w:val="%3"/>
      <w:lvlJc w:val="left"/>
      <w:pPr>
        <w:ind w:left="1942"/>
      </w:pPr>
      <w:rPr>
        <w:rFonts w:ascii="Gill Sans MT" w:eastAsia="Gill Sans MT" w:hAnsi="Gill Sans MT" w:cs="Gill Sans MT"/>
        <w:b w:val="0"/>
        <w:i w:val="0"/>
        <w:strike w:val="0"/>
        <w:dstrike w:val="0"/>
        <w:color w:val="000000"/>
        <w:sz w:val="20"/>
        <w:szCs w:val="20"/>
        <w:u w:val="none" w:color="000000"/>
        <w:bdr w:val="none" w:sz="0" w:space="0" w:color="auto"/>
        <w:shd w:val="clear" w:color="auto" w:fill="auto"/>
        <w:vertAlign w:val="baseline"/>
      </w:rPr>
    </w:lvl>
    <w:lvl w:ilvl="3" w:tplc="8D789F68">
      <w:start w:val="1"/>
      <w:numFmt w:val="decimal"/>
      <w:lvlText w:val="%4"/>
      <w:lvlJc w:val="left"/>
      <w:pPr>
        <w:ind w:left="2662"/>
      </w:pPr>
      <w:rPr>
        <w:rFonts w:ascii="Gill Sans MT" w:eastAsia="Gill Sans MT" w:hAnsi="Gill Sans MT" w:cs="Gill Sans MT"/>
        <w:b w:val="0"/>
        <w:i w:val="0"/>
        <w:strike w:val="0"/>
        <w:dstrike w:val="0"/>
        <w:color w:val="000000"/>
        <w:sz w:val="20"/>
        <w:szCs w:val="20"/>
        <w:u w:val="none" w:color="000000"/>
        <w:bdr w:val="none" w:sz="0" w:space="0" w:color="auto"/>
        <w:shd w:val="clear" w:color="auto" w:fill="auto"/>
        <w:vertAlign w:val="baseline"/>
      </w:rPr>
    </w:lvl>
    <w:lvl w:ilvl="4" w:tplc="F370AEA0">
      <w:start w:val="1"/>
      <w:numFmt w:val="lowerLetter"/>
      <w:lvlText w:val="%5"/>
      <w:lvlJc w:val="left"/>
      <w:pPr>
        <w:ind w:left="3382"/>
      </w:pPr>
      <w:rPr>
        <w:rFonts w:ascii="Gill Sans MT" w:eastAsia="Gill Sans MT" w:hAnsi="Gill Sans MT" w:cs="Gill Sans MT"/>
        <w:b w:val="0"/>
        <w:i w:val="0"/>
        <w:strike w:val="0"/>
        <w:dstrike w:val="0"/>
        <w:color w:val="000000"/>
        <w:sz w:val="20"/>
        <w:szCs w:val="20"/>
        <w:u w:val="none" w:color="000000"/>
        <w:bdr w:val="none" w:sz="0" w:space="0" w:color="auto"/>
        <w:shd w:val="clear" w:color="auto" w:fill="auto"/>
        <w:vertAlign w:val="baseline"/>
      </w:rPr>
    </w:lvl>
    <w:lvl w:ilvl="5" w:tplc="A6F46372">
      <w:start w:val="1"/>
      <w:numFmt w:val="lowerRoman"/>
      <w:lvlText w:val="%6"/>
      <w:lvlJc w:val="left"/>
      <w:pPr>
        <w:ind w:left="4102"/>
      </w:pPr>
      <w:rPr>
        <w:rFonts w:ascii="Gill Sans MT" w:eastAsia="Gill Sans MT" w:hAnsi="Gill Sans MT" w:cs="Gill Sans MT"/>
        <w:b w:val="0"/>
        <w:i w:val="0"/>
        <w:strike w:val="0"/>
        <w:dstrike w:val="0"/>
        <w:color w:val="000000"/>
        <w:sz w:val="20"/>
        <w:szCs w:val="20"/>
        <w:u w:val="none" w:color="000000"/>
        <w:bdr w:val="none" w:sz="0" w:space="0" w:color="auto"/>
        <w:shd w:val="clear" w:color="auto" w:fill="auto"/>
        <w:vertAlign w:val="baseline"/>
      </w:rPr>
    </w:lvl>
    <w:lvl w:ilvl="6" w:tplc="66A8D0DE">
      <w:start w:val="1"/>
      <w:numFmt w:val="decimal"/>
      <w:lvlText w:val="%7"/>
      <w:lvlJc w:val="left"/>
      <w:pPr>
        <w:ind w:left="4822"/>
      </w:pPr>
      <w:rPr>
        <w:rFonts w:ascii="Gill Sans MT" w:eastAsia="Gill Sans MT" w:hAnsi="Gill Sans MT" w:cs="Gill Sans MT"/>
        <w:b w:val="0"/>
        <w:i w:val="0"/>
        <w:strike w:val="0"/>
        <w:dstrike w:val="0"/>
        <w:color w:val="000000"/>
        <w:sz w:val="20"/>
        <w:szCs w:val="20"/>
        <w:u w:val="none" w:color="000000"/>
        <w:bdr w:val="none" w:sz="0" w:space="0" w:color="auto"/>
        <w:shd w:val="clear" w:color="auto" w:fill="auto"/>
        <w:vertAlign w:val="baseline"/>
      </w:rPr>
    </w:lvl>
    <w:lvl w:ilvl="7" w:tplc="6B04F966">
      <w:start w:val="1"/>
      <w:numFmt w:val="lowerLetter"/>
      <w:lvlText w:val="%8"/>
      <w:lvlJc w:val="left"/>
      <w:pPr>
        <w:ind w:left="5542"/>
      </w:pPr>
      <w:rPr>
        <w:rFonts w:ascii="Gill Sans MT" w:eastAsia="Gill Sans MT" w:hAnsi="Gill Sans MT" w:cs="Gill Sans MT"/>
        <w:b w:val="0"/>
        <w:i w:val="0"/>
        <w:strike w:val="0"/>
        <w:dstrike w:val="0"/>
        <w:color w:val="000000"/>
        <w:sz w:val="20"/>
        <w:szCs w:val="20"/>
        <w:u w:val="none" w:color="000000"/>
        <w:bdr w:val="none" w:sz="0" w:space="0" w:color="auto"/>
        <w:shd w:val="clear" w:color="auto" w:fill="auto"/>
        <w:vertAlign w:val="baseline"/>
      </w:rPr>
    </w:lvl>
    <w:lvl w:ilvl="8" w:tplc="515A74A8">
      <w:start w:val="1"/>
      <w:numFmt w:val="lowerRoman"/>
      <w:lvlText w:val="%9"/>
      <w:lvlJc w:val="left"/>
      <w:pPr>
        <w:ind w:left="6262"/>
      </w:pPr>
      <w:rPr>
        <w:rFonts w:ascii="Gill Sans MT" w:eastAsia="Gill Sans MT" w:hAnsi="Gill Sans MT" w:cs="Gill Sans MT"/>
        <w:b w:val="0"/>
        <w:i w:val="0"/>
        <w:strike w:val="0"/>
        <w:dstrike w:val="0"/>
        <w:color w:val="000000"/>
        <w:sz w:val="20"/>
        <w:szCs w:val="20"/>
        <w:u w:val="none" w:color="000000"/>
        <w:bdr w:val="none" w:sz="0" w:space="0" w:color="auto"/>
        <w:shd w:val="clear" w:color="auto" w:fill="auto"/>
        <w:vertAlign w:val="baseline"/>
      </w:rPr>
    </w:lvl>
  </w:abstractNum>
  <w:num w:numId="1" w16cid:durableId="930702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05C"/>
    <w:rsid w:val="000378B9"/>
    <w:rsid w:val="00095529"/>
    <w:rsid w:val="00853F65"/>
    <w:rsid w:val="0089005C"/>
    <w:rsid w:val="00A92DAF"/>
    <w:rsid w:val="00BD4626"/>
    <w:rsid w:val="00F9234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E0FB6"/>
  <w15:docId w15:val="{6AB33A7B-667D-45D4-92C3-2DF746CAE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7" w:line="289" w:lineRule="auto"/>
      <w:ind w:left="10" w:hanging="10"/>
      <w:jc w:val="both"/>
    </w:pPr>
    <w:rPr>
      <w:rFonts w:ascii="Gill Sans MT" w:eastAsia="Gill Sans MT" w:hAnsi="Gill Sans MT" w:cs="Gill Sans MT"/>
      <w:color w:val="000000"/>
      <w:sz w:val="20"/>
    </w:rPr>
  </w:style>
  <w:style w:type="paragraph" w:styleId="Ttulo1">
    <w:name w:val="heading 1"/>
    <w:next w:val="Normal"/>
    <w:link w:val="Ttulo1Char"/>
    <w:uiPriority w:val="9"/>
    <w:qFormat/>
    <w:pPr>
      <w:keepNext/>
      <w:keepLines/>
      <w:spacing w:after="140" w:line="265" w:lineRule="auto"/>
      <w:ind w:left="10" w:hanging="10"/>
      <w:outlineLvl w:val="0"/>
    </w:pPr>
    <w:rPr>
      <w:rFonts w:ascii="Gill Sans MT" w:eastAsia="Gill Sans MT" w:hAnsi="Gill Sans MT" w:cs="Gill Sans MT"/>
      <w:b/>
      <w:color w:val="000000"/>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Gill Sans MT" w:eastAsia="Gill Sans MT" w:hAnsi="Gill Sans MT" w:cs="Gill Sans MT"/>
      <w:b/>
      <w:color w:val="000000"/>
      <w:sz w:val="20"/>
    </w:rPr>
  </w:style>
  <w:style w:type="paragraph" w:customStyle="1" w:styleId="footnotedescription">
    <w:name w:val="footnote description"/>
    <w:next w:val="Normal"/>
    <w:link w:val="footnotedescriptionChar"/>
    <w:hidden/>
    <w:pPr>
      <w:spacing w:after="0" w:line="261" w:lineRule="auto"/>
      <w:jc w:val="both"/>
    </w:pPr>
    <w:rPr>
      <w:rFonts w:ascii="Gill Sans MT" w:eastAsia="Gill Sans MT" w:hAnsi="Gill Sans MT" w:cs="Gill Sans MT"/>
      <w:color w:val="000000"/>
      <w:sz w:val="16"/>
    </w:rPr>
  </w:style>
  <w:style w:type="character" w:customStyle="1" w:styleId="footnotedescriptionChar">
    <w:name w:val="footnote description Char"/>
    <w:link w:val="footnotedescription"/>
    <w:rPr>
      <w:rFonts w:ascii="Gill Sans MT" w:eastAsia="Gill Sans MT" w:hAnsi="Gill Sans MT" w:cs="Gill Sans MT"/>
      <w:color w:val="000000"/>
      <w:sz w:val="16"/>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TextodoEspaoReservado">
    <w:name w:val="Placeholder Text"/>
    <w:basedOn w:val="Fontepargpadro"/>
    <w:uiPriority w:val="99"/>
    <w:semiHidden/>
    <w:rsid w:val="00BD462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B15F9-77ED-4868-BC06-5492DCB12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27</Pages>
  <Words>10411</Words>
  <Characters>56224</Characters>
  <Application>Microsoft Office Word</Application>
  <DocSecurity>0</DocSecurity>
  <Lines>468</Lines>
  <Paragraphs>133</Paragraphs>
  <ScaleCrop>false</ScaleCrop>
  <Company/>
  <LinksUpToDate>false</LinksUpToDate>
  <CharactersWithSpaces>66502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V10N3-Samonas-p21</dc:title>
  <dc:subject/>
  <dc:creator>Gurpreet Dhillon</dc:creator>
  <cp:keywords/>
  <dc:description/>
  <cp:lastModifiedBy>Daniel Neves Camargo</cp:lastModifiedBy>
  <cp:revision>1</cp:revision>
  <dcterms:created xsi:type="dcterms:W3CDTF">2022-09-19T21:06:00Z</dcterms:created>
  <dcterms:modified xsi:type="dcterms:W3CDTF">2022-09-20T02:15:00Z</dcterms:modified>
  <cp:category/>
</cp:coreProperties>
</file>