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mallCaps/>
          <w:color w:val="C0392B"/>
          <w:sz w:val="24"/>
        </w:rPr>
        <w:t>MODULE 1</w:t>
      </w:r>
    </w:p>
    <w:p>
      <w:pPr>
        <w:spacing w:before="80"/>
        <w:jc w:val="center"/>
      </w:pPr>
      <w:r>
        <w:rPr>
          <w:rFonts w:ascii="Calibri" w:hAnsi="Calibri"/>
          <w:b/>
          <w:smallCaps/>
          <w:color w:val="1A1A1A"/>
          <w:sz w:val="56"/>
        </w:rPr>
        <w:t>PRE-LAUNCH TIMELINE</w:t>
        <w:br/>
        <w:t>&amp; MASTER CHECKLIST</w:t>
      </w:r>
    </w:p>
    <w:p>
      <w:pPr>
        <w:spacing w:before="80"/>
        <w:jc w:val="center"/>
      </w:pPr>
      <w:r>
        <w:rPr>
          <w:rFonts w:ascii="Calibri" w:hAnsi="Calibri"/>
          <w:color w:val="4A4A4A"/>
          <w:sz w:val="28"/>
        </w:rPr>
        <w:t>Foundation to Opening Day</w:t>
      </w:r>
    </w:p>
    <w:p>
      <w:pPr>
        <w:spacing w:before="240"/>
        <w:jc w:val="center"/>
      </w:pPr>
      <w:r>
        <w:rPr>
          <w:color w:val="C0392B"/>
          <w:sz w:val="20"/>
        </w:rPr>
        <w:t>_______________________________________________________</w:t>
      </w:r>
    </w:p>
    <w:p>
      <w:pPr>
        <w:spacing w:before="400"/>
        <w:jc w:val="center"/>
      </w:pPr>
      <w:r>
        <w:rPr>
          <w:rFonts w:ascii="Calibri" w:hAnsi="Calibri"/>
          <w:smallCaps/>
          <w:color w:val="2D2D2D"/>
          <w:sz w:val="22"/>
        </w:rPr>
        <w:t>ARMAGEDDON TREATS</w:t>
      </w:r>
    </w:p>
    <w:p/>
    <w:p>
      <w:pPr>
        <w:spacing w:after="40"/>
        <w:jc w:val="center"/>
      </w:pPr>
      <w:r>
        <w:rPr>
          <w:rFonts w:ascii="Calibri" w:hAnsi="Calibri"/>
          <w:color w:val="4A4A4A"/>
          <w:sz w:val="19"/>
        </w:rPr>
        <w:t>Veteran-Owned Mobile Dessert Operation</w:t>
      </w:r>
    </w:p>
    <w:p>
      <w:pPr>
        <w:spacing w:after="40"/>
        <w:jc w:val="center"/>
      </w:pPr>
      <w:r>
        <w:rPr>
          <w:rFonts w:ascii="Calibri" w:hAnsi="Calibri"/>
          <w:color w:val="4A4A4A"/>
          <w:sz w:val="19"/>
        </w:rPr>
        <w:t>Target Launch: Santa Monica Farmers Markets, Q2 2026</w:t>
      </w:r>
    </w:p>
    <w:p>
      <w:pPr>
        <w:spacing w:after="40"/>
        <w:jc w:val="center"/>
      </w:pPr>
      <w:r>
        <w:rPr>
          <w:rFonts w:ascii="Calibri" w:hAnsi="Calibri"/>
          <w:color w:val="4A4A4A"/>
          <w:sz w:val="19"/>
        </w:rPr>
        <w:t>Financing: SBA 7(a) Microloan -- $14,000</w:t>
      </w:r>
    </w:p>
    <w:p>
      <w:r>
        <w:br w:type="page"/>
      </w:r>
    </w:p>
    <w:p>
      <w:pPr>
        <w:pStyle w:val="Heading1"/>
      </w:pPr>
      <w:r>
        <w:rPr>
          <w:rFonts w:ascii="Calibri" w:hAnsi="Calibri"/>
          <w:color w:val="1A1A1A"/>
        </w:rPr>
        <w:t>1. Strategic Overview</w:t>
      </w:r>
    </w:p>
    <w:p>
      <w:pPr>
        <w:spacing w:after="160" w:before="0" w:line="280" w:lineRule="exact"/>
      </w:pPr>
      <w:r>
        <w:rPr>
          <w:rFonts w:ascii="Calibri" w:hAnsi="Calibri"/>
          <w:b w:val="0"/>
          <w:i w:val="0"/>
          <w:color w:val="4A4A4A"/>
          <w:sz w:val="20"/>
        </w:rPr>
        <w:t>Launching Armageddon Treats is not a single event but a tightly sequenced chain of dependencies. A missed step or botched timeline cascades into months of delay. This module maps every task from loan funding through your first market day, organized into five operational phases. Each phase must be completed before the next can begin.</w:t>
      </w:r>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CRITICAL PATH WARNING</w:t>
            </w:r>
          </w:p>
          <w:p>
            <w:r>
              <w:rPr>
                <w:rFonts w:ascii="Calibri" w:hAnsi="Calibri"/>
                <w:color w:val="4A4A4A"/>
                <w:sz w:val="19"/>
              </w:rPr>
              <w:t>The Santa Monica Farmers Market RFP window opens only once per year, typically in March. Every preceding task -- SBA loan closing, trailer procurement, LACDPH plan check, commissary agreement, insurance binding -- must be fully resolved before that window opens. Missing it means a 12-month delay to your primary revenue stream.</w:t>
            </w:r>
          </w:p>
        </w:tc>
      </w:tr>
    </w:tbl>
    <w:p/>
    <w:p>
      <w:pPr>
        <w:pStyle w:val="Heading1"/>
      </w:pPr>
      <w:r>
        <w:rPr>
          <w:rFonts w:ascii="Calibri" w:hAnsi="Calibri"/>
          <w:color w:val="1A1A1A"/>
        </w:rPr>
        <w:t>2. Phase-by-Phase Launch Sequence</w:t>
      </w:r>
    </w:p>
    <w:tbl>
      <w:tblPr>
        <w:tblW w:type="auto" w:w="0"/>
        <w:jc w:val="center"/>
        <w:tblLook w:firstColumn="1" w:firstRow="1" w:lastColumn="0" w:lastRow="0" w:noHBand="0" w:noVBand="1" w:val="04A0"/>
      </w:tblPr>
      <w:tblGrid>
        <w:gridCol w:w="4680"/>
        <w:gridCol w:w="4680"/>
      </w:tblGrid>
      <w:tr>
        <w:tc>
          <w:tcPr>
            <w:tcW w:type="dxa" w:w="6480"/>
            <w:shd w:fill="2D2D2D" w:val="clear"/>
            <w:tcBorders>
              <w:top w:val="single" w:sz="6" w:space="0" w:color="2D2D2D"/>
              <w:left w:val="single" w:sz="6" w:space="0" w:color="2D2D2D"/>
              <w:bottom w:val="single" w:sz="6" w:space="0" w:color="2D2D2D"/>
              <w:right w:val="single" w:sz="6" w:space="0" w:color="2D2D2D"/>
            </w:tcBorders>
          </w:tcPr>
          <w:p>
            <w:r>
              <w:rPr>
                <w:rFonts w:ascii="Calibri" w:hAnsi="Calibri"/>
                <w:b/>
                <w:color w:val="FFFFFF"/>
                <w:sz w:val="24"/>
              </w:rPr>
              <w:t>PHASE 1: FINANCING &amp; ENTITY FORMATION</w:t>
            </w:r>
          </w:p>
        </w:tc>
        <w:tc>
          <w:tcPr>
            <w:tcW w:type="dxa" w:w="2880"/>
            <w:shd w:fill="2D2D2D" w:val="clear"/>
            <w:tcBorders>
              <w:top w:val="single" w:sz="6" w:space="0" w:color="2D2D2D"/>
              <w:left w:val="single" w:sz="6" w:space="0" w:color="2D2D2D"/>
              <w:bottom w:val="single" w:sz="6" w:space="0" w:color="2D2D2D"/>
              <w:right w:val="single" w:sz="6" w:space="0" w:color="2D2D2D"/>
            </w:tcBorders>
          </w:tcPr>
          <w:p>
            <w:pPr>
              <w:jc w:val="right"/>
            </w:pPr>
            <w:r>
              <w:rPr>
                <w:rFonts w:ascii="Calibri" w:hAnsi="Calibri"/>
                <w:color w:val="FFFFFF"/>
                <w:sz w:val="20"/>
              </w:rPr>
              <w:t>Months 1-2 (Jan-Feb)</w:t>
            </w:r>
          </w:p>
        </w:tc>
      </w:tr>
    </w:tbl>
    <w:p/>
    <w:p>
      <w:pPr>
        <w:pStyle w:val="Heading2"/>
      </w:pPr>
      <w:r>
        <w:rPr>
          <w:rFonts w:ascii="Calibri" w:hAnsi="Calibri"/>
          <w:color w:val="2D2D2D"/>
        </w:rPr>
        <w:t>2.1 Business Entity Formation</w:t>
      </w:r>
    </w:p>
    <w:p>
      <w:pPr>
        <w:spacing w:after="160" w:before="0" w:line="280" w:lineRule="exact"/>
      </w:pPr>
      <w:r>
        <w:rPr>
          <w:rFonts w:ascii="Calibri" w:hAnsi="Calibri"/>
          <w:b w:val="0"/>
          <w:i w:val="0"/>
          <w:color w:val="4A4A4A"/>
          <w:sz w:val="20"/>
        </w:rPr>
        <w:t>Before applying for any permits, loans, or licenses, the business entity must be legally established. This creates the foundation for every subsequent step.</w:t>
      </w:r>
    </w:p>
    <w:tbl>
      <w:tblPr>
        <w:tblW w:type="auto" w:w="0"/>
        <w:jc w:val="center"/>
        <w:tblLayout w:type="fixed"/>
        <w:tblLook w:firstColumn="1" w:firstRow="1" w:lastColumn="0" w:lastRow="0" w:noHBand="0" w:noVBand="1" w:val="04A0"/>
      </w:tblPr>
      <w:tblGrid>
        <w:gridCol w:w="4680"/>
        <w:gridCol w:w="468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Task</w:t>
            </w:r>
          </w:p>
        </w:tc>
        <w:tc>
          <w:tcPr>
            <w:tcW w:type="dxa" w:w="662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Details &amp; Notes</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Choose entity structure</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Sole proprietorship is fastest and cheapest for a single-owner micro-operation. An LLC offers liability protection but adds $70 (CA filing fee) plus $800/year minimum franchise tax. Recommendation: start as sole prop, convert to LLC after Year 1 profitability is confirmed.</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Register DBA (Fictitious Business Name)</w:t>
            </w:r>
          </w:p>
        </w:tc>
        <w:tc>
          <w:tcPr>
            <w:tcW w:type="dxa" w:w="662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File "Armageddon Treats" DBA with the LA County Registrar-Recorder/County Clerk. Fee: approximately $26. Must be published in a local newspaper for 4 consecutive weeks (cost: $40-$80). Timeline: 4-6 weeks total.</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Obtain EIN from the IRS</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Apply online at irs.gov -- free, instant. Required for business bank accounts and SBA loan processing. Even sole proprietors should get an EIN to avoid using SSN on vendor applications.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Open a dedicated business bank account</w:t>
            </w:r>
          </w:p>
        </w:tc>
        <w:tc>
          <w:tcPr>
            <w:tcW w:type="dxa" w:w="662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Required by the SBA and essential for clean bookkeeping. Many banks offer free business checking for veterans. Deposit any personal working capital here.</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Obtain California Seller's Permit</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File with the California Department of Tax and Fee Administration (CDTFA). Free of charge. Required before any taxable sales and before applying for the Santa Monica vendor license.</w:t>
            </w:r>
          </w:p>
        </w:tc>
      </w:tr>
    </w:tbl>
    <w:p/>
    <w:p>
      <w:pPr>
        <w:pStyle w:val="Heading2"/>
      </w:pPr>
      <w:r>
        <w:rPr>
          <w:rFonts w:ascii="Calibri" w:hAnsi="Calibri"/>
          <w:color w:val="2D2D2D"/>
        </w:rPr>
        <w:t>2.2 SBA 7(a) Microloan Application</w:t>
      </w:r>
    </w:p>
    <w:p>
      <w:pPr>
        <w:spacing w:after="160" w:before="0" w:line="280" w:lineRule="exact"/>
      </w:pPr>
      <w:r>
        <w:rPr>
          <w:rFonts w:ascii="Calibri" w:hAnsi="Calibri"/>
          <w:b w:val="0"/>
          <w:i w:val="0"/>
          <w:color w:val="4A4A4A"/>
          <w:sz w:val="20"/>
        </w:rPr>
        <w:t>The $14,000 SBA 7(a) microloan is the financial backbone of the entire operation. The application process is not instant -- expect 30-90 days from first contact with an SBA-approved lender to funding disbursement.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Step</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Action</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Timeline</w:t>
            </w:r>
          </w:p>
        </w:tc>
        <w:tc>
          <w:tcPr>
            <w:tcW w:type="dxa" w:w="446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Notes</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Identify SBA-approved lender or SBDC</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1</w:t>
            </w:r>
          </w:p>
        </w:tc>
        <w:tc>
          <w:tcPr>
            <w:tcW w:type="dxa" w:w="446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Veterans should contact the SoCal VBOC (Veteran Business Outreach Center) for guided assistance</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Gather documentation</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1-2</w:t>
            </w:r>
          </w:p>
        </w:tc>
        <w:tc>
          <w:tcPr>
            <w:tcW w:type="dxa" w:w="446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plan, personal financial statement (SBA Form 413), 2 years tax returns, projected cash flow</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loan application</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2-3</w:t>
            </w:r>
          </w:p>
        </w:tc>
        <w:tc>
          <w:tcPr>
            <w:tcW w:type="dxa" w:w="446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Lender reviews and submits to SBA for guarantee approval</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 guarantee approval</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3-6</w:t>
            </w:r>
          </w:p>
        </w:tc>
        <w:tc>
          <w:tcPr>
            <w:tcW w:type="dxa" w:w="446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 reviews and issues guarantee; veteran fee waiver applied automatically</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Loan closing &amp; disbursement</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6-10</w:t>
            </w:r>
          </w:p>
        </w:tc>
        <w:tc>
          <w:tcPr>
            <w:tcW w:type="dxa" w:w="446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Funds deposited to business account; begin capital deployment immediately</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VETERAN ADVANTAGE</w:t>
            </w:r>
          </w:p>
          <w:p>
            <w:r>
              <w:rPr>
                <w:rFonts w:ascii="Calibri" w:hAnsi="Calibri"/>
                <w:color w:val="4A4A4A"/>
                <w:sz w:val="19"/>
              </w:rPr>
              <w:t>Under the SBA Veterans Advantage program, the upfront guarantee fee is completely waived for veteran borrowers on 7(a) loans under $150,000. This saves approximately $280 on a $14,000 loan -- money that stays in your working capital. Ensure your DD-214 (Certificate of Release/Discharge) showing honorable discharge is included with the application package.</w:t>
            </w:r>
          </w:p>
        </w:tc>
      </w:tr>
    </w:tbl>
    <w:p/>
    <w:tbl>
      <w:tblPr>
        <w:tblW w:type="auto" w:w="0"/>
        <w:jc w:val="center"/>
        <w:tblLook w:firstColumn="1" w:firstRow="1" w:lastColumn="0" w:lastRow="0" w:noHBand="0" w:noVBand="1" w:val="04A0"/>
      </w:tblPr>
      <w:tblGrid>
        <w:gridCol w:w="4680"/>
        <w:gridCol w:w="4680"/>
      </w:tblGrid>
      <w:tr>
        <w:tc>
          <w:tcPr>
            <w:tcW w:type="dxa" w:w="6480"/>
            <w:shd w:fill="4A4A4A" w:val="clear"/>
            <w:tcBorders>
              <w:top w:val="single" w:sz="6" w:space="0" w:color="4A4A4A"/>
              <w:left w:val="single" w:sz="6" w:space="0" w:color="4A4A4A"/>
              <w:bottom w:val="single" w:sz="6" w:space="0" w:color="4A4A4A"/>
              <w:right w:val="single" w:sz="6" w:space="0" w:color="4A4A4A"/>
            </w:tcBorders>
          </w:tcPr>
          <w:p>
            <w:r>
              <w:rPr>
                <w:rFonts w:ascii="Calibri" w:hAnsi="Calibri"/>
                <w:b/>
                <w:color w:val="FFFFFF"/>
                <w:sz w:val="24"/>
              </w:rPr>
              <w:t>PHASE 2: ASSET PROCUREMENT</w:t>
            </w:r>
          </w:p>
        </w:tc>
        <w:tc>
          <w:tcPr>
            <w:tcW w:type="dxa" w:w="2880"/>
            <w:shd w:fill="4A4A4A" w:val="clear"/>
            <w:tcBorders>
              <w:top w:val="single" w:sz="6" w:space="0" w:color="4A4A4A"/>
              <w:left w:val="single" w:sz="6" w:space="0" w:color="4A4A4A"/>
              <w:bottom w:val="single" w:sz="6" w:space="0" w:color="4A4A4A"/>
              <w:right w:val="single" w:sz="6" w:space="0" w:color="4A4A4A"/>
            </w:tcBorders>
          </w:tcPr>
          <w:p>
            <w:pPr>
              <w:jc w:val="right"/>
            </w:pPr>
            <w:r>
              <w:rPr>
                <w:rFonts w:ascii="Calibri" w:hAnsi="Calibri"/>
                <w:color w:val="FFFFFF"/>
                <w:sz w:val="20"/>
              </w:rPr>
              <w:t>Month 2-3 (Feb-Mar)</w:t>
            </w:r>
          </w:p>
        </w:tc>
      </w:tr>
    </w:tbl>
    <w:p/>
    <w:p>
      <w:pPr>
        <w:pStyle w:val="Heading2"/>
      </w:pPr>
      <w:r>
        <w:rPr>
          <w:rFonts w:ascii="Calibri" w:hAnsi="Calibri"/>
          <w:color w:val="2D2D2D"/>
        </w:rPr>
        <w:t>2.3 Concession Trailer Acquisition</w:t>
      </w:r>
    </w:p>
    <w:p>
      <w:pPr>
        <w:spacing w:after="160" w:before="0" w:line="280" w:lineRule="exact"/>
      </w:pPr>
      <w:r>
        <w:rPr>
          <w:rFonts w:ascii="Calibri" w:hAnsi="Calibri"/>
          <w:b w:val="0"/>
          <w:i w:val="0"/>
          <w:color w:val="4A4A4A"/>
          <w:sz w:val="20"/>
        </w:rPr>
        <w:t>The trailer is the single largest capital expenditure at $7,500. The recommended strategy is a direct-to-manufacturer import of a new 10-13ft aluminum concession trailer, which arrives with basic electrical and the mandatory multi-compartment sinks.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Decision Point</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Recommendation</w:t>
            </w:r>
          </w:p>
        </w:tc>
        <w:tc>
          <w:tcPr>
            <w:tcW w:type="dxa" w:w="374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Risk if Ignored</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import vs. used local</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import ($7,000-$8,000)</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Used trailers may have hidden code violations that fail LACDPH plan check</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Trailer size</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10-13 ft (towable by half-ton truck)</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Larger trailers require heavier tow vehicles and wider commissary parking</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Sink configuration</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include 3-compartment warewashing + separate handwash sink</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Automatic plan check failure without proper sinks</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Electrical</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support ice shaver, cotton candy machine, lighting</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Underpowered electrical triggers UL compliance issues</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Tow vehicle</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already own a capable half-ton truck</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$14k budget cannot absorb a $12-18k truck purchase</w:t>
            </w:r>
          </w:p>
        </w:tc>
      </w:tr>
    </w:tbl>
    <w:p/>
    <w:p>
      <w:pPr>
        <w:pStyle w:val="Heading2"/>
      </w:pPr>
      <w:r>
        <w:rPr>
          <w:rFonts w:ascii="Calibri" w:hAnsi="Calibri"/>
          <w:color w:val="2D2D2D"/>
        </w:rPr>
        <w:t>2.4 Commercial Equipment Procurement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Equipment</w:t>
            </w:r>
          </w:p>
        </w:tc>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Specification</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Est. Cost</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Requirement</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Cotton Candy Machine</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spinner, ANSI/NSF certified</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$300-$600</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have NSF certification stamp</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Shaved Ice Machine</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block/cube shaver, ANSI/NSF</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$400-$800</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meet UL electrical standards</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Generator</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3,500-5,000W portable inverter generator</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$400-$700</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power all equipment + refrigeration simultaneously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Refrigeration Unit</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 cu ft commercial under-counter</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$300-$500</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Mandatory for perishable ingredient storage per LACDPH</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Matte-Black Vinyl Wrap</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 trailer exterior wrap</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$300-$500</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Brand identity; can be phased if budget tight</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Menu Board &amp; Signage</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Weather-resistant A-frame + mounted board</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$50-$150</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Essential for impulse-purchase visibility</w:t>
            </w:r>
          </w:p>
        </w:tc>
      </w:tr>
    </w:tbl>
    <w:p/>
    <w:tbl>
      <w:tblPr>
        <w:tblW w:type="auto" w:w="0"/>
        <w:jc w:val="center"/>
        <w:tblLook w:firstColumn="1" w:firstRow="1" w:lastColumn="0" w:lastRow="0" w:noHBand="0" w:noVBand="1" w:val="04A0"/>
      </w:tblPr>
      <w:tblGrid>
        <w:gridCol w:w="4680"/>
        <w:gridCol w:w="4680"/>
      </w:tblGrid>
      <w:tr>
        <w:tc>
          <w:tcPr>
            <w:tcW w:type="dxa" w:w="6480"/>
            <w:shd w:fill="C0392B" w:val="clear"/>
            <w:tcBorders>
              <w:top w:val="single" w:sz="6" w:space="0" w:color="C0392B"/>
              <w:left w:val="single" w:sz="6" w:space="0" w:color="C0392B"/>
              <w:bottom w:val="single" w:sz="6" w:space="0" w:color="C0392B"/>
              <w:right w:val="single" w:sz="6" w:space="0" w:color="C0392B"/>
            </w:tcBorders>
          </w:tcPr>
          <w:p>
            <w:r>
              <w:rPr>
                <w:rFonts w:ascii="Calibri" w:hAnsi="Calibri"/>
                <w:b/>
                <w:color w:val="FFFFFF"/>
                <w:sz w:val="24"/>
              </w:rPr>
              <w:t>PHASE 3: REGULATORY COMPLIANCE</w:t>
            </w:r>
          </w:p>
        </w:tc>
        <w:tc>
          <w:tcPr>
            <w:tcW w:type="dxa" w:w="2880"/>
            <w:shd w:fill="C0392B" w:val="clear"/>
            <w:tcBorders>
              <w:top w:val="single" w:sz="6" w:space="0" w:color="C0392B"/>
              <w:left w:val="single" w:sz="6" w:space="0" w:color="C0392B"/>
              <w:bottom w:val="single" w:sz="6" w:space="0" w:color="C0392B"/>
              <w:right w:val="single" w:sz="6" w:space="0" w:color="C0392B"/>
            </w:tcBorders>
          </w:tcPr>
          <w:p>
            <w:pPr>
              <w:jc w:val="right"/>
            </w:pPr>
            <w:r>
              <w:rPr>
                <w:rFonts w:ascii="Calibri" w:hAnsi="Calibri"/>
                <w:color w:val="FFFFFF"/>
                <w:sz w:val="20"/>
              </w:rPr>
              <w:t>Month 2-4 (Feb-Apr)</w:t>
            </w:r>
          </w:p>
        </w:tc>
      </w:tr>
    </w:tbl>
    <w:p/>
    <w:p>
      <w:pPr>
        <w:pStyle w:val="Heading2"/>
      </w:pPr>
      <w:r>
        <w:rPr>
          <w:rFonts w:ascii="Calibri" w:hAnsi="Calibri"/>
          <w:color w:val="2D2D2D"/>
        </w:rPr>
        <w:t>2.5 Commissary Kitchen Agreement</w:t>
      </w:r>
    </w:p>
    <w:p>
      <w:pPr>
        <w:spacing w:after="160" w:before="0" w:line="280" w:lineRule="exact"/>
      </w:pPr>
      <w:r>
        <w:rPr>
          <w:rFonts w:ascii="Calibri" w:hAnsi="Calibri"/>
          <w:b w:val="0"/>
          <w:i w:val="0"/>
          <w:color w:val="4A4A4A"/>
          <w:sz w:val="20"/>
        </w:rPr>
        <w:t>This step runs in parallel with trailer procurement. You cannot obtain your LACDPH health permit without a signed commissary agreement, and you cannot apply for the farmers market RFP without the health permit. This is the longest dependency chain.</w:t>
      </w:r>
    </w:p>
    <w:tbl>
      <w:tblPr>
        <w:tblW w:type="auto" w:w="0"/>
        <w:jc w:val="center"/>
        <w:tblLayout w:type="fixed"/>
        <w:tblLook w:firstColumn="1" w:firstRow="1" w:lastColumn="0" w:lastRow="0" w:noHBand="0" w:noVBand="1" w:val="04A0"/>
      </w:tblPr>
      <w:tblGrid>
        <w:gridCol w:w="3120"/>
        <w:gridCol w:w="3120"/>
        <w:gridCol w:w="3120"/>
      </w:tblGrid>
      <w:tr>
        <w:tc>
          <w:tcPr>
            <w:tcW w:type="dxa" w:w="7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Step</w:t>
            </w:r>
          </w:p>
        </w:tc>
        <w:tc>
          <w:tcPr>
            <w:tcW w:type="dxa" w:w="691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Action</w:t>
            </w:r>
          </w:p>
        </w:tc>
        <w:tc>
          <w:tcPr>
            <w:tcW w:type="dxa" w:w="216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Timeline</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69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Research commissary options in LA area (parking + wash-down tier preferred, $300-$500/mo)</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1</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69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Tour 2-3 facilities; verify they accept trailers, have dump station, potable water fill</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1-2</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69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Sign commissary agreement</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2-3</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w:t>
            </w:r>
          </w:p>
        </w:tc>
        <w:tc>
          <w:tcPr>
            <w:tcW w:type="dxa" w:w="69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Obtain signed 'Verification of Proper Food Vehicle Storage' form from commissary operator</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3</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w:t>
            </w:r>
          </w:p>
        </w:tc>
        <w:tc>
          <w:tcPr>
            <w:tcW w:type="dxa" w:w="69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form to LACDPH with health permit application</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 3-4</w:t>
            </w:r>
          </w:p>
        </w:tc>
      </w:tr>
    </w:tbl>
    <w:p/>
    <w:p>
      <w:pPr>
        <w:pStyle w:val="Heading2"/>
      </w:pPr>
      <w:r>
        <w:rPr>
          <w:rFonts w:ascii="Calibri" w:hAnsi="Calibri"/>
          <w:color w:val="2D2D2D"/>
        </w:rPr>
        <w:t>2.6 LACDPH Health Permit &amp; Plan Check</w:t>
      </w:r>
    </w:p>
    <w:p>
      <w:pPr>
        <w:spacing w:after="160" w:before="0" w:line="280" w:lineRule="exact"/>
      </w:pPr>
      <w:r>
        <w:rPr>
          <w:rFonts w:ascii="Calibri" w:hAnsi="Calibri"/>
          <w:b w:val="0"/>
          <w:i w:val="0"/>
          <w:color w:val="4A4A4A"/>
          <w:sz w:val="20"/>
        </w:rPr>
        <w:t>The Los Angeles County Department of Public Health (LACDPH) plan check is the most time-consuming regulatory hurdle. The physical trailer must be inspected and approved before any food can be sold.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Step</w:t>
            </w:r>
          </w:p>
        </w:tc>
        <w:tc>
          <w:tcPr>
            <w:tcW w:type="dxa" w:w="518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Action</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Fee</w:t>
            </w:r>
          </w:p>
        </w:tc>
        <w:tc>
          <w:tcPr>
            <w:tcW w:type="dxa" w:w="244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Timeline</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51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Plan Check Application with detailed vehicle blueprints, equipment list, menu, water system specs</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$347+</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ASAP after trailer arrives</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51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reviews plans; may request modifications or additional documentation</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2-6 weeks (highly variable)</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51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Schedule physical vehicle inspection at LACDPH facility</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 weeks after plan approval</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w:t>
            </w:r>
          </w:p>
        </w:tc>
        <w:tc>
          <w:tcPr>
            <w:tcW w:type="dxa" w:w="51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Pass inspection (inspector checks sinks, hot water, enclosure, equipment certs)</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Same day (pass/fail)</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w:t>
            </w:r>
          </w:p>
        </w:tc>
        <w:tc>
          <w:tcPr>
            <w:tcW w:type="dxa" w:w="51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If fail: correct deficiencies, schedule re-inspection</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 re-check</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1-3 weeks per re-inspection</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w:t>
            </w:r>
          </w:p>
        </w:tc>
        <w:tc>
          <w:tcPr>
            <w:tcW w:type="dxa" w:w="51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Receive MFF Health Permit (Moderate Risk)</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$598/year</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Issued upon passing inspection</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COMMON PLAN CHECK FAILURES</w:t>
            </w:r>
          </w:p>
          <w:p>
            <w:r>
              <w:rPr>
                <w:rFonts w:ascii="Calibri" w:hAnsi="Calibri"/>
                <w:color w:val="4A4A4A"/>
                <w:sz w:val="19"/>
              </w:rPr>
              <w:t>The most frequent causes of plan check rejection or inspection failure:</w:t>
              <w:br/>
              <w:t>- Handwash sink too small (must be at least 9"W x 9"L x 5"D)</w:t>
              <w:br/>
              <w:t>- Hot water temperature below 100 deg F at handwash or below 120 deg F at warewash</w:t>
              <w:br/>
              <w:t>- Service window exceeds 216 sq. in. maximum</w:t>
              <w:br/>
              <w:t>- Missing 16-mesh screens on openings</w:t>
              <w:br/>
              <w:t>- Equipment lacking NSF/ANSI certification stamps</w:t>
              <w:br/>
              <w:t>- No mechanical refrigeration (12 cu ft minimum)</w:t>
              <w:br/>
              <w:t>Build your trailer to spec BEFORE ordering to avoid costly retrofits.</w:t>
            </w:r>
          </w:p>
        </w:tc>
      </w:tr>
    </w:tbl>
    <w:p/>
    <w:p>
      <w:pPr>
        <w:pStyle w:val="Heading2"/>
      </w:pPr>
      <w:r>
        <w:rPr>
          <w:rFonts w:ascii="Calibri" w:hAnsi="Calibri"/>
          <w:color w:val="2D2D2D"/>
        </w:rPr>
        <w:t>2.7 Insurance Binding</w:t>
      </w:r>
    </w:p>
    <w:p>
      <w:pPr>
        <w:spacing w:after="160" w:before="0" w:line="280" w:lineRule="exact"/>
      </w:pPr>
      <w:r>
        <w:rPr>
          <w:rFonts w:ascii="Calibri" w:hAnsi="Calibri"/>
          <w:b w:val="0"/>
          <w:i w:val="0"/>
          <w:color w:val="4A4A4A"/>
          <w:sz w:val="20"/>
        </w:rPr>
        <w:t>Both Commercial General Liability (CGL) and Commercial Auto insurance must be bound and certificates of insurance (COIs) in hand before the market RFP submission.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Policy</w:t>
            </w:r>
          </w:p>
        </w:tc>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Coverage</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Est. Monthly</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Required By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General Liability</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$1M per occurrence / $2M aggregate (standard market requirement)</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$120/mo</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RFP application</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Auto</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Trailer + tow vehicle; $500k-$1M combined single limit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$156-$260/mo</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RFP application</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Product Liability</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Often bundled with CGL; covers foodborne illness claims</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Included in CGL</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RFP application</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Workers' Compensation</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Required only when hiring employees</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$78-$91/mo (when applicable)</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Before first hire</w:t>
            </w:r>
          </w:p>
        </w:tc>
      </w:tr>
    </w:tbl>
    <w:p/>
    <w:tbl>
      <w:tblPr>
        <w:tblW w:type="auto" w:w="0"/>
        <w:jc w:val="center"/>
        <w:tblLook w:firstColumn="1" w:firstRow="1" w:lastColumn="0" w:lastRow="0" w:noHBand="0" w:noVBand="1" w:val="04A0"/>
      </w:tblPr>
      <w:tblGrid>
        <w:gridCol w:w="4680"/>
        <w:gridCol w:w="4680"/>
      </w:tblGrid>
      <w:tr>
        <w:tc>
          <w:tcPr>
            <w:tcW w:type="dxa" w:w="6480"/>
            <w:shd w:fill="2980B9" w:val="clear"/>
            <w:tcBorders>
              <w:top w:val="single" w:sz="6" w:space="0" w:color="2980B9"/>
              <w:left w:val="single" w:sz="6" w:space="0" w:color="2980B9"/>
              <w:bottom w:val="single" w:sz="6" w:space="0" w:color="2980B9"/>
              <w:right w:val="single" w:sz="6" w:space="0" w:color="2980B9"/>
            </w:tcBorders>
          </w:tcPr>
          <w:p>
            <w:r>
              <w:rPr>
                <w:rFonts w:ascii="Calibri" w:hAnsi="Calibri"/>
                <w:b/>
                <w:color w:val="FFFFFF"/>
                <w:sz w:val="24"/>
              </w:rPr>
              <w:t>PHASE 4: MARKET ACCESS &amp; RFP</w:t>
            </w:r>
          </w:p>
        </w:tc>
        <w:tc>
          <w:tcPr>
            <w:tcW w:type="dxa" w:w="2880"/>
            <w:shd w:fill="2980B9" w:val="clear"/>
            <w:tcBorders>
              <w:top w:val="single" w:sz="6" w:space="0" w:color="2980B9"/>
              <w:left w:val="single" w:sz="6" w:space="0" w:color="2980B9"/>
              <w:bottom w:val="single" w:sz="6" w:space="0" w:color="2980B9"/>
              <w:right w:val="single" w:sz="6" w:space="0" w:color="2980B9"/>
            </w:tcBorders>
          </w:tcPr>
          <w:p>
            <w:pPr>
              <w:jc w:val="right"/>
            </w:pPr>
            <w:r>
              <w:rPr>
                <w:rFonts w:ascii="Calibri" w:hAnsi="Calibri"/>
                <w:color w:val="FFFFFF"/>
                <w:sz w:val="20"/>
              </w:rPr>
              <w:t>Month 3-4 (Mar-Apr)</w:t>
            </w:r>
          </w:p>
        </w:tc>
      </w:tr>
    </w:tbl>
    <w:p/>
    <w:p>
      <w:pPr>
        <w:pStyle w:val="Heading2"/>
      </w:pPr>
      <w:r>
        <w:rPr>
          <w:rFonts w:ascii="Calibri" w:hAnsi="Calibri"/>
          <w:color w:val="2D2D2D"/>
        </w:rPr>
        <w:t>2.8 Santa Monica Vendor License</w:t>
      </w:r>
    </w:p>
    <w:p>
      <w:pPr>
        <w:spacing w:after="160" w:before="0" w:line="280" w:lineRule="exact"/>
      </w:pPr>
      <w:r>
        <w:rPr>
          <w:rFonts w:ascii="Calibri" w:hAnsi="Calibri"/>
          <w:b w:val="0"/>
          <w:i w:val="0"/>
          <w:color w:val="4A4A4A"/>
          <w:sz w:val="20"/>
        </w:rPr>
        <w:t>Before submitting the Farmers Market RFP, you need the Santa Monica municipal vendor license. This requires your LACDPH health permit to already be in hand.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License/Permit</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Issuing Authority</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Fee</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Prerequisite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License + Vendor Permit</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$157-$176/year</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Valid LACDPH health permit</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Vehicle Vending Tax</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 (Tax Rate Group IX)</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$50/year</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license approved</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Seller's Permit</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 CDTFA</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be obtained before any sales</w:t>
            </w:r>
          </w:p>
        </w:tc>
      </w:tr>
    </w:tbl>
    <w:p/>
    <w:p>
      <w:pPr>
        <w:pStyle w:val="Heading2"/>
      </w:pPr>
      <w:r>
        <w:rPr>
          <w:rFonts w:ascii="Calibri" w:hAnsi="Calibri"/>
          <w:color w:val="2D2D2D"/>
        </w:rPr>
        <w:t>2.9 Farmers Market RFP Submission</w:t>
      </w:r>
    </w:p>
    <w:p>
      <w:pPr>
        <w:spacing w:after="160" w:before="0" w:line="280" w:lineRule="exact"/>
      </w:pPr>
      <w:r>
        <w:rPr>
          <w:rFonts w:ascii="Calibri" w:hAnsi="Calibri"/>
          <w:b w:val="0"/>
          <w:i w:val="0"/>
          <w:color w:val="4A4A4A"/>
          <w:sz w:val="20"/>
        </w:rPr>
        <w:t>The Santa Monica Farmers Market RFP is the single most critical milestone in the entire launch sequence. The application window typically opens in March and is extremely brief. You must be 100% ready before it opens.</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RFP Requirement</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Status Needed</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Where to Obtain</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Completed vendor application form</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Filled and signed</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santamonica.gov/farmers-market</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Valid LACDPH MFF Health Permit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Issued and current</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Environmental Health</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Commissary agreement</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Signed and verified</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Your commissary operator</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Certificate of Insurance (CGL)</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Current, naming City of SM as additional insured</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Your insurance broker</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Certificate of Insurance (Auto)</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Current</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Your insurance broker</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Santa Monica Business License</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Active</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 Finance Dept</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California Seller's Permit</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Active</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CDTFA online</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Menu with pricing</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Finalized</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Internal</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Photos of trailer/setup</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Professional quality</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Internal</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plan summary</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Concise, highlighting sustainability alignment</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Internal</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RFP SELECTION CRITERIA</w:t>
            </w:r>
          </w:p>
          <w:p>
            <w:r>
              <w:rPr>
                <w:rFonts w:ascii="Calibri" w:hAnsi="Calibri"/>
                <w:color w:val="4A4A4A"/>
                <w:sz w:val="19"/>
              </w:rPr>
              <w:t>The selection committee evaluates vendors on: (1) Product quality and uniqueness, (2) Alignment with market sustainability goals, (3) Operational readiness and compliance documentation, (4) Visual presentation and brand coherence, (5) Diversity of vendor mix. Your apocalyptic-meets-organic positioning and veteran-owned status are powerful differentiators. Emphasize USDA Organic ingredients, compostable PLA packaging, and zero-waste operational practices in your application narrative.</w:t>
            </w:r>
          </w:p>
        </w:tc>
      </w:tr>
    </w:tbl>
    <w:p/>
    <w:tbl>
      <w:tblPr>
        <w:tblW w:type="auto" w:w="0"/>
        <w:jc w:val="center"/>
        <w:tblLook w:firstColumn="1" w:firstRow="1" w:lastColumn="0" w:lastRow="0" w:noHBand="0" w:noVBand="1" w:val="04A0"/>
      </w:tblPr>
      <w:tblGrid>
        <w:gridCol w:w="4680"/>
        <w:gridCol w:w="4680"/>
      </w:tblGrid>
      <w:tr>
        <w:tc>
          <w:tcPr>
            <w:tcW w:type="dxa" w:w="6480"/>
            <w:shd w:fill="1E8449" w:val="clear"/>
            <w:tcBorders>
              <w:top w:val="single" w:sz="6" w:space="0" w:color="1E8449"/>
              <w:left w:val="single" w:sz="6" w:space="0" w:color="1E8449"/>
              <w:bottom w:val="single" w:sz="6" w:space="0" w:color="1E8449"/>
              <w:right w:val="single" w:sz="6" w:space="0" w:color="1E8449"/>
            </w:tcBorders>
          </w:tcPr>
          <w:p>
            <w:r>
              <w:rPr>
                <w:rFonts w:ascii="Calibri" w:hAnsi="Calibri"/>
                <w:b/>
                <w:color w:val="FFFFFF"/>
                <w:sz w:val="24"/>
              </w:rPr>
              <w:t>PHASE 5: SOFT LAUNCH &amp; FIRST MARKET DAY</w:t>
            </w:r>
          </w:p>
        </w:tc>
        <w:tc>
          <w:tcPr>
            <w:tcW w:type="dxa" w:w="2880"/>
            <w:shd w:fill="1E8449" w:val="clear"/>
            <w:tcBorders>
              <w:top w:val="single" w:sz="6" w:space="0" w:color="1E8449"/>
              <w:left w:val="single" w:sz="6" w:space="0" w:color="1E8449"/>
              <w:bottom w:val="single" w:sz="6" w:space="0" w:color="1E8449"/>
              <w:right w:val="single" w:sz="6" w:space="0" w:color="1E8449"/>
            </w:tcBorders>
          </w:tcPr>
          <w:p>
            <w:pPr>
              <w:jc w:val="right"/>
            </w:pPr>
            <w:r>
              <w:rPr>
                <w:rFonts w:ascii="Calibri" w:hAnsi="Calibri"/>
                <w:color w:val="FFFFFF"/>
                <w:sz w:val="20"/>
              </w:rPr>
              <w:t>Month 4-6 (Apr-Jun)</w:t>
            </w:r>
          </w:p>
        </w:tc>
      </w:tr>
    </w:tbl>
    <w:p/>
    <w:p>
      <w:pPr>
        <w:pStyle w:val="Heading2"/>
      </w:pPr>
      <w:r>
        <w:rPr>
          <w:rFonts w:ascii="Calibri" w:hAnsi="Calibri"/>
          <w:color w:val="2D2D2D"/>
        </w:rPr>
        <w:t>2.10 Pre-Market Operational Readiness</w:t>
      </w:r>
    </w:p>
    <w:p>
      <w:pPr>
        <w:spacing w:after="60" w:before="0"/>
        <w:ind w:left="432"/>
      </w:pPr>
      <w:r>
        <w:rPr>
          <w:rFonts w:ascii="Segoe UI Symbol" w:hAnsi="Segoe UI Symbol"/>
          <w:color w:val="C0392B"/>
          <w:sz w:val="22"/>
        </w:rPr>
        <w:t xml:space="preserve">☐ </w:t>
      </w:r>
      <w:r>
        <w:rPr>
          <w:rFonts w:ascii="Calibri" w:hAnsi="Calibri"/>
          <w:color w:val="4A4A4A"/>
          <w:sz w:val="20"/>
        </w:rPr>
        <w:t>Trailer fully wrapped in matte-black branding with logo, menu, and pricing visible</w:t>
      </w:r>
    </w:p>
    <w:p>
      <w:pPr>
        <w:spacing w:after="60" w:before="0"/>
        <w:ind w:left="432"/>
      </w:pPr>
      <w:r>
        <w:rPr>
          <w:rFonts w:ascii="Segoe UI Symbol" w:hAnsi="Segoe UI Symbol"/>
          <w:color w:val="C0392B"/>
          <w:sz w:val="22"/>
        </w:rPr>
        <w:t xml:space="preserve">☐ </w:t>
      </w:r>
      <w:r>
        <w:rPr>
          <w:rFonts w:ascii="Calibri" w:hAnsi="Calibri"/>
          <w:color w:val="4A4A4A"/>
          <w:sz w:val="20"/>
        </w:rPr>
        <w:t>All equipment installed, tested, and NSF/UL certification documents filed</w:t>
      </w:r>
    </w:p>
    <w:p>
      <w:pPr>
        <w:spacing w:after="60" w:before="0"/>
        <w:ind w:left="432"/>
      </w:pPr>
      <w:r>
        <w:rPr>
          <w:rFonts w:ascii="Segoe UI Symbol" w:hAnsi="Segoe UI Symbol"/>
          <w:color w:val="C0392B"/>
          <w:sz w:val="22"/>
        </w:rPr>
        <w:t xml:space="preserve">☐ </w:t>
      </w:r>
      <w:r>
        <w:rPr>
          <w:rFonts w:ascii="Calibri" w:hAnsi="Calibri"/>
          <w:color w:val="4A4A4A"/>
          <w:sz w:val="20"/>
        </w:rPr>
        <w:t>Generator tested under full load (all equipment running simultaneously)</w:t>
      </w:r>
    </w:p>
    <w:p>
      <w:pPr>
        <w:spacing w:after="60" w:before="0"/>
        <w:ind w:left="432"/>
      </w:pPr>
      <w:r>
        <w:rPr>
          <w:rFonts w:ascii="Segoe UI Symbol" w:hAnsi="Segoe UI Symbol"/>
          <w:color w:val="C0392B"/>
          <w:sz w:val="22"/>
        </w:rPr>
        <w:t xml:space="preserve">☐ </w:t>
      </w:r>
      <w:r>
        <w:rPr>
          <w:rFonts w:ascii="Calibri" w:hAnsi="Calibri"/>
          <w:color w:val="4A4A4A"/>
          <w:sz w:val="20"/>
        </w:rPr>
        <w:t>Fresh and grey water systems tested; no leaks under pressure</w:t>
      </w:r>
    </w:p>
    <w:p>
      <w:pPr>
        <w:spacing w:after="60" w:before="0"/>
        <w:ind w:left="432"/>
      </w:pPr>
      <w:r>
        <w:rPr>
          <w:rFonts w:ascii="Segoe UI Symbol" w:hAnsi="Segoe UI Symbol"/>
          <w:color w:val="C0392B"/>
          <w:sz w:val="22"/>
        </w:rPr>
        <w:t xml:space="preserve">☐ </w:t>
      </w:r>
      <w:r>
        <w:rPr>
          <w:rFonts w:ascii="Calibri" w:hAnsi="Calibri"/>
          <w:color w:val="4A4A4A"/>
          <w:sz w:val="20"/>
        </w:rPr>
        <w:t>Hot water verified at handwash (100-108 deg F) and warewash (120+ deg F) sinks</w:t>
      </w:r>
    </w:p>
    <w:p>
      <w:pPr>
        <w:spacing w:after="60" w:before="0"/>
        <w:ind w:left="432"/>
      </w:pPr>
      <w:r>
        <w:rPr>
          <w:rFonts w:ascii="Segoe UI Symbol" w:hAnsi="Segoe UI Symbol"/>
          <w:color w:val="C0392B"/>
          <w:sz w:val="22"/>
        </w:rPr>
        <w:t xml:space="preserve">☐ </w:t>
      </w:r>
      <w:r>
        <w:rPr>
          <w:rFonts w:ascii="Calibri" w:hAnsi="Calibri"/>
          <w:color w:val="4A4A4A"/>
          <w:sz w:val="20"/>
        </w:rPr>
        <w:t>Initial inventory procured: organic floss sugar, pure cane syrups, PLA cups, napkins</w:t>
      </w:r>
    </w:p>
    <w:p>
      <w:pPr>
        <w:spacing w:after="60" w:before="0"/>
        <w:ind w:left="432"/>
      </w:pPr>
      <w:r>
        <w:rPr>
          <w:rFonts w:ascii="Segoe UI Symbol" w:hAnsi="Segoe UI Symbol"/>
          <w:color w:val="C0392B"/>
          <w:sz w:val="22"/>
        </w:rPr>
        <w:t xml:space="preserve">☐ </w:t>
      </w:r>
      <w:r>
        <w:rPr>
          <w:rFonts w:ascii="Calibri" w:hAnsi="Calibri"/>
          <w:color w:val="4A4A4A"/>
          <w:sz w:val="20"/>
        </w:rPr>
        <w:t>POS system (Square, Clover, etc.) installed and tested with card reader</w:t>
      </w:r>
    </w:p>
    <w:p>
      <w:pPr>
        <w:spacing w:after="60" w:before="0"/>
        <w:ind w:left="432"/>
      </w:pPr>
      <w:r>
        <w:rPr>
          <w:rFonts w:ascii="Segoe UI Symbol" w:hAnsi="Segoe UI Symbol"/>
          <w:color w:val="C0392B"/>
          <w:sz w:val="22"/>
        </w:rPr>
        <w:t xml:space="preserve">☐ </w:t>
      </w:r>
      <w:r>
        <w:rPr>
          <w:rFonts w:ascii="Calibri" w:hAnsi="Calibri"/>
          <w:color w:val="4A4A4A"/>
          <w:sz w:val="20"/>
        </w:rPr>
        <w:t>Cash float prepared ($100-$150 in small bills and coins)</w:t>
      </w:r>
    </w:p>
    <w:p>
      <w:pPr>
        <w:spacing w:after="60" w:before="0"/>
        <w:ind w:left="432"/>
      </w:pPr>
      <w:r>
        <w:rPr>
          <w:rFonts w:ascii="Segoe UI Symbol" w:hAnsi="Segoe UI Symbol"/>
          <w:color w:val="C0392B"/>
          <w:sz w:val="22"/>
        </w:rPr>
        <w:t xml:space="preserve">☐ </w:t>
      </w:r>
      <w:r>
        <w:rPr>
          <w:rFonts w:ascii="Calibri" w:hAnsi="Calibri"/>
          <w:color w:val="4A4A4A"/>
          <w:sz w:val="20"/>
        </w:rPr>
        <w:t>Route Sheet template created per LACDPH requirements</w:t>
      </w:r>
    </w:p>
    <w:p>
      <w:pPr>
        <w:spacing w:after="60" w:before="0"/>
        <w:ind w:left="432"/>
      </w:pPr>
      <w:r>
        <w:rPr>
          <w:rFonts w:ascii="Segoe UI Symbol" w:hAnsi="Segoe UI Symbol"/>
          <w:color w:val="C0392B"/>
          <w:sz w:val="22"/>
        </w:rPr>
        <w:t xml:space="preserve">☐ </w:t>
      </w:r>
      <w:r>
        <w:rPr>
          <w:rFonts w:ascii="Calibri" w:hAnsi="Calibri"/>
          <w:color w:val="4A4A4A"/>
          <w:sz w:val="20"/>
        </w:rPr>
        <w:t>Commissary routine practiced: water fill, equipment clean, greywater dump</w:t>
      </w:r>
    </w:p>
    <w:p>
      <w:pPr>
        <w:spacing w:after="60" w:before="0"/>
        <w:ind w:left="432"/>
      </w:pPr>
      <w:r>
        <w:rPr>
          <w:rFonts w:ascii="Segoe UI Symbol" w:hAnsi="Segoe UI Symbol"/>
          <w:color w:val="C0392B"/>
          <w:sz w:val="22"/>
        </w:rPr>
        <w:t xml:space="preserve">☐ </w:t>
      </w:r>
      <w:r>
        <w:rPr>
          <w:rFonts w:ascii="Calibri" w:hAnsi="Calibri"/>
          <w:color w:val="4A4A4A"/>
          <w:sz w:val="20"/>
        </w:rPr>
        <w:t>Dry run at commissary: full load-out, drive to market location, timed setup/breakdown</w:t>
      </w:r>
    </w:p>
    <w:p>
      <w:pPr>
        <w:spacing w:after="60" w:before="0"/>
        <w:ind w:left="432"/>
      </w:pPr>
      <w:r>
        <w:rPr>
          <w:rFonts w:ascii="Segoe UI Symbol" w:hAnsi="Segoe UI Symbol"/>
          <w:color w:val="C0392B"/>
          <w:sz w:val="22"/>
        </w:rPr>
        <w:t xml:space="preserve">☐ </w:t>
      </w:r>
      <w:r>
        <w:rPr>
          <w:rFonts w:ascii="Calibri" w:hAnsi="Calibri"/>
          <w:color w:val="4A4A4A"/>
          <w:sz w:val="20"/>
        </w:rPr>
        <w:t>Emergency kit stocked: first aid, fire extinguisher, extra propane, basic tools</w:t>
      </w:r>
    </w:p>
    <w:p>
      <w:pPr>
        <w:spacing w:after="60" w:before="0"/>
        <w:ind w:left="432"/>
      </w:pPr>
      <w:r>
        <w:rPr>
          <w:rFonts w:ascii="Segoe UI Symbol" w:hAnsi="Segoe UI Symbol"/>
          <w:color w:val="C0392B"/>
          <w:sz w:val="22"/>
        </w:rPr>
        <w:t xml:space="preserve">☐ </w:t>
      </w:r>
      <w:r>
        <w:rPr>
          <w:rFonts w:ascii="Calibri" w:hAnsi="Calibri"/>
          <w:color w:val="4A4A4A"/>
          <w:sz w:val="20"/>
        </w:rPr>
        <w:t>Menu board finalized and installed on trailer</w:t>
      </w:r>
    </w:p>
    <w:p>
      <w:pPr>
        <w:spacing w:after="60" w:before="0"/>
        <w:ind w:left="432"/>
      </w:pPr>
      <w:r>
        <w:rPr>
          <w:rFonts w:ascii="Segoe UI Symbol" w:hAnsi="Segoe UI Symbol"/>
          <w:color w:val="C0392B"/>
          <w:sz w:val="22"/>
        </w:rPr>
        <w:t xml:space="preserve">☐ </w:t>
      </w:r>
      <w:r>
        <w:rPr>
          <w:rFonts w:ascii="Calibri" w:hAnsi="Calibri"/>
          <w:color w:val="4A4A4A"/>
          <w:sz w:val="20"/>
        </w:rPr>
        <w:t>Social media accounts created and pre-launch content scheduled</w:t>
      </w:r>
    </w:p>
    <w:p>
      <w:pPr>
        <w:pStyle w:val="Heading2"/>
      </w:pPr>
      <w:r>
        <w:rPr>
          <w:rFonts w:ascii="Calibri" w:hAnsi="Calibri"/>
          <w:color w:val="2D2D2D"/>
        </w:rPr>
        <w:t>2.11 Backup Revenue Plan (If RFP Denied or Delayed)</w:t>
      </w:r>
    </w:p>
    <w:p>
      <w:pPr>
        <w:spacing w:after="160" w:before="0" w:line="280" w:lineRule="exact"/>
      </w:pPr>
      <w:r>
        <w:rPr>
          <w:rFonts w:ascii="Calibri" w:hAnsi="Calibri"/>
          <w:b w:val="0"/>
          <w:i w:val="0"/>
          <w:color w:val="4A4A4A"/>
          <w:sz w:val="20"/>
        </w:rPr>
        <w:t>If the Santa Monica RFP is denied or delayed, the business must pivot immediately to alternative revenue streams to service the SBA loan and cover monthly OPEX.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Alternative Venue</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Revenue Potential</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Access Method</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Timeline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LA-area swap meets (Rose Bowl, etc.)</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$200-$600/day</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Pay per-day stall fee ($50-$150)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Private events &amp; parties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$300-$500/event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Word of mouth, social media, Thumbtack/GigSalad</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 weeks to first booking</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Other farmers markets (Venice, Culver City)</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$200-$500/day</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Separate RFP/application per market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1-3 months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Corporate office catering</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$400-$800/event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Direct outreach, veteran business networks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2-4 weeks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Food truck festivals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$500-$1,500/day</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Apply via festival organizer websites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Seasonal; book 2-3 months ahead</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Street vending (SB 972 compliant areas)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$100-$300/day</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permit already covers this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w:t>
            </w:r>
          </w:p>
        </w:tc>
      </w:tr>
    </w:tbl>
    <w:p/>
    <w:p>
      <w:pPr>
        <w:pStyle w:val="Heading1"/>
      </w:pPr>
      <w:r>
        <w:rPr>
          <w:rFonts w:ascii="Calibri" w:hAnsi="Calibri"/>
          <w:color w:val="1A1A1A"/>
        </w:rPr>
        <w:t>3. Master Timeline: Week-by-Week</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Week</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Phase</w:t>
            </w:r>
          </w:p>
        </w:tc>
        <w:tc>
          <w:tcPr>
            <w:tcW w:type="dxa" w:w="633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Key Milestones</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Entity &amp; Finance</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Register DBA, obtain EIN, open business bank account, contact SBA lender</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2-4</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Entity &amp; Finance</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SBA loan application, obtain Seller's Permit, begin commissary research</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4-6</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Asset Procurement</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Loan funded; order concession trailer, source equipment</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6-8</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Asset Procurement</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Trailer arrives; begin build-out, install equipment, order vinyl wrap</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8-10</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Regulatory</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Sign commissary agreement, submit LACDPH plan check, bind insurance policies</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10-12</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Regulatory</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plan review period; apply for Santa Monica Business License</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12-14</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Regulatory</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vehicle inspection; obtain MFF Health Permit</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12-14</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Access</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RFP window opens (March) -- submit complete application package</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14-16</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Access</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RFP review period; prepare for soft launch at swap meets/pop-ups</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16-18</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Launch</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RFP decision received; first farmers market day (if approved)</w:t>
            </w:r>
          </w:p>
        </w:tc>
      </w:tr>
      <w:tr>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18-20</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Launch</w:t>
            </w:r>
          </w:p>
        </w:tc>
        <w:tc>
          <w:tcPr>
            <w:tcW w:type="dxa" w:w="63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Optimize operations; refine setup/breakdown routine; build social media</w:t>
            </w:r>
          </w:p>
        </w:tc>
      </w:tr>
      <w:tr>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20-24</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Ramp-Up</w:t>
            </w:r>
          </w:p>
        </w:tc>
        <w:tc>
          <w:tcPr>
            <w:tcW w:type="dxa" w:w="63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Establish regular weekend schedule; pursue first private events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mallCaps/>
        <w:color w:val="BBBBBB"/>
        <w:sz w:val="14"/>
      </w:rPr>
      <w:t>ARMAGEDDON TREATS  |  Veteran-Owned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mallCaps/>
        <w:color w:val="AAAAAA"/>
        <w:sz w:val="15"/>
      </w:rPr>
      <w:t>Module 1 -- Pre-Launch Timeline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