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mallCaps/>
          <w:color w:val="C0392B"/>
          <w:sz w:val="24"/>
        </w:rPr>
        <w:t>MODULE 5</w:t>
      </w:r>
    </w:p>
    <w:p>
      <w:pPr>
        <w:spacing w:before="80"/>
        <w:jc w:val="center"/>
      </w:pPr>
      <w:r>
        <w:rPr>
          <w:rFonts w:ascii="Calibri" w:hAnsi="Calibri"/>
          <w:b/>
          <w:smallCaps/>
          <w:color w:val="1A1A1A"/>
          <w:sz w:val="56"/>
        </w:rPr>
        <w:t>YEAR 1-2</w:t>
        <w:br/>
        <w:t>GROWTH ROADMAP</w:t>
      </w:r>
    </w:p>
    <w:p>
      <w:pPr>
        <w:spacing w:before="80"/>
        <w:jc w:val="center"/>
      </w:pPr>
      <w:r>
        <w:rPr>
          <w:rFonts w:ascii="Calibri" w:hAnsi="Calibri"/>
          <w:color w:val="4A4A4A"/>
          <w:sz w:val="28"/>
        </w:rPr>
        <w:t>Scaling from First Market Day to Sustainable Operation</w:t>
      </w:r>
    </w:p>
    <w:p>
      <w:pPr>
        <w:spacing w:before="240"/>
        <w:jc w:val="center"/>
      </w:pPr>
      <w:r>
        <w:rPr>
          <w:color w:val="C0392B"/>
          <w:sz w:val="20"/>
        </w:rPr>
        <w:t>_______________________________________________________</w:t>
      </w:r>
    </w:p>
    <w:p>
      <w:pPr>
        <w:spacing w:before="400"/>
        <w:jc w:val="center"/>
      </w:pPr>
      <w:r>
        <w:rPr>
          <w:rFonts w:ascii="Calibri" w:hAnsi="Calibri"/>
          <w:smallCaps/>
          <w:color w:val="2D2D2D"/>
          <w:sz w:val="22"/>
        </w:rPr>
        <w:t>ARMAGEDDON TREATS</w:t>
      </w:r>
    </w:p>
    <w:p/>
    <w:p>
      <w:pPr>
        <w:spacing w:after="40"/>
        <w:jc w:val="center"/>
      </w:pPr>
      <w:r>
        <w:rPr>
          <w:rFonts w:ascii="Calibri" w:hAnsi="Calibri"/>
          <w:color w:val="4A4A4A"/>
          <w:sz w:val="19"/>
        </w:rPr>
        <w:t>Market Expansion, Revenue Diversification, Menu Growth, Hiring</w:t>
      </w:r>
    </w:p>
    <w:p>
      <w:pPr>
        <w:spacing w:after="40"/>
        <w:jc w:val="center"/>
      </w:pPr>
      <w:r>
        <w:rPr>
          <w:rFonts w:ascii="Calibri" w:hAnsi="Calibri"/>
          <w:color w:val="4A4A4A"/>
          <w:sz w:val="19"/>
        </w:rPr>
        <w:t>Financial Milestones and Contingency Planning</w:t>
      </w:r>
    </w:p>
    <w:p>
      <w:r>
        <w:br w:type="page"/>
      </w:r>
    </w:p>
    <w:p>
      <w:pPr>
        <w:pStyle w:val="Heading1"/>
      </w:pPr>
      <w:r>
        <w:rPr>
          <w:rFonts w:ascii="Calibri" w:hAnsi="Calibri"/>
          <w:color w:val="1A1A1A"/>
        </w:rPr>
        <w:t>1. Year 1: Survive, Learn, Stabilize</w:t>
      </w:r>
    </w:p>
    <w:p>
      <w:pPr>
        <w:spacing w:after="160" w:before="0" w:line="280" w:lineRule="exact"/>
      </w:pPr>
      <w:r>
        <w:rPr>
          <w:rFonts w:ascii="Calibri" w:hAnsi="Calibri"/>
          <w:b w:val="0"/>
          <w:i w:val="0"/>
          <w:color w:val="4A4A4A"/>
          <w:sz w:val="20"/>
        </w:rPr>
        <w:t>Year 1 is not about growth. It is about survival, systems, and proof of concept. The primary objectives are: (1) establish a consistent market presence, (2) refine operational efficiency as a solo operator, (3) generate enough revenue to cover OPEX and loan payments, and (4) build a customer base and social media following.</w:t>
      </w:r>
    </w:p>
    <w:p>
      <w:pPr>
        <w:pStyle w:val="Heading2"/>
      </w:pPr>
      <w:r>
        <w:rPr>
          <w:rFonts w:ascii="Calibri" w:hAnsi="Calibri"/>
          <w:color w:val="2D2D2D"/>
        </w:rPr>
        <w:t>1.1 Quarter-by-Quarter Milestones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Quarter</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Focus</w:t>
            </w:r>
          </w:p>
        </w:tc>
        <w:tc>
          <w:tcPr>
            <w:tcW w:type="dxa" w:w="460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Key Milestones</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Revenue Target</w:t>
            </w:r>
          </w:p>
        </w:tc>
      </w:tr>
      <w:tr>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Q1 (Jan-Mar)</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Setup &amp; Permits</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Entity formed, SBA loan funded, trailer ordered, LACDPH plan check submitted, commissary secured, insurance bound, RFP submitted</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 (pre-revenue)</w:t>
            </w:r>
          </w:p>
        </w:tc>
      </w:tr>
      <w:tr>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Q2 (Apr-Jun)</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Soft Launch</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Health permit obtained, first market day, operational routine established, social media launched, first private event booked</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$4,000-$6,000</w:t>
            </w:r>
          </w:p>
        </w:tc>
      </w:tr>
      <w:tr>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Q3 (Jul-Sep)</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Peak Season</w:t>
            </w:r>
          </w:p>
        </w:tc>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 weekend market schedule, 2 market days/week, peak summer volume, 1-2 private events/month, social media growing</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$8,000-$12,000</w:t>
            </w:r>
          </w:p>
        </w:tc>
      </w:tr>
      <w:tr>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Q4 (Oct-Dec)</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Seasonal Dip</w:t>
            </w:r>
          </w:p>
        </w:tc>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Revenue declines with cooler weather, focus on private events and holiday markets, review Year 1 financials, plan Year 2</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$4,000-$6,000</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YEAR 1 REALITY CHECK</w:t>
            </w:r>
          </w:p>
          <w:p>
            <w:r>
              <w:rPr>
                <w:rFonts w:ascii="Calibri" w:hAnsi="Calibri"/>
                <w:color w:val="4A4A4A"/>
                <w:sz w:val="19"/>
              </w:rPr>
              <w:t>At base-case projections (70 units/day, 2 market days/week after ramp), Year 1 total revenue is approximately $24,000 with net income after debt service around $1,400. This is a side-hustle income level, not a full-time salary. The founder must have other income or savings to support personal living expenses during Year 1. The business covers its own costs but does not yet pay a salary.</w:t>
            </w:r>
          </w:p>
        </w:tc>
      </w:tr>
    </w:tbl>
    <w:p/>
    <w:p>
      <w:pPr>
        <w:pStyle w:val="Heading2"/>
      </w:pPr>
      <w:r>
        <w:rPr>
          <w:rFonts w:ascii="Calibri" w:hAnsi="Calibri"/>
          <w:color w:val="2D2D2D"/>
        </w:rPr>
        <w:t>1.2 Operational Benchmarks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Metric</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Month 1-3</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Month 4-6</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Month 7-9</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Month 10-12</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Market Days / Week</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 (pre-launch)</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Avg. Units / Day</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40-50 (learning curve)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60-70</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50-60 (seasonal dip)</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Private Events / Month</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0-1</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Monthly Revenue</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$1,500-$2,500</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$3,000-$4,500</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$2,000-$3,000</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Social Media Followers</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0-50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50-200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200-500</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500-800</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Customer Feedback Score</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N/A</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Collecting baseline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4.5+ stars target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Maintain 4.5+</w:t>
            </w:r>
          </w:p>
        </w:tc>
      </w:tr>
    </w:tbl>
    <w:p/>
    <w:p>
      <w:pPr>
        <w:pStyle w:val="Heading1"/>
      </w:pPr>
      <w:r>
        <w:rPr>
          <w:rFonts w:ascii="Calibri" w:hAnsi="Calibri"/>
          <w:color w:val="1A1A1A"/>
        </w:rPr>
        <w:t>2. Year 2: Grow, Optimize, Diversify</w:t>
      </w:r>
    </w:p>
    <w:p>
      <w:pPr>
        <w:spacing w:after="160" w:before="0" w:line="280" w:lineRule="exact"/>
      </w:pPr>
      <w:r>
        <w:rPr>
          <w:rFonts w:ascii="Calibri" w:hAnsi="Calibri"/>
          <w:b w:val="0"/>
          <w:i w:val="0"/>
          <w:color w:val="4A4A4A"/>
          <w:sz w:val="20"/>
        </w:rPr>
        <w:t>Year 2 is where the business transitions from survival mode to growth mode. With a full year of operational data, refined processes, and an established customer base, the focus shifts to increasing revenue per week, diversifying income streams, and building toward the business supporting the founder full-time.</w:t>
      </w:r>
    </w:p>
    <w:p>
      <w:pPr>
        <w:pStyle w:val="Heading2"/>
      </w:pPr>
      <w:r>
        <w:rPr>
          <w:rFonts w:ascii="Calibri" w:hAnsi="Calibri"/>
          <w:color w:val="2D2D2D"/>
        </w:rPr>
        <w:t>2.1 Market Expansion Strategy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Market</w:t>
            </w:r>
          </w:p>
        </w:tc>
        <w:tc>
          <w:tcPr>
            <w:tcW w:type="dxa" w:w="115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Day</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Application Process</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Estimated Revenue Potential</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Priority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Santa Monica Main St (existing)</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Sunday</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Already approved (Year 1)</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$300-$600/day</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ANCHOR</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Santa Monica Pico Blvd</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Saturday</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Same RFP cycle as Main St</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$200-$400/day</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Venice Farmers Market</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Friday</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Separate application (Venice Community)</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$150-$350/day</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Beverly Hills Farmers Market</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Sunday</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Beverly Hills application</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$250-$500/day</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(conflicts with SM Sunday)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Culver City Farmers Market</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Tuesday</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Culver City Parks &amp; Rec</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$150-$300/day</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Hollywood Farmers Market</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Sunday</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Separate RFP</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$200-$400/day</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(conflicts with SM Sunday)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Mar Vista Farmers Market</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Sunday</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Community-organized</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$100-$250/day</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r>
    </w:tbl>
    <w:p/>
    <w:p>
      <w:pPr>
        <w:spacing w:after="160" w:before="0" w:line="280" w:lineRule="exact"/>
      </w:pPr>
      <w:r>
        <w:rPr>
          <w:rFonts w:ascii="Calibri" w:hAnsi="Calibri"/>
          <w:b/>
          <w:i w:val="0"/>
          <w:color w:val="4A4A4A"/>
          <w:sz w:val="20"/>
        </w:rPr>
        <w:t>Target Year 2 schedule: 2.5-3 market days per week. Recommended combination: Santa Monica Main St (Sunday) + Santa Monica Pico (Saturday) + one weekday market (Venice Friday or Culver City Tuesday). This avoids schedule conflicts and maximizes geographic coverage.</w:t>
      </w:r>
    </w:p>
    <w:p>
      <w:pPr>
        <w:pStyle w:val="Heading2"/>
      </w:pPr>
      <w:r>
        <w:rPr>
          <w:rFonts w:ascii="Calibri" w:hAnsi="Calibri"/>
          <w:color w:val="2D2D2D"/>
        </w:rPr>
        <w:t>2.2 Revenue Diversification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Revenue Stream</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Year 1 Contribution</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Year 2 Target</w:t>
            </w:r>
          </w:p>
        </w:tc>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Growth Actions</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Farmers Market Sales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~85% of revenue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~65% of revenue</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Add 1-2 additional markets per week</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Private Events / Catering</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 of revenue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 of revenue</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Active outreach, Thumbtack profile, business cards at every market</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Food Truck Festivals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 of revenue</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Apply to 3-4 festivals (Smorgasburg LA, 626 Night Market, etc.)</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Corporate/Office Catering</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 of revenue</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Leverage veteran networks, LinkedIn outreach, target Silicon Beach tech offices</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Brewery Partnerships</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 of revenue</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Free or low-fee setup at LA breweries on busy nights; dessert + beer is a natural pairing</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HIGH-VALUE FESTIVAL TARGETS</w:t>
            </w:r>
          </w:p>
          <w:p>
            <w:r>
              <w:rPr>
                <w:rFonts w:ascii="Calibri" w:hAnsi="Calibri"/>
                <w:color w:val="4A4A4A"/>
                <w:sz w:val="19"/>
              </w:rPr>
              <w:t>626 Night Market (Arcadia): 50,000+ visitors/weekend, vendor fees $500-$1,000, revenue potential $3,000-$8,000/weekend. Long waitlist -- apply early.</w:t>
              <w:br/>
              <w:br/>
              <w:t>Smorgasburg LA (ROW DTLA, Sundays): Vendor fees $300-$600/day, revenue potential $1,500-$4,000/day. Very competitive application.</w:t>
              <w:br/>
              <w:br/>
              <w:t>Abbot Kinney First Fridays (Venice): Massive foot traffic, street vendor opportunities.</w:t>
              <w:br/>
              <w:br/>
              <w:t>These are high-effort, high-reward events. Book 2-3 months in advance.</w:t>
            </w:r>
          </w:p>
        </w:tc>
      </w:tr>
    </w:tbl>
    <w:p/>
    <w:p>
      <w:pPr>
        <w:pStyle w:val="Heading2"/>
      </w:pPr>
      <w:r>
        <w:rPr>
          <w:rFonts w:ascii="Calibri" w:hAnsi="Calibri"/>
          <w:color w:val="2D2D2D"/>
        </w:rPr>
        <w:t>2.3 Menu Evolution</w:t>
      </w:r>
    </w:p>
    <w:p>
      <w:pPr>
        <w:spacing w:after="160" w:before="0" w:line="280" w:lineRule="exact"/>
      </w:pPr>
      <w:r>
        <w:rPr>
          <w:rFonts w:ascii="Calibri" w:hAnsi="Calibri"/>
          <w:b w:val="0"/>
          <w:i w:val="0"/>
          <w:color w:val="4A4A4A"/>
          <w:sz w:val="20"/>
        </w:rPr>
        <w:t>Menu expansion must be strategic. Adding items that use existing equipment and supply chains is low-risk. Adding items that require new equipment, new permits, or new health classifications is high-risk and should be avoided until Year 3+.</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Addition</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Equipment Needed</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Risk Level</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Timing</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Revenue Impact</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Specialty organic flavors (lavender, matcha, chai)</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 -- same machines</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 Q3+</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Premium pricing: +$1-$2/unit</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Large/XL cotton candy (festival size)</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 -- same machine</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 Q2+</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$8-$10 price point</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Combination deals (cotton candy + shaved ice)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 Q2+</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Higher average ticket</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Toppings bar (mochi, fruit, condensed milk)</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Small cold display</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LOW-MEDIUM</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Q1+</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+$1-$3 upsell per unit</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Cotton candy flower bouquets (gift item)</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 -- same machine + packaging</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 Q4+</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$15-$25 each; weddings, holidays, gifts</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Pre-packaged cotton candy bags (retail)</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Sealed bags + labeling</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Q1+</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$5-$8 each; passive income at market stall</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Seasonal LTOs (pumpkin spice, candy cane, etc.)</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None -- new sugar flavors</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 Q4+</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Creates urgency and social media buzz</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Beverages (lemonade, agua fresca)</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dispenser + additional permits review</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Q2+ (if demand justifies)</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$4-$5 product line</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Hot desserts (churros, funnel cake)</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Deep fryer + hood + upgraded MFF classification</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AVOID</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3+ at earliest</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Triggers major permit upgrade</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Soft serve / frozen yogurt</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machine + higher permit tier</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AVOID</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3+ at earliest</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Different equipment and commissary requirements</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MENU CREEP WARNING</w:t>
            </w:r>
          </w:p>
          <w:p>
            <w:r>
              <w:rPr>
                <w:rFonts w:ascii="Calibri" w:hAnsi="Calibri"/>
                <w:color w:val="4A4A4A"/>
                <w:sz w:val="19"/>
              </w:rPr>
              <w:t>Do NOT add items that require a fryer, grill, or open flame. These trigger a High Risk MFF classification, requiring a full commercial hood system, fire suppression, and a substantially more expensive health permit. The simplicity of cotton candy and shaved ice (no cooking, no grease, no open flame) is a massive regulatory advantage. Protect it.</w:t>
            </w:r>
          </w:p>
        </w:tc>
      </w:tr>
    </w:tbl>
    <w:p/>
    <w:p>
      <w:pPr>
        <w:pStyle w:val="Heading1"/>
      </w:pPr>
      <w:r>
        <w:rPr>
          <w:rFonts w:ascii="Calibri" w:hAnsi="Calibri"/>
          <w:color w:val="1A1A1A"/>
        </w:rPr>
        <w:t>3. Scaling the Team</w:t>
      </w:r>
    </w:p>
    <w:p>
      <w:pPr>
        <w:pStyle w:val="Heading2"/>
      </w:pPr>
      <w:r>
        <w:rPr>
          <w:rFonts w:ascii="Calibri" w:hAnsi="Calibri"/>
          <w:color w:val="2D2D2D"/>
        </w:rPr>
        <w:t>3.1 When to Hire</w:t>
      </w:r>
    </w:p>
    <w:p>
      <w:pPr>
        <w:spacing w:after="160" w:before="0" w:line="280" w:lineRule="exact"/>
      </w:pPr>
      <w:r>
        <w:rPr>
          <w:rFonts w:ascii="Calibri" w:hAnsi="Calibri"/>
          <w:b w:val="0"/>
          <w:i w:val="0"/>
          <w:color w:val="4A4A4A"/>
          <w:sz w:val="20"/>
        </w:rPr>
        <w:t>The trigger for hiring is when solo operation consistently limits revenue. If you are turning away customers due to long wait times, or if adding a third market day would generate more revenue than the cost of a helper, it is time to hire.</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Indicator</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Threshold</w:t>
            </w:r>
          </w:p>
        </w:tc>
        <w:tc>
          <w:tcPr>
            <w:tcW w:type="dxa" w:w="43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Action</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Consistent line of 5+ during peak hours</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Happening every market day</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Hire part-time helper for peak days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Revenue per day plateaus despite demand</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&gt;$500/day consistently</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Helper increases throughput 40-60%</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Adding a 3rd market day is possible</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Helper covers one day while you cover another</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Private event requests exceed capacity</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&gt;3/month declined</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Helper enables accepting more bookings</w:t>
            </w:r>
          </w:p>
        </w:tc>
      </w:tr>
    </w:tbl>
    <w:p/>
    <w:p>
      <w:pPr>
        <w:pStyle w:val="Heading2"/>
      </w:pPr>
      <w:r>
        <w:rPr>
          <w:rFonts w:ascii="Calibri" w:hAnsi="Calibri"/>
          <w:color w:val="2D2D2D"/>
        </w:rPr>
        <w:t>3.2 First Hire Profile</w:t>
      </w:r>
    </w:p>
    <w:tbl>
      <w:tblPr>
        <w:tblW w:type="auto" w:w="0"/>
        <w:jc w:val="center"/>
        <w:tblLayout w:type="fixed"/>
        <w:tblLook w:firstColumn="1" w:firstRow="1" w:lastColumn="0" w:lastRow="0" w:noHBand="0" w:noVBand="1" w:val="04A0"/>
      </w:tblPr>
      <w:tblGrid>
        <w:gridCol w:w="4680"/>
        <w:gridCol w:w="4680"/>
      </w:tblGrid>
      <w:tr>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Attribute</w:t>
            </w:r>
          </w:p>
        </w:tc>
        <w:tc>
          <w:tcPr>
            <w:tcW w:type="dxa" w:w="748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Requirement</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Role</w:t>
            </w:r>
          </w:p>
        </w:tc>
        <w:tc>
          <w:tcPr>
            <w:tcW w:type="dxa" w:w="748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Part-time Market Day Assistant (weekends only initially)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Hours</w:t>
            </w:r>
          </w:p>
        </w:tc>
        <w:tc>
          <w:tcPr>
            <w:tcW w:type="dxa" w:w="748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8-10 hours/week (one full market day)</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Pay Rate</w:t>
            </w:r>
          </w:p>
        </w:tc>
        <w:tc>
          <w:tcPr>
            <w:tcW w:type="dxa" w:w="748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$18.42-$20.00/hour (LA minimum + premium for reliability)</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Burdened Cost</w:t>
            </w:r>
          </w:p>
        </w:tc>
        <w:tc>
          <w:tcPr>
            <w:tcW w:type="dxa" w:w="748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$22-$24/hour (including payroll taxes, workers' comp)</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Monthly Cost (2 days/month)</w:t>
            </w:r>
          </w:p>
        </w:tc>
        <w:tc>
          <w:tcPr>
            <w:tcW w:type="dxa" w:w="748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~$350-$400</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Monthly Cost (full weekends)</w:t>
            </w:r>
          </w:p>
        </w:tc>
        <w:tc>
          <w:tcPr>
            <w:tcW w:type="dxa" w:w="748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~$1,400-$1,600</w:t>
            </w:r>
          </w:p>
        </w:tc>
      </w:tr>
      <w:tr>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Key Skills</w:t>
            </w:r>
          </w:p>
        </w:tc>
        <w:tc>
          <w:tcPr>
            <w:tcW w:type="dxa" w:w="748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Food handling (must have CA Food Handler Card), friendly, reliable, can follow setup/breakdown routine</w:t>
            </w:r>
          </w:p>
        </w:tc>
      </w:tr>
      <w:tr>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Legal Requirements</w:t>
            </w:r>
          </w:p>
        </w:tc>
        <w:tc>
          <w:tcPr>
            <w:tcW w:type="dxa" w:w="748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Workers' Compensation insurance (must bind before first shift), I-9 verification, W-4</w:t>
            </w:r>
          </w:p>
        </w:tc>
      </w:tr>
    </w:tbl>
    <w:p/>
    <w:tbl>
      <w:tblPr>
        <w:tblW w:type="auto" w:w="0"/>
        <w:jc w:val="center"/>
        <w:tblLook w:firstColumn="1" w:firstRow="1" w:lastColumn="0" w:lastRow="0" w:noHBand="0" w:noVBand="1" w:val="04A0"/>
      </w:tblPr>
      <w:tblGrid>
        <w:gridCol w:w="9360"/>
      </w:tblGrid>
      <w:tr>
        <w:tc>
          <w:tcPr>
            <w:tcW w:type="dxa" w:w="9360"/>
            <w:shd w:fill="FEF5F4" w:val="clear"/>
            <w:tcBorders>
              <w:top w:val="single" w:sz="8" w:space="0" w:color="C0392B"/>
              <w:left w:val="single" w:sz="8" w:space="0" w:color="C0392B"/>
              <w:bottom w:val="single" w:sz="8" w:space="0" w:color="C0392B"/>
              <w:right w:val="single" w:sz="8" w:space="0" w:color="C0392B"/>
            </w:tcBorders>
          </w:tcPr>
          <w:p>
            <w:r>
              <w:rPr>
                <w:rFonts w:ascii="Calibri" w:hAnsi="Calibri"/>
                <w:b/>
                <w:color w:val="C0392B"/>
                <w:sz w:val="20"/>
              </w:rPr>
              <w:t>CALIFORNIA AB5 WARNING: DO NOT USE 1099 CONTRACTORS</w:t>
            </w:r>
          </w:p>
          <w:p>
            <w:r>
              <w:rPr>
                <w:rFonts w:ascii="Calibri" w:hAnsi="Calibri"/>
                <w:color w:val="4A4A4A"/>
                <w:sz w:val="19"/>
              </w:rPr>
              <w:t>Under California's AB5 law, if a worker uses your equipment, works your schedule, and operates under your direction, they are a W-2 employee -- not an independent contractor. Misclassifying employees as 1099 contractors carries severe penalties in California, including back taxes, penalties, and potential lawsuits. Your market day helpers are employees. Set up proper payroll (Gusto, Square Payroll, or similar) from day one.</w:t>
            </w:r>
          </w:p>
        </w:tc>
      </w:tr>
    </w:tbl>
    <w:p/>
    <w:p>
      <w:pPr>
        <w:pStyle w:val="Heading1"/>
      </w:pPr>
      <w:r>
        <w:rPr>
          <w:rFonts w:ascii="Calibri" w:hAnsi="Calibri"/>
          <w:color w:val="1A1A1A"/>
        </w:rPr>
        <w:t>4. Financial Milestones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Milestone</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Target</w:t>
            </w:r>
          </w:p>
        </w:tc>
        <w:tc>
          <w:tcPr>
            <w:tcW w:type="dxa" w:w="43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Significance</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Break-Even Month</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4-6 (first full market month)</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Revenue covers OPEX + loan payment for the first time</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Cumulative Net Positive</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9-12</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Total earnings since launch exceed total losses during pre-launch</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$1,000 Working Capital Reserve</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8-10</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One month of OPEX in reserve; operational safety net</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 Loan Ahead of Schedule</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Q2+</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Extra $50-$100/month principal payments accelerate payoff</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Full-Time Income Threshold</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$4,000-$5,000 net/month</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Business can support founder without external income</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Second Unit Consideration</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$3,000+ working capital reserve</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Only after Year 2 profitability is proven and repeatable</w:t>
            </w:r>
          </w:p>
        </w:tc>
      </w:tr>
    </w:tbl>
    <w:p/>
    <w:p>
      <w:pPr>
        <w:pStyle w:val="Heading2"/>
      </w:pPr>
      <w:r>
        <w:rPr>
          <w:rFonts w:ascii="Calibri" w:hAnsi="Calibri"/>
          <w:color w:val="2D2D2D"/>
        </w:rPr>
        <w:t>4.1 Reinvestment Priorities</w:t>
      </w:r>
    </w:p>
    <w:p>
      <w:pPr>
        <w:spacing w:after="160" w:before="0" w:line="280" w:lineRule="exact"/>
      </w:pPr>
      <w:r>
        <w:rPr>
          <w:rFonts w:ascii="Calibri" w:hAnsi="Calibri"/>
          <w:b w:val="0"/>
          <w:i w:val="0"/>
          <w:color w:val="4A4A4A"/>
          <w:sz w:val="20"/>
        </w:rPr>
        <w:t>As the business generates profit, reinvestment should follow this priority order. Do not skip ahead -- each level builds on the previous.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Priority</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Investment</w:t>
            </w:r>
          </w:p>
        </w:tc>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Cost</w:t>
            </w:r>
          </w:p>
        </w:tc>
        <w:tc>
          <w:tcPr>
            <w:tcW w:type="dxa" w:w="144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When</w:t>
            </w:r>
          </w:p>
        </w:tc>
        <w:tc>
          <w:tcPr>
            <w:tcW w:type="dxa" w:w="273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Why</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Working capital reserve (1 month OPEX)</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$1,500-$2,000</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Survival buffer for slow months, equipment failures, insurance spikes</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Accelerated SBA loan payoff</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+$50-$100/month extra principal</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1-2</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Eliminate $211/month debt service; free up cash flow permanently</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Equipment upgrade (better ice shaver)</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$500-$1,000</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Q1</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Faster throughput = more units/hour = higher peak revenue</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Professional trailer detail/re-wrap</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$300-$500</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Q1</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Refresh brand appearance after Year 1 wear</w:t>
            </w:r>
          </w:p>
        </w:tc>
      </w:tr>
      <w:tr>
        <w:tc>
          <w:tcPr>
            <w:tcW w:type="dxa" w:w="7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Part-time labor (peak season help)</w:t>
            </w:r>
          </w:p>
        </w:tc>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$350-$1,600/month</w:t>
            </w:r>
          </w:p>
        </w:tc>
        <w:tc>
          <w:tcPr>
            <w:tcW w:type="dxa" w:w="144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2 Q2+</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Unlock 3rd market day or higher throughput on existing days</w:t>
            </w:r>
          </w:p>
        </w:tc>
      </w:tr>
      <w:tr>
        <w:tc>
          <w:tcPr>
            <w:tcW w:type="dxa" w:w="7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Second trailer or food truck down payment</w:t>
            </w:r>
          </w:p>
        </w:tc>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$5,000-$10,000</w:t>
            </w:r>
          </w:p>
        </w:tc>
        <w:tc>
          <w:tcPr>
            <w:tcW w:type="dxa" w:w="144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Year 3+</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Only after Year 2 profitability is proven and loan is paid off</w:t>
            </w:r>
          </w:p>
        </w:tc>
      </w:tr>
    </w:tbl>
    <w:p/>
    <w:p>
      <w:pPr>
        <w:pStyle w:val="Heading1"/>
      </w:pPr>
      <w:r>
        <w:rPr>
          <w:rFonts w:ascii="Calibri" w:hAnsi="Calibri"/>
          <w:color w:val="1A1A1A"/>
        </w:rPr>
        <w:t>5. Risk Factors &amp; Contingency Plans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Risk</w:t>
            </w:r>
          </w:p>
        </w:tc>
        <w:tc>
          <w:tcPr>
            <w:tcW w:type="dxa" w:w="129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Probability</w:t>
            </w:r>
          </w:p>
        </w:tc>
        <w:tc>
          <w:tcPr>
            <w:tcW w:type="dxa" w:w="115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Impact</w:t>
            </w:r>
          </w:p>
        </w:tc>
        <w:tc>
          <w:tcPr>
            <w:tcW w:type="dxa" w:w="53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Mitigation</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Santa Monica RFP denied</w:t>
            </w:r>
          </w:p>
        </w:tc>
        <w:tc>
          <w:tcPr>
            <w:tcW w:type="dxa" w:w="12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 (30-40%)</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primary revenue stream blocked for 12 months</w:t>
            </w:r>
          </w:p>
        </w:tc>
        <w:tc>
          <w:tcPr>
            <w:tcW w:type="dxa" w:w="53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 pivot to swap meets, private events, other farmers markets. Apply to Venice, Culver City, Beverly Hills simultaneously.</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plan check fails</w:t>
            </w:r>
          </w:p>
        </w:tc>
        <w:tc>
          <w:tcPr>
            <w:tcW w:type="dxa" w:w="12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 (20-30%)</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 -- 2-4 week delay per re-inspection</w:t>
            </w:r>
          </w:p>
        </w:tc>
        <w:tc>
          <w:tcPr>
            <w:tcW w:type="dxa" w:w="53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Build trailer to exact spec from day one. Get pre-check consultation from LACDPH if offered.</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Equipment failure (critical)</w:t>
            </w:r>
          </w:p>
        </w:tc>
        <w:tc>
          <w:tcPr>
            <w:tcW w:type="dxa" w:w="12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Low-Medium</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lost market day(s)</w:t>
            </w:r>
          </w:p>
        </w:tc>
        <w:tc>
          <w:tcPr>
            <w:tcW w:type="dxa" w:w="53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Maintain emergency fund ($500+). Know local equipment repair shops. Carry spare fuses and basic tools.</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Seasonal revenue crash (winter)</w:t>
            </w:r>
          </w:p>
        </w:tc>
        <w:tc>
          <w:tcPr>
            <w:tcW w:type="dxa" w:w="12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(certain)</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 -- revenue drops 40-50%</w:t>
            </w:r>
          </w:p>
        </w:tc>
        <w:tc>
          <w:tcPr>
            <w:tcW w:type="dxa" w:w="53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Build cash reserve in summer. Increase private event marketing in Q4. Consider adding warm product (hot chocolate) if feasible.</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Rising insurance/fuel costs</w:t>
            </w:r>
          </w:p>
        </w:tc>
        <w:tc>
          <w:tcPr>
            <w:tcW w:type="dxa" w:w="12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LOW-MEDIUM -- compresses margins</w:t>
            </w:r>
          </w:p>
        </w:tc>
        <w:tc>
          <w:tcPr>
            <w:tcW w:type="dxa" w:w="53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Shop insurance annually. Optimize commissary location to minimize drive distance.</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Competition enters market</w:t>
            </w:r>
          </w:p>
        </w:tc>
        <w:tc>
          <w:tcPr>
            <w:tcW w:type="dxa" w:w="12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 -- high barriers to entry</w:t>
            </w:r>
          </w:p>
        </w:tc>
        <w:tc>
          <w:tcPr>
            <w:tcW w:type="dxa" w:w="53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Brand differentiation protects market position. Focus on customer experience and loyalty.</w:t>
            </w:r>
          </w:p>
        </w:tc>
      </w:tr>
      <w:tr>
        <w:tc>
          <w:tcPr>
            <w:tcW w:type="dxa" w:w="201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Personal injury/illness</w:t>
            </w:r>
          </w:p>
        </w:tc>
        <w:tc>
          <w:tcPr>
            <w:tcW w:type="dxa" w:w="12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Low</w:t>
            </w:r>
          </w:p>
        </w:tc>
        <w:tc>
          <w:tcPr>
            <w:tcW w:type="dxa" w:w="115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solo operator dependency</w:t>
            </w:r>
          </w:p>
        </w:tc>
        <w:tc>
          <w:tcPr>
            <w:tcW w:type="dxa" w:w="53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Maintain health insurance. Cross-train a reliable friend/family member on basics. Build toward hired help.</w:t>
            </w:r>
          </w:p>
        </w:tc>
      </w:tr>
      <w:tr>
        <w:tc>
          <w:tcPr>
            <w:tcW w:type="dxa" w:w="201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Tow vehicle breakdown</w:t>
            </w:r>
          </w:p>
        </w:tc>
        <w:tc>
          <w:tcPr>
            <w:tcW w:type="dxa" w:w="12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Medium</w:t>
            </w:r>
          </w:p>
        </w:tc>
        <w:tc>
          <w:tcPr>
            <w:tcW w:type="dxa" w:w="115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HIGH -- cannot reach market</w:t>
            </w:r>
          </w:p>
        </w:tc>
        <w:tc>
          <w:tcPr>
            <w:tcW w:type="dxa" w:w="53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Budget for vehicle maintenance. AAA commercial towing membership. Know backup tow options.</w:t>
            </w:r>
          </w:p>
        </w:tc>
      </w:tr>
    </w:tbl>
    <w:p/>
    <w:p>
      <w:pPr>
        <w:pStyle w:val="Heading1"/>
      </w:pPr>
      <w:r>
        <w:rPr>
          <w:rFonts w:ascii="Calibri" w:hAnsi="Calibri"/>
          <w:color w:val="1A1A1A"/>
        </w:rPr>
        <w:t>6. The 3-Year Vision</w:t>
      </w:r>
    </w:p>
    <w:p>
      <w:pPr>
        <w:spacing w:after="160" w:before="0" w:line="280" w:lineRule="exact"/>
      </w:pPr>
      <w:r>
        <w:rPr>
          <w:rFonts w:ascii="Calibri" w:hAnsi="Calibri"/>
          <w:b w:val="0"/>
          <w:i w:val="0"/>
          <w:color w:val="4A4A4A"/>
          <w:sz w:val="20"/>
        </w:rPr>
        <w:t>If execution is disciplined and the market responds favorably, the 3-year trajectory looks like this: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Timeframe</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Status</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Revenue (Base Case)</w:t>
            </w:r>
          </w:p>
        </w:tc>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Key Achievement</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1-6</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Pre-launch + soft launch</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 then ramp to $2,000/mo</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First market day, operational routine established</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7-12</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Established at 2 markets/week</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$2,500-$4,000/mo</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Consistent revenue, first private events, brand recognition building</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13-18</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Expanding to 2.5 markets/week</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$3,500-$5,000/mo</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Second market added, event pipeline active</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19-24</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 markets/week + events</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$4,500-$6,000/mo</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Part-time help hired, SBA loan payoff accelerating</w:t>
            </w:r>
          </w:p>
        </w:tc>
      </w:tr>
      <w:tr>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25-30</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Optimized operation</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$5,000-$7,000/mo</w:t>
            </w:r>
          </w:p>
        </w:tc>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SBA loan approaching payoff, $3k+ working capital reserve</w:t>
            </w:r>
          </w:p>
        </w:tc>
      </w:tr>
      <w:tr>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 31-36</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Mature Year 3</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$5,500-$7,500/mo</w:t>
            </w:r>
          </w:p>
        </w:tc>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Debt-free, evaluating second unit or food truck upgrade</w:t>
            </w:r>
          </w:p>
        </w:tc>
      </w:tr>
    </w:tbl>
    <w:p/>
    <w:p>
      <w:pPr>
        <w:spacing w:after="160" w:before="0" w:line="280" w:lineRule="exact"/>
      </w:pPr>
      <w:r>
        <w:rPr>
          <w:rFonts w:ascii="Calibri" w:hAnsi="Calibri"/>
          <w:b/>
          <w:i w:val="0"/>
          <w:color w:val="4A4A4A"/>
          <w:sz w:val="20"/>
        </w:rPr>
        <w:t>Cumulative net profit (base case) over 36 months: approximately $53,000. This is real money earned by a real business with real constraints -- not a SaaS fantasy spreadsheet. The path to a second trailer, a food truck, or a brick-and-mortar location begins here, built on proven unit economics and disciplined execution.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mallCaps/>
        <w:color w:val="BBBBBB"/>
        <w:sz w:val="14"/>
      </w:rPr>
      <w:t>ARMAGEDDON TREATS  |  Veteran-Owned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mallCaps/>
        <w:color w:val="AAAAAA"/>
        <w:sz w:val="15"/>
      </w:rPr>
      <w:t>Module 5 -- Growth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