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204E9" w14:textId="604F4286" w:rsidR="00772569" w:rsidRPr="008468F2" w:rsidRDefault="008468F2" w:rsidP="008468F2">
      <w:pPr>
        <w:jc w:val="center"/>
        <w:rPr>
          <w:b/>
          <w:bCs/>
        </w:rPr>
      </w:pPr>
      <w:r w:rsidRPr="008468F2">
        <w:rPr>
          <w:b/>
          <w:bCs/>
        </w:rPr>
        <w:t>Did Masks Effectively Fight COVID-19?</w:t>
      </w:r>
    </w:p>
    <w:p w14:paraId="3CB5C194" w14:textId="1B7726E9" w:rsidR="008468F2" w:rsidRDefault="008468F2">
      <w:r>
        <w:tab/>
        <w:t xml:space="preserve">During the early months of the COVID-19 pandemic, several observational and quasi-experimental studies reported weak or inconsistent evidence that face mask reduced viral transmissions. These findings were later contradicted by better designed studies and large-scale analyses showing that masks were effective in reducing spread. The initial conclusions illustrate how missed sources of bias and flawed assumptions can distort research results. </w:t>
      </w:r>
    </w:p>
    <w:p w14:paraId="6E1396F1" w14:textId="746CE8E3" w:rsidR="008468F2" w:rsidRPr="008468F2" w:rsidRDefault="008468F2">
      <w:pPr>
        <w:rPr>
          <w:b/>
          <w:bCs/>
        </w:rPr>
      </w:pPr>
      <w:r w:rsidRPr="008468F2">
        <w:rPr>
          <w:b/>
          <w:bCs/>
        </w:rPr>
        <w:t>Selection Bias</w:t>
      </w:r>
    </w:p>
    <w:p w14:paraId="02067544" w14:textId="6EF3F1B3" w:rsidR="008468F2" w:rsidRDefault="008468F2">
      <w:r>
        <w:tab/>
        <w:t xml:space="preserve">Many early studies relied on convenience samples, such as voluntary survey respondents or specific communities rather than representative populations. Individuals who chose to participate were often more health-conscious or more concerned about COVID-19, which distorted comparisons between mask users and non-users. As a result, differences in infection rates could not be confidently attributed to mask use alone. </w:t>
      </w:r>
    </w:p>
    <w:p w14:paraId="65ED3945" w14:textId="2C6496A1" w:rsidR="008468F2" w:rsidRPr="008468F2" w:rsidRDefault="008468F2">
      <w:pPr>
        <w:rPr>
          <w:b/>
          <w:bCs/>
        </w:rPr>
      </w:pPr>
      <w:r w:rsidRPr="008468F2">
        <w:rPr>
          <w:b/>
          <w:bCs/>
        </w:rPr>
        <w:t>Information Bias</w:t>
      </w:r>
    </w:p>
    <w:p w14:paraId="7B566BF4" w14:textId="5477C315" w:rsidR="008468F2" w:rsidRDefault="008468F2">
      <w:r>
        <w:tab/>
        <w:t xml:space="preserve">Misclassification also played a central role. Mask use was frequently self-reported, and studies assumed that participants who claimed to wear masks did so correctly and consistently. In reality, mask type, fit, and duration of use varied widely. Treating mask use as a binary variable ignored these differences and led to exposure misclassification, weakening any measurable association between masks and infection rates. </w:t>
      </w:r>
    </w:p>
    <w:p w14:paraId="0CF226CD" w14:textId="33E012BD" w:rsidR="008468F2" w:rsidRPr="00CB1D1F" w:rsidRDefault="008468F2">
      <w:pPr>
        <w:rPr>
          <w:b/>
          <w:bCs/>
        </w:rPr>
      </w:pPr>
      <w:r w:rsidRPr="00CB1D1F">
        <w:rPr>
          <w:b/>
          <w:bCs/>
        </w:rPr>
        <w:t>Confounding Bias</w:t>
      </w:r>
    </w:p>
    <w:p w14:paraId="1208F4B8" w14:textId="7CA0F5EE" w:rsidR="00F94C9E" w:rsidRDefault="008468F2">
      <w:r>
        <w:tab/>
        <w:t xml:space="preserve">This bias further complicated the interpretation of studies. Mask wearers were more likely to engage in other protective behaviors such as social distancing, hand hygiene, and </w:t>
      </w:r>
      <w:r w:rsidR="00F94C9E">
        <w:t xml:space="preserve">avoiding large gatherings. Early studies often failed to adequately adjust for these behaviors, making it difficult to isolate the effect of masks. In some cases, mask use was more common in high-risk settings (crowded urban areas or essential workplaces), which biased results toward showing no benefit or even apparent harm. </w:t>
      </w:r>
    </w:p>
    <w:p w14:paraId="4FC1B467" w14:textId="77777777" w:rsidR="00F94C9E" w:rsidRPr="00CB1D1F" w:rsidRDefault="00F94C9E">
      <w:pPr>
        <w:rPr>
          <w:b/>
          <w:bCs/>
        </w:rPr>
      </w:pPr>
      <w:r w:rsidRPr="00CB1D1F">
        <w:rPr>
          <w:b/>
          <w:bCs/>
        </w:rPr>
        <w:t>Compliance Bias</w:t>
      </w:r>
    </w:p>
    <w:p w14:paraId="2EFB2E63" w14:textId="45075D15" w:rsidR="00F94C9E" w:rsidRDefault="00F94C9E">
      <w:r>
        <w:tab/>
        <w:t>Another overlooked issue was compliance bias in early trials. Some studies assumed participants followed mask recommendations as instructed, but adherence was low and rarely verified. These flawed assumptions diluted observed effects and produced misleading conclusions about ineffectiveness.</w:t>
      </w:r>
    </w:p>
    <w:p w14:paraId="037E02B9" w14:textId="1FCE91AC" w:rsidR="00F94C9E" w:rsidRDefault="00F94C9E">
      <w:r>
        <w:tab/>
        <w:t xml:space="preserve">As later research used improved designs, such as better exposure measurement, stronger control of confounders, and randomized community trials, the protective effect of </w:t>
      </w:r>
      <w:r>
        <w:lastRenderedPageBreak/>
        <w:t xml:space="preserve">masks became clearer. This example demonstrates how premature conclusions based on biased data can influence public perception and policy. It highlights the importance of recognizing selection, information, and confounding biases when interpreting early evidence, especially during rapidly evolving public health emergencies. </w:t>
      </w:r>
    </w:p>
    <w:p w14:paraId="5A891891" w14:textId="77777777" w:rsidR="00F94C9E" w:rsidRDefault="00F94C9E"/>
    <w:p w14:paraId="51038796" w14:textId="0F755598" w:rsidR="00F94C9E" w:rsidRDefault="00F94C9E">
      <w:r>
        <w:br w:type="page"/>
      </w:r>
    </w:p>
    <w:p w14:paraId="2361625D" w14:textId="227E71FA" w:rsidR="00F94C9E" w:rsidRPr="00F94C9E" w:rsidRDefault="00F94C9E" w:rsidP="00F94C9E">
      <w:pPr>
        <w:jc w:val="center"/>
        <w:rPr>
          <w:b/>
          <w:bCs/>
        </w:rPr>
      </w:pPr>
      <w:r w:rsidRPr="00F94C9E">
        <w:rPr>
          <w:b/>
          <w:bCs/>
        </w:rPr>
        <w:lastRenderedPageBreak/>
        <w:t>References</w:t>
      </w:r>
    </w:p>
    <w:p w14:paraId="32BCE74C" w14:textId="7F4B530F" w:rsidR="00F94C9E" w:rsidRDefault="00F94C9E" w:rsidP="00F94C9E">
      <w:r>
        <w:t>Bundgaard, H., Bundgaard, J. S., Raaschou-Pedersen, D. E. T., et al.  (2021). Effectiveness of adding a mask recommendation to other public health measures to prevent SARS-CoV-2 infection in Danish mask wearers: A randomized controlled trial. *Annals of Internal Medicine, 174*(3), 335–343. [</w:t>
      </w:r>
      <w:proofErr w:type="gramStart"/>
      <w:r>
        <w:t>https://doi.org/10.7326/M20-6817](</w:t>
      </w:r>
      <w:proofErr w:type="gramEnd"/>
      <w:r>
        <w:t>https://doi.org/10.7326/M20-6817)</w:t>
      </w:r>
    </w:p>
    <w:p w14:paraId="140216B2" w14:textId="77777777" w:rsidR="00F94C9E" w:rsidRDefault="00F94C9E" w:rsidP="00F94C9E"/>
    <w:p w14:paraId="2CE2290A" w14:textId="2F2D541A" w:rsidR="00F94C9E" w:rsidRDefault="00F94C9E" w:rsidP="00F94C9E">
      <w:r>
        <w:t xml:space="preserve">Chu, D. K., Akl, E. A., Duda, S., Solo, K., </w:t>
      </w:r>
      <w:proofErr w:type="spellStart"/>
      <w:r>
        <w:t>Yaacoub</w:t>
      </w:r>
      <w:proofErr w:type="spellEnd"/>
      <w:r>
        <w:t>, S., Schünemann, H. J., &amp; COVID-19 Systematic Urgent Review Group Effort (SURGE) Study Authors. (2020). Physical distancing, face masks, and eye protection to prevent person-to-person transmission of SARS-CoV-2 and COVID-19: A systematic review and meta-analysis. *The Lancet, 395*(10242), 1973–1987. [</w:t>
      </w:r>
      <w:proofErr w:type="gramStart"/>
      <w:r>
        <w:t>https://doi.org/10.1016/S0140-6736(20)31142-9](</w:t>
      </w:r>
      <w:proofErr w:type="gramEnd"/>
      <w:r>
        <w:t>https://doi.org/10.1016/S0140-6736%2820%2931142-9)</w:t>
      </w:r>
    </w:p>
    <w:p w14:paraId="62220AFE" w14:textId="77777777" w:rsidR="008468F2" w:rsidRDefault="008468F2"/>
    <w:p w14:paraId="2E2A29C7" w14:textId="0B00B158" w:rsidR="00F94C9E" w:rsidRDefault="00F94C9E" w:rsidP="00F94C9E"/>
    <w:sectPr w:rsidR="00F94C9E">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7B18A" w14:textId="77777777" w:rsidR="00E33F42" w:rsidRDefault="00E33F42" w:rsidP="00F94C9E">
      <w:pPr>
        <w:spacing w:after="0" w:line="240" w:lineRule="auto"/>
      </w:pPr>
      <w:r>
        <w:separator/>
      </w:r>
    </w:p>
  </w:endnote>
  <w:endnote w:type="continuationSeparator" w:id="0">
    <w:p w14:paraId="362157CA" w14:textId="77777777" w:rsidR="00E33F42" w:rsidRDefault="00E33F42" w:rsidP="00F94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9AA3" w14:textId="77777777" w:rsidR="00E33F42" w:rsidRDefault="00E33F42" w:rsidP="00F94C9E">
      <w:pPr>
        <w:spacing w:after="0" w:line="240" w:lineRule="auto"/>
      </w:pPr>
      <w:r>
        <w:separator/>
      </w:r>
    </w:p>
  </w:footnote>
  <w:footnote w:type="continuationSeparator" w:id="0">
    <w:p w14:paraId="5C7F8195" w14:textId="77777777" w:rsidR="00E33F42" w:rsidRDefault="00E33F42" w:rsidP="00F94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36046"/>
      <w:docPartObj>
        <w:docPartGallery w:val="Page Numbers (Top of Page)"/>
        <w:docPartUnique/>
      </w:docPartObj>
    </w:sdtPr>
    <w:sdtContent>
      <w:p w14:paraId="0FBACD5E" w14:textId="22BFB10D" w:rsidR="00F94C9E" w:rsidRDefault="00F94C9E" w:rsidP="00F42BC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A0863F" w14:textId="77777777" w:rsidR="00F94C9E" w:rsidRDefault="00F94C9E" w:rsidP="00F94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419889"/>
      <w:docPartObj>
        <w:docPartGallery w:val="Page Numbers (Top of Page)"/>
        <w:docPartUnique/>
      </w:docPartObj>
    </w:sdtPr>
    <w:sdtContent>
      <w:p w14:paraId="7FAC0A83" w14:textId="6FA195FA" w:rsidR="00F94C9E" w:rsidRDefault="00F94C9E" w:rsidP="00F42BC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5046DF9" w14:textId="77777777" w:rsidR="00F94C9E" w:rsidRDefault="00F94C9E" w:rsidP="00F94C9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F2"/>
    <w:rsid w:val="00236F66"/>
    <w:rsid w:val="004A7595"/>
    <w:rsid w:val="00772569"/>
    <w:rsid w:val="008468F2"/>
    <w:rsid w:val="009620FD"/>
    <w:rsid w:val="00B1142A"/>
    <w:rsid w:val="00CB1D1F"/>
    <w:rsid w:val="00E33F42"/>
    <w:rsid w:val="00F94C9E"/>
    <w:rsid w:val="00FE0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80DBF1"/>
  <w15:chartTrackingRefBased/>
  <w15:docId w15:val="{577CD6BC-FBAC-D84B-90C6-D8FCFCE6A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8F2"/>
    <w:rPr>
      <w:rFonts w:eastAsiaTheme="majorEastAsia" w:cstheme="majorBidi"/>
      <w:color w:val="272727" w:themeColor="text1" w:themeTint="D8"/>
    </w:rPr>
  </w:style>
  <w:style w:type="paragraph" w:styleId="Title">
    <w:name w:val="Title"/>
    <w:basedOn w:val="Normal"/>
    <w:next w:val="Normal"/>
    <w:link w:val="TitleChar"/>
    <w:uiPriority w:val="10"/>
    <w:qFormat/>
    <w:rsid w:val="00846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8F2"/>
    <w:pPr>
      <w:spacing w:before="160"/>
      <w:jc w:val="center"/>
    </w:pPr>
    <w:rPr>
      <w:i/>
      <w:iCs/>
      <w:color w:val="404040" w:themeColor="text1" w:themeTint="BF"/>
    </w:rPr>
  </w:style>
  <w:style w:type="character" w:customStyle="1" w:styleId="QuoteChar">
    <w:name w:val="Quote Char"/>
    <w:basedOn w:val="DefaultParagraphFont"/>
    <w:link w:val="Quote"/>
    <w:uiPriority w:val="29"/>
    <w:rsid w:val="008468F2"/>
    <w:rPr>
      <w:i/>
      <w:iCs/>
      <w:color w:val="404040" w:themeColor="text1" w:themeTint="BF"/>
    </w:rPr>
  </w:style>
  <w:style w:type="paragraph" w:styleId="ListParagraph">
    <w:name w:val="List Paragraph"/>
    <w:basedOn w:val="Normal"/>
    <w:uiPriority w:val="34"/>
    <w:qFormat/>
    <w:rsid w:val="008468F2"/>
    <w:pPr>
      <w:ind w:left="720"/>
      <w:contextualSpacing/>
    </w:pPr>
  </w:style>
  <w:style w:type="character" w:styleId="IntenseEmphasis">
    <w:name w:val="Intense Emphasis"/>
    <w:basedOn w:val="DefaultParagraphFont"/>
    <w:uiPriority w:val="21"/>
    <w:qFormat/>
    <w:rsid w:val="008468F2"/>
    <w:rPr>
      <w:i/>
      <w:iCs/>
      <w:color w:val="0F4761" w:themeColor="accent1" w:themeShade="BF"/>
    </w:rPr>
  </w:style>
  <w:style w:type="paragraph" w:styleId="IntenseQuote">
    <w:name w:val="Intense Quote"/>
    <w:basedOn w:val="Normal"/>
    <w:next w:val="Normal"/>
    <w:link w:val="IntenseQuoteChar"/>
    <w:uiPriority w:val="30"/>
    <w:qFormat/>
    <w:rsid w:val="00846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8F2"/>
    <w:rPr>
      <w:i/>
      <w:iCs/>
      <w:color w:val="0F4761" w:themeColor="accent1" w:themeShade="BF"/>
    </w:rPr>
  </w:style>
  <w:style w:type="character" w:styleId="IntenseReference">
    <w:name w:val="Intense Reference"/>
    <w:basedOn w:val="DefaultParagraphFont"/>
    <w:uiPriority w:val="32"/>
    <w:qFormat/>
    <w:rsid w:val="008468F2"/>
    <w:rPr>
      <w:b/>
      <w:bCs/>
      <w:smallCaps/>
      <w:color w:val="0F4761" w:themeColor="accent1" w:themeShade="BF"/>
      <w:spacing w:val="5"/>
    </w:rPr>
  </w:style>
  <w:style w:type="paragraph" w:styleId="Header">
    <w:name w:val="header"/>
    <w:basedOn w:val="Normal"/>
    <w:link w:val="HeaderChar"/>
    <w:uiPriority w:val="99"/>
    <w:unhideWhenUsed/>
    <w:rsid w:val="00F94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C9E"/>
  </w:style>
  <w:style w:type="paragraph" w:styleId="Footer">
    <w:name w:val="footer"/>
    <w:basedOn w:val="Normal"/>
    <w:link w:val="FooterChar"/>
    <w:uiPriority w:val="99"/>
    <w:unhideWhenUsed/>
    <w:rsid w:val="00F94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C9E"/>
  </w:style>
  <w:style w:type="character" w:styleId="PageNumber">
    <w:name w:val="page number"/>
    <w:basedOn w:val="DefaultParagraphFont"/>
    <w:uiPriority w:val="99"/>
    <w:semiHidden/>
    <w:unhideWhenUsed/>
    <w:rsid w:val="00F94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2B483-83B8-FA41-9E7C-8B964A994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466</Words>
  <Characters>3053</Characters>
  <Application>Microsoft Office Word</Application>
  <DocSecurity>0</DocSecurity>
  <Lines>53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2</cp:revision>
  <dcterms:created xsi:type="dcterms:W3CDTF">2026-03-04T03:26:00Z</dcterms:created>
  <dcterms:modified xsi:type="dcterms:W3CDTF">2026-03-04T03:49:00Z</dcterms:modified>
</cp:coreProperties>
</file>