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592"/>
      </w:tblGrid>
      <w:tr>
        <w:tc>
          <w:tcPr>
            <w:tcW w:type="dxa" w:w="5040"/>
            <w:shd w:fill="1F497D"/>
            <w:tcMar>
              <w:top w:w="150" w:type="dxa"/>
              <w:start w:w="160" w:type="dxa"/>
              <w:bottom w:w="150" w:type="dxa"/>
              <w:end w:w="160" w:type="dxa"/>
            </w:tcMar>
            <w:vAlign w:val="center"/>
          </w:tcPr>
          <w:p>
            <w:pPr>
              <w:jc w:val="left"/>
            </w:pPr>
            <w:r>
              <w:rPr>
                <w:rFonts w:ascii="Arial" w:hAnsi="Arial"/>
                <w:b/>
                <w:color w:val="FFFFFF"/>
                <w:sz w:val="18"/>
              </w:rPr>
              <w:t>DNPRI  |  DIRECCIÓN NACIONAL DE PROMOCIÓN DE INVERSIONES</w:t>
            </w:r>
          </w:p>
        </w:tc>
        <w:tc>
          <w:tcPr>
            <w:tcW w:type="dxa" w:w="5040"/>
            <w:shd w:fill="1F497D"/>
            <w:tcMar>
              <w:top w:w="150" w:type="dxa"/>
              <w:start w:w="160" w:type="dxa"/>
              <w:bottom w:w="150" w:type="dxa"/>
              <w:end w:w="160" w:type="dxa"/>
            </w:tcMar>
            <w:vAlign w:val="center"/>
          </w:tcPr>
          <w:p>
            <w:pPr>
              <w:jc w:val="right"/>
            </w:pPr>
            <w:r>
              <w:rPr>
                <w:rFonts w:ascii="Arial" w:hAnsi="Arial"/>
                <w:b/>
                <w:color w:val="FFFFFF"/>
                <w:sz w:val="18"/>
              </w:rPr>
              <w:t>SEPTIEMBRE 2026</w:t>
            </w:r>
          </w:p>
        </w:tc>
      </w:tr>
    </w:tbl>
    <w:p/>
    <w:p/>
    <w:p/>
    <w:p>
      <w:pPr>
        <w:jc w:val="center"/>
      </w:pPr>
      <w:r>
        <w:rPr>
          <w:rFonts w:ascii="Arial" w:hAnsi="Arial"/>
          <w:b/>
          <w:color w:val="1F497D"/>
          <w:sz w:val="68"/>
        </w:rPr>
        <w:t>INFOINVE</w:t>
      </w:r>
    </w:p>
    <w:tbl>
      <w:tblPr>
        <w:tblW w:type="auto" w:w="0"/>
        <w:jc w:val="center"/>
        <w:tblLook w:firstColumn="1" w:firstRow="1" w:lastColumn="0" w:lastRow="0" w:noHBand="0" w:noVBand="1" w:val="04A0"/>
      </w:tblPr>
      <w:tblGrid>
        <w:gridCol w:w="10080"/>
      </w:tblGrid>
      <w:tr>
        <w:tc>
          <w:tcPr>
            <w:tcW w:type="dxa" w:w="2304"/>
            <w:shd w:fill="C0504D"/>
            <w:tcMar>
              <w:top w:w="25" w:type="dxa"/>
              <w:start w:w="0" w:type="dxa"/>
              <w:bottom w:w="25" w:type="dxa"/>
              <w:end w:w="0" w:type="dxa"/>
            </w:tcMar>
          </w:tcPr>
          <w:p>
            <w:r/>
          </w:p>
        </w:tc>
      </w:tr>
    </w:tbl>
    <w:p/>
    <w:p>
      <w:pPr>
        <w:jc w:val="center"/>
      </w:pPr>
      <w:r>
        <w:rPr>
          <w:rFonts w:ascii="Arial" w:hAnsi="Arial"/>
          <w:b/>
          <w:color w:val="282828"/>
          <w:sz w:val="58"/>
        </w:rPr>
        <w:t>INDIA</w:t>
      </w:r>
    </w:p>
    <w:p>
      <w:pPr>
        <w:jc w:val="center"/>
      </w:pPr>
      <w:r>
        <w:rPr>
          <w:rFonts w:ascii="Arial" w:hAnsi="Arial"/>
          <w:b/>
          <w:color w:val="4F81BD"/>
          <w:sz w:val="30"/>
        </w:rPr>
        <w:t>Informe bilateral de inversión extranjera directa</w:t>
      </w:r>
    </w:p>
    <w:p>
      <w:pPr>
        <w:jc w:val="center"/>
      </w:pPr>
      <w:r>
        <w:rPr>
          <w:rFonts w:ascii="Arial" w:hAnsi="Arial"/>
          <w:i/>
          <w:color w:val="5A5A5A"/>
          <w:sz w:val="22"/>
        </w:rPr>
        <w:t>Perfil inversor · anuncios de inversión · oportunidades sectoriales</w:t>
      </w:r>
    </w:p>
    <w:p/>
    <w:p/>
    <w:tbl>
      <w:tblPr>
        <w:tblW w:type="auto" w:w="0"/>
        <w:jc w:val="center"/>
        <w:tblLayout w:type="fixed"/>
        <w:tblLook w:firstColumn="1" w:firstRow="1" w:lastColumn="0" w:lastRow="0" w:noHBand="0" w:noVBand="1" w:val="04A0"/>
      </w:tblPr>
      <w:tblGrid>
        <w:gridCol w:w="8208"/>
      </w:tblGrid>
      <w:tr>
        <w:tc>
          <w:tcPr>
            <w:tcW w:type="dxa" w:w="10080"/>
            <w:shd w:fill="EEF3F8"/>
            <w:tcMar>
              <w:top w:w="220" w:type="dxa"/>
              <w:start w:w="280" w:type="dxa"/>
              <w:bottom w:w="220" w:type="dxa"/>
              <w:end w:w="280" w:type="dxa"/>
            </w:tcMar>
          </w:tcPr>
          <w:p>
            <w:pPr>
              <w:jc w:val="center"/>
            </w:pPr>
            <w:r>
              <w:rPr>
                <w:rFonts w:ascii="Arial" w:hAnsi="Arial"/>
                <w:color w:val="373737"/>
                <w:sz w:val="20"/>
              </w:rPr>
              <w:t>Indicadores macroeconómicos  |  Perfil de IED  |  Anuncios internacionales</w:t>
              <w:br/>
              <w:t>América Latina  |  Argentina</w:t>
            </w:r>
          </w:p>
        </w:tc>
      </w:tr>
    </w:tbl>
    <w:p/>
    <w:p/>
    <w:p/>
    <w:p/>
    <w:p>
      <w:pPr>
        <w:jc w:val="center"/>
      </w:pPr>
      <w:r>
        <w:rPr>
          <w:rFonts w:ascii="Arial" w:hAnsi="Arial"/>
          <w:b/>
          <w:color w:val="505050"/>
          <w:sz w:val="18"/>
        </w:rPr>
        <w:t>Ministerio de Relaciones Exteriores, Comercio Internacional y Culto</w:t>
      </w:r>
    </w:p>
    <w:p>
      <w:pPr>
        <w:jc w:val="center"/>
      </w:pPr>
      <w:r>
        <w:rPr>
          <w:rFonts w:ascii="Arial" w:hAnsi="Arial"/>
          <w:color w:val="6E6E6E"/>
          <w:sz w:val="18"/>
        </w:rPr>
        <w:t>República Argentina</w:t>
      </w:r>
    </w:p>
    <w:p>
      <w:r>
        <w:br w:type="page"/>
      </w:r>
    </w:p>
    <w:p>
      <w:pPr>
        <w:pStyle w:val="Heading1"/>
      </w:pPr>
      <w:r>
        <w:t>1. Principales indicadores macroeconómicos de India</w:t>
      </w:r>
    </w:p>
    <w:p>
      <w:r>
        <w:t>Los indicadores macroeconómicos se presentan con datos del Banco Mundial. Para 2025, la ficha de India informa un PIB de USD 3,96 billones, PIB per cápita de USD 2.702,5, crecimiento del PIB de 7,6% e inflación al consumidor de 2,4%.</w:t>
      </w:r>
    </w:p>
    <w:p>
      <w:pPr>
        <w:jc w:val="center"/>
      </w:pPr>
      <w:r>
        <w:drawing>
          <wp:inline xmlns:a="http://schemas.openxmlformats.org/drawingml/2006/main" xmlns:pic="http://schemas.openxmlformats.org/drawingml/2006/picture">
            <wp:extent cx="5989320" cy="3669021"/>
            <wp:docPr id="6" name="Picture 6"/>
            <wp:cNvGraphicFramePr>
              <a:graphicFrameLocks noChangeAspect="1"/>
            </wp:cNvGraphicFramePr>
            <a:graphic>
              <a:graphicData uri="http://schemas.openxmlformats.org/drawingml/2006/picture">
                <pic:pic>
                  <pic:nvPicPr>
                    <pic:cNvPr id="0" name="01_pib_pc_crecimiento.png"/>
                    <pic:cNvPicPr/>
                  </pic:nvPicPr>
                  <pic:blipFill>
                    <a:blip r:embed="rId14"/>
                    <a:stretch>
                      <a:fillRect/>
                    </a:stretch>
                  </pic:blipFill>
                  <pic:spPr>
                    <a:xfrm>
                      <a:off x="0" y="0"/>
                      <a:ext cx="5989320" cy="3669021"/>
                    </a:xfrm>
                    <a:prstGeom prst="rect"/>
                  </pic:spPr>
                </pic:pic>
              </a:graphicData>
            </a:graphic>
          </wp:inline>
        </w:drawing>
      </w:r>
    </w:p>
    <w:p>
      <w:pPr>
        <w:jc w:val="center"/>
      </w:pPr>
      <w:r>
        <w:rPr>
          <w:i/>
        </w:rPr>
        <w:t>Fuente: Banco Mundial, World Development Indicators.</w:t>
      </w:r>
    </w:p>
    <w:p>
      <w:pPr>
        <w:jc w:val="center"/>
      </w:pPr>
      <w:r>
        <w:drawing>
          <wp:inline xmlns:a="http://schemas.openxmlformats.org/drawingml/2006/main" xmlns:pic="http://schemas.openxmlformats.org/drawingml/2006/picture">
            <wp:extent cx="5989320" cy="3171058"/>
            <wp:docPr id="7" name="Picture 7"/>
            <wp:cNvGraphicFramePr>
              <a:graphicFrameLocks noChangeAspect="1"/>
            </wp:cNvGraphicFramePr>
            <a:graphic>
              <a:graphicData uri="http://schemas.openxmlformats.org/drawingml/2006/picture">
                <pic:pic>
                  <pic:nvPicPr>
                    <pic:cNvPr id="0" name="02_precios.png"/>
                    <pic:cNvPicPr/>
                  </pic:nvPicPr>
                  <pic:blipFill>
                    <a:blip r:embed="rId15"/>
                    <a:stretch>
                      <a:fillRect/>
                    </a:stretch>
                  </pic:blipFill>
                  <pic:spPr>
                    <a:xfrm>
                      <a:off x="0" y="0"/>
                      <a:ext cx="5989320" cy="3171058"/>
                    </a:xfrm>
                    <a:prstGeom prst="rect"/>
                  </pic:spPr>
                </pic:pic>
              </a:graphicData>
            </a:graphic>
          </wp:inline>
        </w:drawing>
      </w:r>
    </w:p>
    <w:p>
      <w:pPr>
        <w:jc w:val="center"/>
      </w:pPr>
      <w:r>
        <w:rPr>
          <w:i/>
        </w:rPr>
        <w:t>Fuente: Banco Mundial, World Development Indicators.</w:t>
      </w:r>
    </w:p>
    <w:p>
      <w:pPr>
        <w:jc w:val="center"/>
      </w:pPr>
      <w:r>
        <w:rPr>
          <w:i/>
        </w:rPr>
        <w:t>Fuente: Banco Mundial, World Development Indicators.</w:t>
      </w:r>
    </w:p>
    <w:p>
      <w:pPr>
        <w:pStyle w:val="Heading1"/>
      </w:pPr>
      <w:r>
        <w:t>2. Flujos y stock de IED de India en el mundo</w:t>
      </w:r>
    </w:p>
    <w:p>
      <w:r>
        <w:t>El perfil inversor internacional se construye con datos de UNCTAD. Se muestran los flujos anuales de IED al exterior y el stock acumulado de inversión directa de India en el exterior.</w:t>
      </w:r>
    </w:p>
    <w:p>
      <w:pPr>
        <w:jc w:val="center"/>
      </w:pPr>
      <w:r>
        <w:drawing>
          <wp:inline xmlns:a="http://schemas.openxmlformats.org/drawingml/2006/main" xmlns:pic="http://schemas.openxmlformats.org/drawingml/2006/picture">
            <wp:extent cx="5989320" cy="3330773"/>
            <wp:docPr id="8" name="Picture 8"/>
            <wp:cNvGraphicFramePr>
              <a:graphicFrameLocks noChangeAspect="1"/>
            </wp:cNvGraphicFramePr>
            <a:graphic>
              <a:graphicData uri="http://schemas.openxmlformats.org/drawingml/2006/picture">
                <pic:pic>
                  <pic:nvPicPr>
                    <pic:cNvPr id="0" name="03_flujos_ied.png"/>
                    <pic:cNvPicPr/>
                  </pic:nvPicPr>
                  <pic:blipFill>
                    <a:blip r:embed="rId16"/>
                    <a:stretch>
                      <a:fillRect/>
                    </a:stretch>
                  </pic:blipFill>
                  <pic:spPr>
                    <a:xfrm>
                      <a:off x="0" y="0"/>
                      <a:ext cx="5989320" cy="3330773"/>
                    </a:xfrm>
                    <a:prstGeom prst="rect"/>
                  </pic:spPr>
                </pic:pic>
              </a:graphicData>
            </a:graphic>
          </wp:inline>
        </w:drawing>
      </w:r>
    </w:p>
    <w:p>
      <w:pPr>
        <w:jc w:val="center"/>
      </w:pPr>
      <w:r>
        <w:drawing>
          <wp:inline xmlns:a="http://schemas.openxmlformats.org/drawingml/2006/main" xmlns:pic="http://schemas.openxmlformats.org/drawingml/2006/picture">
            <wp:extent cx="5989320" cy="3330773"/>
            <wp:docPr id="9" name="Picture 9"/>
            <wp:cNvGraphicFramePr>
              <a:graphicFrameLocks noChangeAspect="1"/>
            </wp:cNvGraphicFramePr>
            <a:graphic>
              <a:graphicData uri="http://schemas.openxmlformats.org/drawingml/2006/picture">
                <pic:pic>
                  <pic:nvPicPr>
                    <pic:cNvPr id="0" name="04_stock_ied.png"/>
                    <pic:cNvPicPr/>
                  </pic:nvPicPr>
                  <pic:blipFill>
                    <a:blip r:embed="rId17"/>
                    <a:stretch>
                      <a:fillRect/>
                    </a:stretch>
                  </pic:blipFill>
                  <pic:spPr>
                    <a:xfrm>
                      <a:off x="0" y="0"/>
                      <a:ext cx="5989320" cy="3330773"/>
                    </a:xfrm>
                    <a:prstGeom prst="rect"/>
                  </pic:spPr>
                </pic:pic>
              </a:graphicData>
            </a:graphic>
          </wp:inline>
        </w:drawing>
      </w:r>
    </w:p>
    <w:p>
      <w:pPr>
        <w:jc w:val="center"/>
      </w:pPr>
      <w:r>
        <w:rPr>
          <w:i/>
        </w:rPr>
        <w:t>Fuente: UNCTADstat — Foreign direct investment: inward and outward flows and stock, annual.</w:t>
      </w:r>
    </w:p>
    <w:p>
      <w:r>
        <w:t>Nota: los valores UNCTAD están expresados en millones de USD a precios corrientes. Los gráficos utilizan la serie 2020–2025 disponible en la base UNCTAD utilizada por DNPRI.</w:t>
      </w:r>
    </w:p>
    <w:p>
      <w:pPr>
        <w:pStyle w:val="Heading1"/>
      </w:pPr>
      <w:r>
        <w:t>4. Anuncios de inversión de empresas indias en el mundo</w:t>
      </w:r>
    </w:p>
    <w:p>
      <w:r>
        <w:t>Según la base de datos Orbis. entre enero de 2022 y septiembre de 2026 se registraron 1.039 anuncios internacionales de inversión de empresas de India. El cálculo excluye los proyectos cuyo país de origen y destino coinciden y contabiliza cada proyecto una sola vez.</w:t>
      </w:r>
    </w:p>
    <w:p>
      <w:pPr>
        <w:pStyle w:val="Heading2"/>
      </w:pPr>
      <w:r>
        <w:t>4.1 Principales países de destino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rFonts w:ascii="Arial" w:hAnsi="Arial"/>
                <w:b/>
                <w:sz w:val="17"/>
              </w:rPr>
              <w:t>País</w:t>
            </w:r>
          </w:p>
        </w:tc>
        <w:tc>
          <w:tcPr>
            <w:tcW w:type="dxa" w:w="3360"/>
            <w:vAlign w:val="center"/>
            <w:shd w:fill="D9EAF7"/>
          </w:tcPr>
          <w:p>
            <w:pPr>
              <w:jc w:val="center"/>
            </w:pPr>
            <w:r/>
            <w:r>
              <w:rPr>
                <w:rFonts w:ascii="Arial" w:hAnsi="Arial"/>
                <w:b/>
                <w:sz w:val="17"/>
              </w:rPr>
              <w:t>Cantidad de anuncios</w:t>
            </w:r>
          </w:p>
        </w:tc>
        <w:tc>
          <w:tcPr>
            <w:tcW w:type="dxa" w:w="3360"/>
            <w:vAlign w:val="center"/>
            <w:shd w:fill="D9EAF7"/>
          </w:tcPr>
          <w:p>
            <w:pPr>
              <w:jc w:val="center"/>
            </w:pPr>
            <w:r/>
            <w:r>
              <w:rPr>
                <w:rFonts w:ascii="Arial" w:hAnsi="Arial"/>
                <w:b/>
                <w:sz w:val="17"/>
              </w:rPr>
              <w:t>% del total</w:t>
            </w:r>
          </w:p>
        </w:tc>
      </w:tr>
      <w:tr>
        <w:tc>
          <w:tcPr>
            <w:tcW w:type="dxa" w:w="3360"/>
            <w:vAlign w:val="center"/>
          </w:tcPr>
          <w:p>
            <w:pPr>
              <w:jc w:val="center"/>
            </w:pPr>
            <w:r/>
            <w:r>
              <w:rPr>
                <w:rFonts w:ascii="Arial" w:hAnsi="Arial"/>
                <w:b w:val="0"/>
                <w:sz w:val="17"/>
              </w:rPr>
              <w:t>Estados Unidos</w:t>
            </w:r>
          </w:p>
        </w:tc>
        <w:tc>
          <w:tcPr>
            <w:tcW w:type="dxa" w:w="3360"/>
            <w:vAlign w:val="center"/>
          </w:tcPr>
          <w:p>
            <w:pPr>
              <w:jc w:val="center"/>
            </w:pPr>
            <w:r/>
            <w:r>
              <w:rPr>
                <w:rFonts w:ascii="Arial" w:hAnsi="Arial"/>
                <w:b w:val="0"/>
                <w:sz w:val="17"/>
              </w:rPr>
              <w:t>153</w:t>
            </w:r>
          </w:p>
        </w:tc>
        <w:tc>
          <w:tcPr>
            <w:tcW w:type="dxa" w:w="3360"/>
            <w:vAlign w:val="center"/>
          </w:tcPr>
          <w:p>
            <w:pPr>
              <w:jc w:val="center"/>
            </w:pPr>
            <w:r/>
            <w:r>
              <w:rPr>
                <w:rFonts w:ascii="Arial" w:hAnsi="Arial"/>
                <w:b w:val="0"/>
                <w:sz w:val="17"/>
              </w:rPr>
              <w:t>14,7%</w:t>
            </w:r>
          </w:p>
        </w:tc>
      </w:tr>
      <w:tr>
        <w:tc>
          <w:tcPr>
            <w:tcW w:type="dxa" w:w="3360"/>
            <w:vAlign w:val="center"/>
          </w:tcPr>
          <w:p>
            <w:pPr>
              <w:jc w:val="center"/>
            </w:pPr>
            <w:r/>
            <w:r>
              <w:rPr>
                <w:rFonts w:ascii="Arial" w:hAnsi="Arial"/>
                <w:b w:val="0"/>
                <w:sz w:val="17"/>
              </w:rPr>
              <w:t>Reino Unido</w:t>
            </w:r>
          </w:p>
        </w:tc>
        <w:tc>
          <w:tcPr>
            <w:tcW w:type="dxa" w:w="3360"/>
            <w:vAlign w:val="center"/>
          </w:tcPr>
          <w:p>
            <w:pPr>
              <w:jc w:val="center"/>
            </w:pPr>
            <w:r/>
            <w:r>
              <w:rPr>
                <w:rFonts w:ascii="Arial" w:hAnsi="Arial"/>
                <w:b w:val="0"/>
                <w:sz w:val="17"/>
              </w:rPr>
              <w:t>134</w:t>
            </w:r>
          </w:p>
        </w:tc>
        <w:tc>
          <w:tcPr>
            <w:tcW w:type="dxa" w:w="3360"/>
            <w:vAlign w:val="center"/>
          </w:tcPr>
          <w:p>
            <w:pPr>
              <w:jc w:val="center"/>
            </w:pPr>
            <w:r/>
            <w:r>
              <w:rPr>
                <w:rFonts w:ascii="Arial" w:hAnsi="Arial"/>
                <w:b w:val="0"/>
                <w:sz w:val="17"/>
              </w:rPr>
              <w:t>12,9%</w:t>
            </w:r>
          </w:p>
        </w:tc>
      </w:tr>
      <w:tr>
        <w:tc>
          <w:tcPr>
            <w:tcW w:type="dxa" w:w="3360"/>
            <w:vAlign w:val="center"/>
          </w:tcPr>
          <w:p>
            <w:pPr>
              <w:jc w:val="center"/>
            </w:pPr>
            <w:r/>
            <w:r>
              <w:rPr>
                <w:rFonts w:ascii="Arial" w:hAnsi="Arial"/>
                <w:b w:val="0"/>
                <w:sz w:val="17"/>
              </w:rPr>
              <w:t>Brasil</w:t>
            </w:r>
          </w:p>
        </w:tc>
        <w:tc>
          <w:tcPr>
            <w:tcW w:type="dxa" w:w="3360"/>
            <w:vAlign w:val="center"/>
          </w:tcPr>
          <w:p>
            <w:pPr>
              <w:jc w:val="center"/>
            </w:pPr>
            <w:r/>
            <w:r>
              <w:rPr>
                <w:rFonts w:ascii="Arial" w:hAnsi="Arial"/>
                <w:b w:val="0"/>
                <w:sz w:val="17"/>
              </w:rPr>
              <w:t>126</w:t>
            </w:r>
          </w:p>
        </w:tc>
        <w:tc>
          <w:tcPr>
            <w:tcW w:type="dxa" w:w="3360"/>
            <w:vAlign w:val="center"/>
          </w:tcPr>
          <w:p>
            <w:pPr>
              <w:jc w:val="center"/>
            </w:pPr>
            <w:r/>
            <w:r>
              <w:rPr>
                <w:rFonts w:ascii="Arial" w:hAnsi="Arial"/>
                <w:b w:val="0"/>
                <w:sz w:val="17"/>
              </w:rPr>
              <w:t>12,1%</w:t>
            </w:r>
          </w:p>
        </w:tc>
      </w:tr>
      <w:tr>
        <w:tc>
          <w:tcPr>
            <w:tcW w:type="dxa" w:w="3360"/>
            <w:vAlign w:val="center"/>
          </w:tcPr>
          <w:p>
            <w:pPr>
              <w:jc w:val="center"/>
            </w:pPr>
            <w:r/>
            <w:r>
              <w:rPr>
                <w:rFonts w:ascii="Arial" w:hAnsi="Arial"/>
                <w:b w:val="0"/>
                <w:sz w:val="17"/>
              </w:rPr>
              <w:t>Emiratos Árabes Unidos</w:t>
            </w:r>
          </w:p>
        </w:tc>
        <w:tc>
          <w:tcPr>
            <w:tcW w:type="dxa" w:w="3360"/>
            <w:vAlign w:val="center"/>
          </w:tcPr>
          <w:p>
            <w:pPr>
              <w:jc w:val="center"/>
            </w:pPr>
            <w:r/>
            <w:r>
              <w:rPr>
                <w:rFonts w:ascii="Arial" w:hAnsi="Arial"/>
                <w:b w:val="0"/>
                <w:sz w:val="17"/>
              </w:rPr>
              <w:t>111</w:t>
            </w:r>
          </w:p>
        </w:tc>
        <w:tc>
          <w:tcPr>
            <w:tcW w:type="dxa" w:w="3360"/>
            <w:vAlign w:val="center"/>
          </w:tcPr>
          <w:p>
            <w:pPr>
              <w:jc w:val="center"/>
            </w:pPr>
            <w:r/>
            <w:r>
              <w:rPr>
                <w:rFonts w:ascii="Arial" w:hAnsi="Arial"/>
                <w:b w:val="0"/>
                <w:sz w:val="17"/>
              </w:rPr>
              <w:t>10,7%</w:t>
            </w:r>
          </w:p>
        </w:tc>
      </w:tr>
      <w:tr>
        <w:tc>
          <w:tcPr>
            <w:tcW w:type="dxa" w:w="3360"/>
            <w:vAlign w:val="center"/>
          </w:tcPr>
          <w:p>
            <w:pPr>
              <w:jc w:val="center"/>
            </w:pPr>
            <w:r/>
            <w:r>
              <w:rPr>
                <w:rFonts w:ascii="Arial" w:hAnsi="Arial"/>
                <w:b w:val="0"/>
                <w:sz w:val="17"/>
              </w:rPr>
              <w:t>Alemania</w:t>
            </w:r>
          </w:p>
        </w:tc>
        <w:tc>
          <w:tcPr>
            <w:tcW w:type="dxa" w:w="3360"/>
            <w:vAlign w:val="center"/>
          </w:tcPr>
          <w:p>
            <w:pPr>
              <w:jc w:val="center"/>
            </w:pPr>
            <w:r/>
            <w:r>
              <w:rPr>
                <w:rFonts w:ascii="Arial" w:hAnsi="Arial"/>
                <w:b w:val="0"/>
                <w:sz w:val="17"/>
              </w:rPr>
              <w:t>36</w:t>
            </w:r>
          </w:p>
        </w:tc>
        <w:tc>
          <w:tcPr>
            <w:tcW w:type="dxa" w:w="3360"/>
            <w:vAlign w:val="center"/>
          </w:tcPr>
          <w:p>
            <w:pPr>
              <w:jc w:val="center"/>
            </w:pPr>
            <w:r/>
            <w:r>
              <w:rPr>
                <w:rFonts w:ascii="Arial" w:hAnsi="Arial"/>
                <w:b w:val="0"/>
                <w:sz w:val="17"/>
              </w:rPr>
              <w:t>3,5%</w:t>
            </w:r>
          </w:p>
        </w:tc>
      </w:tr>
      <w:tr>
        <w:tc>
          <w:tcPr>
            <w:tcW w:type="dxa" w:w="3360"/>
            <w:vAlign w:val="center"/>
          </w:tcPr>
          <w:p>
            <w:pPr>
              <w:jc w:val="center"/>
            </w:pPr>
            <w:r/>
            <w:r>
              <w:rPr>
                <w:rFonts w:ascii="Arial" w:hAnsi="Arial"/>
                <w:b w:val="0"/>
                <w:sz w:val="17"/>
              </w:rPr>
              <w:t>Arabia Saudita</w:t>
            </w:r>
          </w:p>
        </w:tc>
        <w:tc>
          <w:tcPr>
            <w:tcW w:type="dxa" w:w="3360"/>
            <w:vAlign w:val="center"/>
          </w:tcPr>
          <w:p>
            <w:pPr>
              <w:jc w:val="center"/>
            </w:pPr>
            <w:r/>
            <w:r>
              <w:rPr>
                <w:rFonts w:ascii="Arial" w:hAnsi="Arial"/>
                <w:b w:val="0"/>
                <w:sz w:val="17"/>
              </w:rPr>
              <w:t>34</w:t>
            </w:r>
          </w:p>
        </w:tc>
        <w:tc>
          <w:tcPr>
            <w:tcW w:type="dxa" w:w="3360"/>
            <w:vAlign w:val="center"/>
          </w:tcPr>
          <w:p>
            <w:pPr>
              <w:jc w:val="center"/>
            </w:pPr>
            <w:r/>
            <w:r>
              <w:rPr>
                <w:rFonts w:ascii="Arial" w:hAnsi="Arial"/>
                <w:b w:val="0"/>
                <w:sz w:val="17"/>
              </w:rPr>
              <w:t>3,3%</w:t>
            </w:r>
          </w:p>
        </w:tc>
      </w:tr>
      <w:tr>
        <w:tc>
          <w:tcPr>
            <w:tcW w:type="dxa" w:w="3360"/>
            <w:vAlign w:val="center"/>
          </w:tcPr>
          <w:p>
            <w:pPr>
              <w:jc w:val="center"/>
            </w:pPr>
            <w:r/>
            <w:r>
              <w:rPr>
                <w:rFonts w:ascii="Arial" w:hAnsi="Arial"/>
                <w:b w:val="0"/>
                <w:sz w:val="17"/>
              </w:rPr>
              <w:t>Australia</w:t>
            </w:r>
          </w:p>
        </w:tc>
        <w:tc>
          <w:tcPr>
            <w:tcW w:type="dxa" w:w="3360"/>
            <w:vAlign w:val="center"/>
          </w:tcPr>
          <w:p>
            <w:pPr>
              <w:jc w:val="center"/>
            </w:pPr>
            <w:r/>
            <w:r>
              <w:rPr>
                <w:rFonts w:ascii="Arial" w:hAnsi="Arial"/>
                <w:b w:val="0"/>
                <w:sz w:val="17"/>
              </w:rPr>
              <w:t>32</w:t>
            </w:r>
          </w:p>
        </w:tc>
        <w:tc>
          <w:tcPr>
            <w:tcW w:type="dxa" w:w="3360"/>
            <w:vAlign w:val="center"/>
          </w:tcPr>
          <w:p>
            <w:pPr>
              <w:jc w:val="center"/>
            </w:pPr>
            <w:r/>
            <w:r>
              <w:rPr>
                <w:rFonts w:ascii="Arial" w:hAnsi="Arial"/>
                <w:b w:val="0"/>
                <w:sz w:val="17"/>
              </w:rPr>
              <w:t>3,1%</w:t>
            </w:r>
          </w:p>
        </w:tc>
      </w:tr>
      <w:tr>
        <w:tc>
          <w:tcPr>
            <w:tcW w:type="dxa" w:w="3360"/>
            <w:vAlign w:val="center"/>
          </w:tcPr>
          <w:p>
            <w:pPr>
              <w:jc w:val="center"/>
            </w:pPr>
            <w:r/>
            <w:r>
              <w:rPr>
                <w:rFonts w:ascii="Arial" w:hAnsi="Arial"/>
                <w:b w:val="0"/>
                <w:sz w:val="17"/>
              </w:rPr>
              <w:t>México</w:t>
            </w:r>
          </w:p>
        </w:tc>
        <w:tc>
          <w:tcPr>
            <w:tcW w:type="dxa" w:w="3360"/>
            <w:vAlign w:val="center"/>
          </w:tcPr>
          <w:p>
            <w:pPr>
              <w:jc w:val="center"/>
            </w:pPr>
            <w:r/>
            <w:r>
              <w:rPr>
                <w:rFonts w:ascii="Arial" w:hAnsi="Arial"/>
                <w:b w:val="0"/>
                <w:sz w:val="17"/>
              </w:rPr>
              <w:t>30</w:t>
            </w:r>
          </w:p>
        </w:tc>
        <w:tc>
          <w:tcPr>
            <w:tcW w:type="dxa" w:w="3360"/>
            <w:vAlign w:val="center"/>
          </w:tcPr>
          <w:p>
            <w:pPr>
              <w:jc w:val="center"/>
            </w:pPr>
            <w:r/>
            <w:r>
              <w:rPr>
                <w:rFonts w:ascii="Arial" w:hAnsi="Arial"/>
                <w:b w:val="0"/>
                <w:sz w:val="17"/>
              </w:rPr>
              <w:t>2,9%</w:t>
            </w:r>
          </w:p>
        </w:tc>
      </w:tr>
      <w:tr>
        <w:tc>
          <w:tcPr>
            <w:tcW w:type="dxa" w:w="3360"/>
            <w:vAlign w:val="center"/>
          </w:tcPr>
          <w:p>
            <w:pPr>
              <w:jc w:val="center"/>
            </w:pPr>
            <w:r/>
            <w:r>
              <w:rPr>
                <w:rFonts w:ascii="Arial" w:hAnsi="Arial"/>
                <w:b w:val="0"/>
                <w:sz w:val="17"/>
              </w:rPr>
              <w:t>Singapur</w:t>
            </w:r>
          </w:p>
        </w:tc>
        <w:tc>
          <w:tcPr>
            <w:tcW w:type="dxa" w:w="3360"/>
            <w:vAlign w:val="center"/>
          </w:tcPr>
          <w:p>
            <w:pPr>
              <w:jc w:val="center"/>
            </w:pPr>
            <w:r/>
            <w:r>
              <w:rPr>
                <w:rFonts w:ascii="Arial" w:hAnsi="Arial"/>
                <w:b w:val="0"/>
                <w:sz w:val="17"/>
              </w:rPr>
              <w:t>22</w:t>
            </w:r>
          </w:p>
        </w:tc>
        <w:tc>
          <w:tcPr>
            <w:tcW w:type="dxa" w:w="3360"/>
            <w:vAlign w:val="center"/>
          </w:tcPr>
          <w:p>
            <w:pPr>
              <w:jc w:val="center"/>
            </w:pPr>
            <w:r/>
            <w:r>
              <w:rPr>
                <w:rFonts w:ascii="Arial" w:hAnsi="Arial"/>
                <w:b w:val="0"/>
                <w:sz w:val="17"/>
              </w:rPr>
              <w:t>2,1%</w:t>
            </w:r>
          </w:p>
        </w:tc>
      </w:tr>
      <w:tr>
        <w:tc>
          <w:tcPr>
            <w:tcW w:type="dxa" w:w="3360"/>
            <w:vAlign w:val="center"/>
          </w:tcPr>
          <w:p>
            <w:pPr>
              <w:jc w:val="center"/>
            </w:pPr>
            <w:r/>
            <w:r>
              <w:rPr>
                <w:rFonts w:ascii="Arial" w:hAnsi="Arial"/>
                <w:b w:val="0"/>
                <w:sz w:val="17"/>
              </w:rPr>
              <w:t>Otros</w:t>
            </w:r>
          </w:p>
        </w:tc>
        <w:tc>
          <w:tcPr>
            <w:tcW w:type="dxa" w:w="3360"/>
            <w:vAlign w:val="center"/>
          </w:tcPr>
          <w:p>
            <w:pPr>
              <w:jc w:val="center"/>
            </w:pPr>
            <w:r/>
            <w:r>
              <w:rPr>
                <w:rFonts w:ascii="Arial" w:hAnsi="Arial"/>
                <w:b w:val="0"/>
                <w:sz w:val="17"/>
              </w:rPr>
              <w:t>361</w:t>
            </w:r>
          </w:p>
        </w:tc>
        <w:tc>
          <w:tcPr>
            <w:tcW w:type="dxa" w:w="3360"/>
            <w:vAlign w:val="center"/>
          </w:tcPr>
          <w:p>
            <w:pPr>
              <w:jc w:val="center"/>
            </w:pPr>
            <w:r/>
            <w:r>
              <w:rPr>
                <w:rFonts w:ascii="Arial" w:hAnsi="Arial"/>
                <w:b w:val="0"/>
                <w:sz w:val="17"/>
              </w:rPr>
              <w:t>34,7%</w:t>
            </w:r>
          </w:p>
        </w:tc>
      </w:tr>
      <w:tr>
        <w:tc>
          <w:tcPr>
            <w:tcW w:type="dxa" w:w="3360"/>
            <w:vAlign w:val="center"/>
            <w:shd w:fill="EEF4F8"/>
          </w:tcPr>
          <w:p>
            <w:pPr>
              <w:jc w:val="center"/>
            </w:pPr>
            <w:r/>
            <w:r>
              <w:rPr>
                <w:rFonts w:ascii="Arial" w:hAnsi="Arial"/>
                <w:b/>
                <w:sz w:val="17"/>
              </w:rPr>
              <w:t>Total</w:t>
            </w:r>
          </w:p>
        </w:tc>
        <w:tc>
          <w:tcPr>
            <w:tcW w:type="dxa" w:w="3360"/>
            <w:vAlign w:val="center"/>
            <w:shd w:fill="EEF4F8"/>
          </w:tcPr>
          <w:p>
            <w:pPr>
              <w:jc w:val="center"/>
            </w:pPr>
            <w:r/>
            <w:r>
              <w:rPr>
                <w:rFonts w:ascii="Arial" w:hAnsi="Arial"/>
                <w:b/>
                <w:sz w:val="17"/>
              </w:rPr>
              <w:t>1.039</w:t>
            </w:r>
          </w:p>
        </w:tc>
        <w:tc>
          <w:tcPr>
            <w:tcW w:type="dxa" w:w="3360"/>
            <w:vAlign w:val="center"/>
            <w:shd w:fill="EEF4F8"/>
          </w:tcPr>
          <w:p>
            <w:pPr>
              <w:jc w:val="center"/>
            </w:pPr>
            <w:r/>
            <w:r>
              <w:rPr>
                <w:rFonts w:ascii="Arial" w:hAnsi="Arial"/>
                <w:b/>
                <w:sz w:val="17"/>
              </w:rPr>
              <w:t>100,0%</w:t>
            </w:r>
          </w:p>
        </w:tc>
      </w:tr>
    </w:tbl>
    <w:p>
      <w:r>
        <w:rPr>
          <w:i/>
        </w:rPr>
        <w:t>Fuente: MRECIC en base a ORBIS.</w:t>
      </w:r>
    </w:p>
    <w:p>
      <w:pPr>
        <w:pStyle w:val="Heading2"/>
      </w:pPr>
      <w:r>
        <w:t>4.2 Principales sectores</w:t>
      </w:r>
    </w:p>
    <w:p>
      <w:r>
        <w:t>La clasificación utiliza la columna BvD Sector de Orbis. Se presentan los nueve sectores principales y el resto se agrupa en “Otros”. Las categorías de utilidades se incluyen siempre dentro de “Otros”. Las denominaciones sectoriales en español siguen el criterio de trabajo DNPRI y no una traducción literal.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rFonts w:ascii="Arial" w:hAnsi="Arial"/>
                <w:b/>
                <w:sz w:val="17"/>
              </w:rPr>
              <w:t>Sector</w:t>
            </w:r>
          </w:p>
        </w:tc>
        <w:tc>
          <w:tcPr>
            <w:tcW w:type="dxa" w:w="3360"/>
            <w:vAlign w:val="center"/>
            <w:shd w:fill="D9EAF7"/>
          </w:tcPr>
          <w:p>
            <w:pPr>
              <w:jc w:val="center"/>
            </w:pPr>
            <w:r/>
            <w:r>
              <w:rPr>
                <w:rFonts w:ascii="Arial" w:hAnsi="Arial"/>
                <w:b/>
                <w:sz w:val="17"/>
              </w:rPr>
              <w:t>Cantidad de anuncios</w:t>
            </w:r>
          </w:p>
        </w:tc>
        <w:tc>
          <w:tcPr>
            <w:tcW w:type="dxa" w:w="3360"/>
            <w:vAlign w:val="center"/>
            <w:shd w:fill="D9EAF7"/>
          </w:tcPr>
          <w:p>
            <w:pPr>
              <w:jc w:val="center"/>
            </w:pPr>
            <w:r/>
            <w:r>
              <w:rPr>
                <w:rFonts w:ascii="Arial" w:hAnsi="Arial"/>
                <w:b/>
                <w:sz w:val="17"/>
              </w:rPr>
              <w:t>% del total</w:t>
            </w:r>
          </w:p>
        </w:tc>
      </w:tr>
      <w:tr>
        <w:tc>
          <w:tcPr>
            <w:tcW w:type="dxa" w:w="3360"/>
            <w:vAlign w:val="center"/>
          </w:tcPr>
          <w:p>
            <w:pPr>
              <w:jc w:val="center"/>
            </w:pPr>
            <w:r/>
            <w:r>
              <w:rPr>
                <w:rFonts w:ascii="Arial" w:hAnsi="Arial"/>
                <w:b w:val="0"/>
                <w:sz w:val="17"/>
              </w:rPr>
              <w:t>Fabricación de Vehículos, Motocicletas y Bicicletas</w:t>
            </w:r>
          </w:p>
        </w:tc>
        <w:tc>
          <w:tcPr>
            <w:tcW w:type="dxa" w:w="3360"/>
            <w:vAlign w:val="center"/>
          </w:tcPr>
          <w:p>
            <w:pPr>
              <w:jc w:val="center"/>
            </w:pPr>
            <w:r/>
            <w:r>
              <w:rPr>
                <w:rFonts w:ascii="Arial" w:hAnsi="Arial"/>
                <w:b w:val="0"/>
                <w:sz w:val="17"/>
              </w:rPr>
              <w:t>136</w:t>
            </w:r>
          </w:p>
        </w:tc>
        <w:tc>
          <w:tcPr>
            <w:tcW w:type="dxa" w:w="3360"/>
            <w:vAlign w:val="center"/>
          </w:tcPr>
          <w:p>
            <w:pPr>
              <w:jc w:val="center"/>
            </w:pPr>
            <w:r/>
            <w:r>
              <w:rPr>
                <w:rFonts w:ascii="Arial" w:hAnsi="Arial"/>
                <w:b w:val="0"/>
                <w:sz w:val="17"/>
              </w:rPr>
              <w:t>13,1%</w:t>
            </w:r>
          </w:p>
        </w:tc>
      </w:tr>
      <w:tr>
        <w:tc>
          <w:tcPr>
            <w:tcW w:type="dxa" w:w="3360"/>
            <w:vAlign w:val="center"/>
          </w:tcPr>
          <w:p>
            <w:pPr>
              <w:jc w:val="center"/>
            </w:pPr>
            <w:r/>
            <w:r>
              <w:rPr>
                <w:rFonts w:ascii="Arial" w:hAnsi="Arial"/>
                <w:b w:val="0"/>
                <w:sz w:val="17"/>
              </w:rPr>
              <w:t>Computación y Software</w:t>
            </w:r>
          </w:p>
        </w:tc>
        <w:tc>
          <w:tcPr>
            <w:tcW w:type="dxa" w:w="3360"/>
            <w:vAlign w:val="center"/>
          </w:tcPr>
          <w:p>
            <w:pPr>
              <w:jc w:val="center"/>
            </w:pPr>
            <w:r/>
            <w:r>
              <w:rPr>
                <w:rFonts w:ascii="Arial" w:hAnsi="Arial"/>
                <w:b w:val="0"/>
                <w:sz w:val="17"/>
              </w:rPr>
              <w:t>133</w:t>
            </w:r>
          </w:p>
        </w:tc>
        <w:tc>
          <w:tcPr>
            <w:tcW w:type="dxa" w:w="3360"/>
            <w:vAlign w:val="center"/>
          </w:tcPr>
          <w:p>
            <w:pPr>
              <w:jc w:val="center"/>
            </w:pPr>
            <w:r/>
            <w:r>
              <w:rPr>
                <w:rFonts w:ascii="Arial" w:hAnsi="Arial"/>
                <w:b w:val="0"/>
                <w:sz w:val="17"/>
              </w:rPr>
              <w:t>12,8%</w:t>
            </w:r>
          </w:p>
        </w:tc>
      </w:tr>
      <w:tr>
        <w:tc>
          <w:tcPr>
            <w:tcW w:type="dxa" w:w="3360"/>
            <w:vAlign w:val="center"/>
          </w:tcPr>
          <w:p>
            <w:pPr>
              <w:jc w:val="center"/>
            </w:pPr>
            <w:r/>
            <w:r>
              <w:rPr>
                <w:rFonts w:ascii="Arial" w:hAnsi="Arial"/>
                <w:b w:val="0"/>
                <w:sz w:val="17"/>
              </w:rPr>
              <w:t>Servicios de Internet</w:t>
            </w:r>
          </w:p>
        </w:tc>
        <w:tc>
          <w:tcPr>
            <w:tcW w:type="dxa" w:w="3360"/>
            <w:vAlign w:val="center"/>
          </w:tcPr>
          <w:p>
            <w:pPr>
              <w:jc w:val="center"/>
            </w:pPr>
            <w:r/>
            <w:r>
              <w:rPr>
                <w:rFonts w:ascii="Arial" w:hAnsi="Arial"/>
                <w:b w:val="0"/>
                <w:sz w:val="17"/>
              </w:rPr>
              <w:t>116</w:t>
            </w:r>
          </w:p>
        </w:tc>
        <w:tc>
          <w:tcPr>
            <w:tcW w:type="dxa" w:w="3360"/>
            <w:vAlign w:val="center"/>
          </w:tcPr>
          <w:p>
            <w:pPr>
              <w:jc w:val="center"/>
            </w:pPr>
            <w:r/>
            <w:r>
              <w:rPr>
                <w:rFonts w:ascii="Arial" w:hAnsi="Arial"/>
                <w:b w:val="0"/>
                <w:sz w:val="17"/>
              </w:rPr>
              <w:t>11,2%</w:t>
            </w:r>
          </w:p>
        </w:tc>
      </w:tr>
      <w:tr>
        <w:tc>
          <w:tcPr>
            <w:tcW w:type="dxa" w:w="3360"/>
            <w:vAlign w:val="center"/>
          </w:tcPr>
          <w:p>
            <w:pPr>
              <w:jc w:val="center"/>
            </w:pPr>
            <w:r/>
            <w:r>
              <w:rPr>
                <w:rFonts w:ascii="Arial" w:hAnsi="Arial"/>
                <w:b w:val="0"/>
                <w:sz w:val="17"/>
              </w:rPr>
              <w:t>Servicios Profesionales</w:t>
            </w:r>
          </w:p>
        </w:tc>
        <w:tc>
          <w:tcPr>
            <w:tcW w:type="dxa" w:w="3360"/>
            <w:vAlign w:val="center"/>
          </w:tcPr>
          <w:p>
            <w:pPr>
              <w:jc w:val="center"/>
            </w:pPr>
            <w:r/>
            <w:r>
              <w:rPr>
                <w:rFonts w:ascii="Arial" w:hAnsi="Arial"/>
                <w:b w:val="0"/>
                <w:sz w:val="17"/>
              </w:rPr>
              <w:t>88</w:t>
            </w:r>
          </w:p>
        </w:tc>
        <w:tc>
          <w:tcPr>
            <w:tcW w:type="dxa" w:w="3360"/>
            <w:vAlign w:val="center"/>
          </w:tcPr>
          <w:p>
            <w:pPr>
              <w:jc w:val="center"/>
            </w:pPr>
            <w:r/>
            <w:r>
              <w:rPr>
                <w:rFonts w:ascii="Arial" w:hAnsi="Arial"/>
                <w:b w:val="0"/>
                <w:sz w:val="17"/>
              </w:rPr>
              <w:t>8,5%</w:t>
            </w:r>
          </w:p>
        </w:tc>
      </w:tr>
      <w:tr>
        <w:tc>
          <w:tcPr>
            <w:tcW w:type="dxa" w:w="3360"/>
            <w:vAlign w:val="center"/>
          </w:tcPr>
          <w:p>
            <w:pPr>
              <w:jc w:val="center"/>
            </w:pPr>
            <w:r/>
            <w:r>
              <w:rPr>
                <w:rFonts w:ascii="Arial" w:hAnsi="Arial"/>
                <w:b w:val="0"/>
                <w:sz w:val="17"/>
              </w:rPr>
              <w:t>Comercio Minorista</w:t>
            </w:r>
          </w:p>
        </w:tc>
        <w:tc>
          <w:tcPr>
            <w:tcW w:type="dxa" w:w="3360"/>
            <w:vAlign w:val="center"/>
          </w:tcPr>
          <w:p>
            <w:pPr>
              <w:jc w:val="center"/>
            </w:pPr>
            <w:r/>
            <w:r>
              <w:rPr>
                <w:rFonts w:ascii="Arial" w:hAnsi="Arial"/>
                <w:b w:val="0"/>
                <w:sz w:val="17"/>
              </w:rPr>
              <w:t>74</w:t>
            </w:r>
          </w:p>
        </w:tc>
        <w:tc>
          <w:tcPr>
            <w:tcW w:type="dxa" w:w="3360"/>
            <w:vAlign w:val="center"/>
          </w:tcPr>
          <w:p>
            <w:pPr>
              <w:jc w:val="center"/>
            </w:pPr>
            <w:r/>
            <w:r>
              <w:rPr>
                <w:rFonts w:ascii="Arial" w:hAnsi="Arial"/>
                <w:b w:val="0"/>
                <w:sz w:val="17"/>
              </w:rPr>
              <w:t>7,1%</w:t>
            </w:r>
          </w:p>
        </w:tc>
      </w:tr>
      <w:tr>
        <w:tc>
          <w:tcPr>
            <w:tcW w:type="dxa" w:w="3360"/>
            <w:vAlign w:val="center"/>
          </w:tcPr>
          <w:p>
            <w:pPr>
              <w:jc w:val="center"/>
            </w:pPr>
            <w:r/>
            <w:r>
              <w:rPr>
                <w:rFonts w:ascii="Arial" w:hAnsi="Arial"/>
                <w:b w:val="0"/>
                <w:sz w:val="17"/>
              </w:rPr>
              <w:t>Industria Farmacéutica</w:t>
            </w:r>
          </w:p>
        </w:tc>
        <w:tc>
          <w:tcPr>
            <w:tcW w:type="dxa" w:w="3360"/>
            <w:vAlign w:val="center"/>
          </w:tcPr>
          <w:p>
            <w:pPr>
              <w:jc w:val="center"/>
            </w:pPr>
            <w:r/>
            <w:r>
              <w:rPr>
                <w:rFonts w:ascii="Arial" w:hAnsi="Arial"/>
                <w:b w:val="0"/>
                <w:sz w:val="17"/>
              </w:rPr>
              <w:t>47</w:t>
            </w:r>
          </w:p>
        </w:tc>
        <w:tc>
          <w:tcPr>
            <w:tcW w:type="dxa" w:w="3360"/>
            <w:vAlign w:val="center"/>
          </w:tcPr>
          <w:p>
            <w:pPr>
              <w:jc w:val="center"/>
            </w:pPr>
            <w:r/>
            <w:r>
              <w:rPr>
                <w:rFonts w:ascii="Arial" w:hAnsi="Arial"/>
                <w:b w:val="0"/>
                <w:sz w:val="17"/>
              </w:rPr>
              <w:t>4,5%</w:t>
            </w:r>
          </w:p>
        </w:tc>
      </w:tr>
      <w:tr>
        <w:tc>
          <w:tcPr>
            <w:tcW w:type="dxa" w:w="3360"/>
            <w:vAlign w:val="center"/>
          </w:tcPr>
          <w:p>
            <w:pPr>
              <w:jc w:val="center"/>
            </w:pPr>
            <w:r/>
            <w:r>
              <w:rPr>
                <w:rFonts w:ascii="Arial" w:hAnsi="Arial"/>
                <w:b w:val="0"/>
                <w:sz w:val="17"/>
              </w:rPr>
              <w:t>Viajes y Ocio</w:t>
            </w:r>
          </w:p>
        </w:tc>
        <w:tc>
          <w:tcPr>
            <w:tcW w:type="dxa" w:w="3360"/>
            <w:vAlign w:val="center"/>
          </w:tcPr>
          <w:p>
            <w:pPr>
              <w:jc w:val="center"/>
            </w:pPr>
            <w:r/>
            <w:r>
              <w:rPr>
                <w:rFonts w:ascii="Arial" w:hAnsi="Arial"/>
                <w:b w:val="0"/>
                <w:sz w:val="17"/>
              </w:rPr>
              <w:t>37</w:t>
            </w:r>
          </w:p>
        </w:tc>
        <w:tc>
          <w:tcPr>
            <w:tcW w:type="dxa" w:w="3360"/>
            <w:vAlign w:val="center"/>
          </w:tcPr>
          <w:p>
            <w:pPr>
              <w:jc w:val="center"/>
            </w:pPr>
            <w:r/>
            <w:r>
              <w:rPr>
                <w:rFonts w:ascii="Arial" w:hAnsi="Arial"/>
                <w:b w:val="0"/>
                <w:sz w:val="17"/>
              </w:rPr>
              <w:t>3,6%</w:t>
            </w:r>
          </w:p>
        </w:tc>
      </w:tr>
      <w:tr>
        <w:tc>
          <w:tcPr>
            <w:tcW w:type="dxa" w:w="3360"/>
            <w:vAlign w:val="center"/>
          </w:tcPr>
          <w:p>
            <w:pPr>
              <w:jc w:val="center"/>
            </w:pPr>
            <w:r/>
            <w:r>
              <w:rPr>
                <w:rFonts w:ascii="Arial" w:hAnsi="Arial"/>
                <w:b w:val="0"/>
                <w:sz w:val="17"/>
              </w:rPr>
              <w:t>Software y Aplicaciones</w:t>
            </w:r>
          </w:p>
        </w:tc>
        <w:tc>
          <w:tcPr>
            <w:tcW w:type="dxa" w:w="3360"/>
            <w:vAlign w:val="center"/>
          </w:tcPr>
          <w:p>
            <w:pPr>
              <w:jc w:val="center"/>
            </w:pPr>
            <w:r/>
            <w:r>
              <w:rPr>
                <w:rFonts w:ascii="Arial" w:hAnsi="Arial"/>
                <w:b w:val="0"/>
                <w:sz w:val="17"/>
              </w:rPr>
              <w:t>23</w:t>
            </w:r>
          </w:p>
        </w:tc>
        <w:tc>
          <w:tcPr>
            <w:tcW w:type="dxa" w:w="3360"/>
            <w:vAlign w:val="center"/>
          </w:tcPr>
          <w:p>
            <w:pPr>
              <w:jc w:val="center"/>
            </w:pPr>
            <w:r/>
            <w:r>
              <w:rPr>
                <w:rFonts w:ascii="Arial" w:hAnsi="Arial"/>
                <w:b w:val="0"/>
                <w:sz w:val="17"/>
              </w:rPr>
              <w:t>2,2%</w:t>
            </w:r>
          </w:p>
        </w:tc>
      </w:tr>
      <w:tr>
        <w:tc>
          <w:tcPr>
            <w:tcW w:type="dxa" w:w="3360"/>
            <w:vAlign w:val="center"/>
          </w:tcPr>
          <w:p>
            <w:pPr>
              <w:jc w:val="center"/>
            </w:pPr>
            <w:r/>
            <w:r>
              <w:rPr>
                <w:rFonts w:ascii="Arial" w:hAnsi="Arial"/>
                <w:b w:val="0"/>
                <w:sz w:val="17"/>
              </w:rPr>
              <w:t>Industria Siderúrgica</w:t>
            </w:r>
          </w:p>
        </w:tc>
        <w:tc>
          <w:tcPr>
            <w:tcW w:type="dxa" w:w="3360"/>
            <w:vAlign w:val="center"/>
          </w:tcPr>
          <w:p>
            <w:pPr>
              <w:jc w:val="center"/>
            </w:pPr>
            <w:r/>
            <w:r>
              <w:rPr>
                <w:rFonts w:ascii="Arial" w:hAnsi="Arial"/>
                <w:b w:val="0"/>
                <w:sz w:val="17"/>
              </w:rPr>
              <w:t>21</w:t>
            </w:r>
          </w:p>
        </w:tc>
        <w:tc>
          <w:tcPr>
            <w:tcW w:type="dxa" w:w="3360"/>
            <w:vAlign w:val="center"/>
          </w:tcPr>
          <w:p>
            <w:pPr>
              <w:jc w:val="center"/>
            </w:pPr>
            <w:r/>
            <w:r>
              <w:rPr>
                <w:rFonts w:ascii="Arial" w:hAnsi="Arial"/>
                <w:b w:val="0"/>
                <w:sz w:val="17"/>
              </w:rPr>
              <w:t>2,0%</w:t>
            </w:r>
          </w:p>
        </w:tc>
      </w:tr>
      <w:tr>
        <w:tc>
          <w:tcPr>
            <w:tcW w:type="dxa" w:w="3360"/>
            <w:vAlign w:val="center"/>
          </w:tcPr>
          <w:p>
            <w:pPr>
              <w:jc w:val="center"/>
            </w:pPr>
            <w:r/>
            <w:r>
              <w:rPr>
                <w:rFonts w:ascii="Arial" w:hAnsi="Arial"/>
                <w:b w:val="0"/>
                <w:sz w:val="17"/>
              </w:rPr>
              <w:t>Otros</w:t>
            </w:r>
          </w:p>
        </w:tc>
        <w:tc>
          <w:tcPr>
            <w:tcW w:type="dxa" w:w="3360"/>
            <w:vAlign w:val="center"/>
          </w:tcPr>
          <w:p>
            <w:pPr>
              <w:jc w:val="center"/>
            </w:pPr>
            <w:r/>
            <w:r>
              <w:rPr>
                <w:rFonts w:ascii="Arial" w:hAnsi="Arial"/>
                <w:b w:val="0"/>
                <w:sz w:val="17"/>
              </w:rPr>
              <w:t>364</w:t>
            </w:r>
          </w:p>
        </w:tc>
        <w:tc>
          <w:tcPr>
            <w:tcW w:type="dxa" w:w="3360"/>
            <w:vAlign w:val="center"/>
          </w:tcPr>
          <w:p>
            <w:pPr>
              <w:jc w:val="center"/>
            </w:pPr>
            <w:r/>
            <w:r>
              <w:rPr>
                <w:rFonts w:ascii="Arial" w:hAnsi="Arial"/>
                <w:b w:val="0"/>
                <w:sz w:val="17"/>
              </w:rPr>
              <w:t>35,0%</w:t>
            </w:r>
          </w:p>
        </w:tc>
      </w:tr>
      <w:tr>
        <w:tc>
          <w:tcPr>
            <w:tcW w:type="dxa" w:w="3360"/>
            <w:vAlign w:val="center"/>
            <w:shd w:fill="EEF4F8"/>
          </w:tcPr>
          <w:p>
            <w:pPr>
              <w:jc w:val="center"/>
            </w:pPr>
            <w:r/>
            <w:r>
              <w:rPr>
                <w:rFonts w:ascii="Arial" w:hAnsi="Arial"/>
                <w:b/>
                <w:sz w:val="17"/>
              </w:rPr>
              <w:t>Total</w:t>
            </w:r>
          </w:p>
        </w:tc>
        <w:tc>
          <w:tcPr>
            <w:tcW w:type="dxa" w:w="3360"/>
            <w:vAlign w:val="center"/>
            <w:shd w:fill="EEF4F8"/>
          </w:tcPr>
          <w:p>
            <w:pPr>
              <w:jc w:val="center"/>
            </w:pPr>
            <w:r/>
            <w:r>
              <w:rPr>
                <w:rFonts w:ascii="Arial" w:hAnsi="Arial"/>
                <w:b/>
                <w:sz w:val="17"/>
              </w:rPr>
              <w:t>1.039</w:t>
            </w:r>
          </w:p>
        </w:tc>
        <w:tc>
          <w:tcPr>
            <w:tcW w:type="dxa" w:w="3360"/>
            <w:vAlign w:val="center"/>
            <w:shd w:fill="EEF4F8"/>
          </w:tcPr>
          <w:p>
            <w:pPr>
              <w:jc w:val="center"/>
            </w:pPr>
            <w:r/>
            <w:r>
              <w:rPr>
                <w:rFonts w:ascii="Arial" w:hAnsi="Arial"/>
                <w:b/>
                <w:sz w:val="17"/>
              </w:rPr>
              <w:t>100,0%</w:t>
            </w:r>
          </w:p>
        </w:tc>
      </w:tr>
    </w:tbl>
    <w:p>
      <w:r>
        <w:rPr>
          <w:i/>
        </w:rPr>
        <w:t>Fuente: MRECIC en base a ORBIS.</w:t>
      </w:r>
    </w:p>
    <w:p>
      <w:pPr>
        <w:pStyle w:val="Heading1"/>
      </w:pPr>
      <w:r>
        <w:t>5. Anuncios de inversión de empresas indias en América Latina</w:t>
      </w:r>
    </w:p>
    <w:p>
      <w:r>
        <w:t>Entre enero de 2022 y septiembre de 2026 se registraron 170 anuncios internacionales de inversión de empresas de India con destino en América Latina, equivalentes al 16,4% del total internacional analizado.</w:t>
      </w:r>
    </w:p>
    <w:p>
      <w:pPr>
        <w:pStyle w:val="Heading2"/>
      </w:pPr>
      <w:r>
        <w:t>5.1 Países de destino en América Latina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rFonts w:ascii="Arial" w:hAnsi="Arial"/>
                <w:b/>
                <w:sz w:val="17"/>
              </w:rPr>
              <w:t>País</w:t>
            </w:r>
          </w:p>
        </w:tc>
        <w:tc>
          <w:tcPr>
            <w:tcW w:type="dxa" w:w="3360"/>
            <w:vAlign w:val="center"/>
            <w:shd w:fill="D9EAF7"/>
          </w:tcPr>
          <w:p>
            <w:pPr>
              <w:jc w:val="center"/>
            </w:pPr>
            <w:r/>
            <w:r>
              <w:rPr>
                <w:rFonts w:ascii="Arial" w:hAnsi="Arial"/>
                <w:b/>
                <w:sz w:val="17"/>
              </w:rPr>
              <w:t>Cantidad de anuncios</w:t>
            </w:r>
          </w:p>
        </w:tc>
        <w:tc>
          <w:tcPr>
            <w:tcW w:type="dxa" w:w="3360"/>
            <w:vAlign w:val="center"/>
            <w:shd w:fill="D9EAF7"/>
          </w:tcPr>
          <w:p>
            <w:pPr>
              <w:jc w:val="center"/>
            </w:pPr>
            <w:r/>
            <w:r>
              <w:rPr>
                <w:rFonts w:ascii="Arial" w:hAnsi="Arial"/>
                <w:b/>
                <w:sz w:val="17"/>
              </w:rPr>
              <w:t>% del total regional</w:t>
            </w:r>
          </w:p>
        </w:tc>
      </w:tr>
      <w:tr>
        <w:tc>
          <w:tcPr>
            <w:tcW w:type="dxa" w:w="3360"/>
            <w:vAlign w:val="center"/>
          </w:tcPr>
          <w:p>
            <w:pPr>
              <w:jc w:val="center"/>
            </w:pPr>
            <w:r/>
            <w:r>
              <w:rPr>
                <w:rFonts w:ascii="Arial" w:hAnsi="Arial"/>
                <w:b w:val="0"/>
                <w:sz w:val="17"/>
              </w:rPr>
              <w:t>Brasil</w:t>
            </w:r>
          </w:p>
        </w:tc>
        <w:tc>
          <w:tcPr>
            <w:tcW w:type="dxa" w:w="3360"/>
            <w:vAlign w:val="center"/>
          </w:tcPr>
          <w:p>
            <w:pPr>
              <w:jc w:val="center"/>
            </w:pPr>
            <w:r/>
            <w:r>
              <w:rPr>
                <w:rFonts w:ascii="Arial" w:hAnsi="Arial"/>
                <w:b w:val="0"/>
                <w:sz w:val="17"/>
              </w:rPr>
              <w:t>126</w:t>
            </w:r>
          </w:p>
        </w:tc>
        <w:tc>
          <w:tcPr>
            <w:tcW w:type="dxa" w:w="3360"/>
            <w:vAlign w:val="center"/>
          </w:tcPr>
          <w:p>
            <w:pPr>
              <w:jc w:val="center"/>
            </w:pPr>
            <w:r/>
            <w:r>
              <w:rPr>
                <w:rFonts w:ascii="Arial" w:hAnsi="Arial"/>
                <w:b w:val="0"/>
                <w:sz w:val="17"/>
              </w:rPr>
              <w:t>74,1%</w:t>
            </w:r>
          </w:p>
        </w:tc>
      </w:tr>
      <w:tr>
        <w:tc>
          <w:tcPr>
            <w:tcW w:type="dxa" w:w="3360"/>
            <w:vAlign w:val="center"/>
          </w:tcPr>
          <w:p>
            <w:pPr>
              <w:jc w:val="center"/>
            </w:pPr>
            <w:r/>
            <w:r>
              <w:rPr>
                <w:rFonts w:ascii="Arial" w:hAnsi="Arial"/>
                <w:b w:val="0"/>
                <w:sz w:val="17"/>
              </w:rPr>
              <w:t>México</w:t>
            </w:r>
          </w:p>
        </w:tc>
        <w:tc>
          <w:tcPr>
            <w:tcW w:type="dxa" w:w="3360"/>
            <w:vAlign w:val="center"/>
          </w:tcPr>
          <w:p>
            <w:pPr>
              <w:jc w:val="center"/>
            </w:pPr>
            <w:r/>
            <w:r>
              <w:rPr>
                <w:rFonts w:ascii="Arial" w:hAnsi="Arial"/>
                <w:b w:val="0"/>
                <w:sz w:val="17"/>
              </w:rPr>
              <w:t>30</w:t>
            </w:r>
          </w:p>
        </w:tc>
        <w:tc>
          <w:tcPr>
            <w:tcW w:type="dxa" w:w="3360"/>
            <w:vAlign w:val="center"/>
          </w:tcPr>
          <w:p>
            <w:pPr>
              <w:jc w:val="center"/>
            </w:pPr>
            <w:r/>
            <w:r>
              <w:rPr>
                <w:rFonts w:ascii="Arial" w:hAnsi="Arial"/>
                <w:b w:val="0"/>
                <w:sz w:val="17"/>
              </w:rPr>
              <w:t>17,6%</w:t>
            </w:r>
          </w:p>
        </w:tc>
      </w:tr>
      <w:tr>
        <w:tc>
          <w:tcPr>
            <w:tcW w:type="dxa" w:w="3360"/>
            <w:vAlign w:val="center"/>
          </w:tcPr>
          <w:p>
            <w:pPr>
              <w:jc w:val="center"/>
            </w:pPr>
            <w:r/>
            <w:r>
              <w:rPr>
                <w:rFonts w:ascii="Arial" w:hAnsi="Arial"/>
                <w:b w:val="0"/>
                <w:sz w:val="17"/>
              </w:rPr>
              <w:t>Colombia</w:t>
            </w:r>
          </w:p>
        </w:tc>
        <w:tc>
          <w:tcPr>
            <w:tcW w:type="dxa" w:w="3360"/>
            <w:vAlign w:val="center"/>
          </w:tcPr>
          <w:p>
            <w:pPr>
              <w:jc w:val="center"/>
            </w:pPr>
            <w:r/>
            <w:r>
              <w:rPr>
                <w:rFonts w:ascii="Arial" w:hAnsi="Arial"/>
                <w:b w:val="0"/>
                <w:sz w:val="17"/>
              </w:rPr>
              <w:t>5</w:t>
            </w:r>
          </w:p>
        </w:tc>
        <w:tc>
          <w:tcPr>
            <w:tcW w:type="dxa" w:w="3360"/>
            <w:vAlign w:val="center"/>
          </w:tcPr>
          <w:p>
            <w:pPr>
              <w:jc w:val="center"/>
            </w:pPr>
            <w:r/>
            <w:r>
              <w:rPr>
                <w:rFonts w:ascii="Arial" w:hAnsi="Arial"/>
                <w:b w:val="0"/>
                <w:sz w:val="17"/>
              </w:rPr>
              <w:t>2,9%</w:t>
            </w:r>
          </w:p>
        </w:tc>
      </w:tr>
      <w:tr>
        <w:tc>
          <w:tcPr>
            <w:tcW w:type="dxa" w:w="3360"/>
            <w:vAlign w:val="center"/>
          </w:tcPr>
          <w:p>
            <w:pPr>
              <w:jc w:val="center"/>
            </w:pPr>
            <w:r/>
            <w:r>
              <w:rPr>
                <w:rFonts w:ascii="Arial" w:hAnsi="Arial"/>
                <w:b w:val="0"/>
                <w:sz w:val="17"/>
              </w:rPr>
              <w:t>Argentina</w:t>
            </w:r>
          </w:p>
        </w:tc>
        <w:tc>
          <w:tcPr>
            <w:tcW w:type="dxa" w:w="3360"/>
            <w:vAlign w:val="center"/>
          </w:tcPr>
          <w:p>
            <w:pPr>
              <w:jc w:val="center"/>
            </w:pPr>
            <w:r/>
            <w:r>
              <w:rPr>
                <w:rFonts w:ascii="Arial" w:hAnsi="Arial"/>
                <w:b w:val="0"/>
                <w:sz w:val="17"/>
              </w:rPr>
              <w:t>4</w:t>
            </w:r>
          </w:p>
        </w:tc>
        <w:tc>
          <w:tcPr>
            <w:tcW w:type="dxa" w:w="3360"/>
            <w:vAlign w:val="center"/>
          </w:tcPr>
          <w:p>
            <w:pPr>
              <w:jc w:val="center"/>
            </w:pPr>
            <w:r/>
            <w:r>
              <w:rPr>
                <w:rFonts w:ascii="Arial" w:hAnsi="Arial"/>
                <w:b w:val="0"/>
                <w:sz w:val="17"/>
              </w:rPr>
              <w:t>2,4%</w:t>
            </w:r>
          </w:p>
        </w:tc>
      </w:tr>
      <w:tr>
        <w:tc>
          <w:tcPr>
            <w:tcW w:type="dxa" w:w="3360"/>
            <w:vAlign w:val="center"/>
          </w:tcPr>
          <w:p>
            <w:pPr>
              <w:jc w:val="center"/>
            </w:pPr>
            <w:r/>
            <w:r>
              <w:rPr>
                <w:rFonts w:ascii="Arial" w:hAnsi="Arial"/>
                <w:b w:val="0"/>
                <w:sz w:val="17"/>
              </w:rPr>
              <w:t>Uruguay</w:t>
            </w:r>
          </w:p>
        </w:tc>
        <w:tc>
          <w:tcPr>
            <w:tcW w:type="dxa" w:w="3360"/>
            <w:vAlign w:val="center"/>
          </w:tcPr>
          <w:p>
            <w:pPr>
              <w:jc w:val="center"/>
            </w:pPr>
            <w:r/>
            <w:r>
              <w:rPr>
                <w:rFonts w:ascii="Arial" w:hAnsi="Arial"/>
                <w:b w:val="0"/>
                <w:sz w:val="17"/>
              </w:rPr>
              <w:t>2</w:t>
            </w:r>
          </w:p>
        </w:tc>
        <w:tc>
          <w:tcPr>
            <w:tcW w:type="dxa" w:w="3360"/>
            <w:vAlign w:val="center"/>
          </w:tcPr>
          <w:p>
            <w:pPr>
              <w:jc w:val="center"/>
            </w:pPr>
            <w:r/>
            <w:r>
              <w:rPr>
                <w:rFonts w:ascii="Arial" w:hAnsi="Arial"/>
                <w:b w:val="0"/>
                <w:sz w:val="17"/>
              </w:rPr>
              <w:t>1,2%</w:t>
            </w:r>
          </w:p>
        </w:tc>
      </w:tr>
      <w:tr>
        <w:tc>
          <w:tcPr>
            <w:tcW w:type="dxa" w:w="3360"/>
            <w:vAlign w:val="center"/>
          </w:tcPr>
          <w:p>
            <w:pPr>
              <w:jc w:val="center"/>
            </w:pPr>
            <w:r/>
            <w:r>
              <w:rPr>
                <w:rFonts w:ascii="Arial" w:hAnsi="Arial"/>
                <w:b w:val="0"/>
                <w:sz w:val="17"/>
              </w:rPr>
              <w:t>Paraguay</w:t>
            </w:r>
          </w:p>
        </w:tc>
        <w:tc>
          <w:tcPr>
            <w:tcW w:type="dxa" w:w="3360"/>
            <w:vAlign w:val="center"/>
          </w:tcPr>
          <w:p>
            <w:pPr>
              <w:jc w:val="center"/>
            </w:pPr>
            <w:r/>
            <w:r>
              <w:rPr>
                <w:rFonts w:ascii="Arial" w:hAnsi="Arial"/>
                <w:b w:val="0"/>
                <w:sz w:val="17"/>
              </w:rPr>
              <w:t>1</w:t>
            </w:r>
          </w:p>
        </w:tc>
        <w:tc>
          <w:tcPr>
            <w:tcW w:type="dxa" w:w="3360"/>
            <w:vAlign w:val="center"/>
          </w:tcPr>
          <w:p>
            <w:pPr>
              <w:jc w:val="center"/>
            </w:pPr>
            <w:r/>
            <w:r>
              <w:rPr>
                <w:rFonts w:ascii="Arial" w:hAnsi="Arial"/>
                <w:b w:val="0"/>
                <w:sz w:val="17"/>
              </w:rPr>
              <w:t>0,6%</w:t>
            </w:r>
          </w:p>
        </w:tc>
      </w:tr>
      <w:tr>
        <w:tc>
          <w:tcPr>
            <w:tcW w:type="dxa" w:w="3360"/>
            <w:vAlign w:val="center"/>
          </w:tcPr>
          <w:p>
            <w:pPr>
              <w:jc w:val="center"/>
            </w:pPr>
            <w:r/>
            <w:r>
              <w:rPr>
                <w:rFonts w:ascii="Arial" w:hAnsi="Arial"/>
                <w:b w:val="0"/>
                <w:sz w:val="17"/>
              </w:rPr>
              <w:t>Perú</w:t>
            </w:r>
          </w:p>
        </w:tc>
        <w:tc>
          <w:tcPr>
            <w:tcW w:type="dxa" w:w="3360"/>
            <w:vAlign w:val="center"/>
          </w:tcPr>
          <w:p>
            <w:pPr>
              <w:jc w:val="center"/>
            </w:pPr>
            <w:r/>
            <w:r>
              <w:rPr>
                <w:rFonts w:ascii="Arial" w:hAnsi="Arial"/>
                <w:b w:val="0"/>
                <w:sz w:val="17"/>
              </w:rPr>
              <w:t>1</w:t>
            </w:r>
          </w:p>
        </w:tc>
        <w:tc>
          <w:tcPr>
            <w:tcW w:type="dxa" w:w="3360"/>
            <w:vAlign w:val="center"/>
          </w:tcPr>
          <w:p>
            <w:pPr>
              <w:jc w:val="center"/>
            </w:pPr>
            <w:r/>
            <w:r>
              <w:rPr>
                <w:rFonts w:ascii="Arial" w:hAnsi="Arial"/>
                <w:b w:val="0"/>
                <w:sz w:val="17"/>
              </w:rPr>
              <w:t>0,6%</w:t>
            </w:r>
          </w:p>
        </w:tc>
      </w:tr>
      <w:tr>
        <w:tc>
          <w:tcPr>
            <w:tcW w:type="dxa" w:w="3360"/>
            <w:vAlign w:val="center"/>
          </w:tcPr>
          <w:p>
            <w:pPr>
              <w:jc w:val="center"/>
            </w:pPr>
            <w:r/>
            <w:r>
              <w:rPr>
                <w:rFonts w:ascii="Arial" w:hAnsi="Arial"/>
                <w:b w:val="0"/>
                <w:sz w:val="17"/>
              </w:rPr>
              <w:t>Cuba</w:t>
            </w:r>
          </w:p>
        </w:tc>
        <w:tc>
          <w:tcPr>
            <w:tcW w:type="dxa" w:w="3360"/>
            <w:vAlign w:val="center"/>
          </w:tcPr>
          <w:p>
            <w:pPr>
              <w:jc w:val="center"/>
            </w:pPr>
            <w:r/>
            <w:r>
              <w:rPr>
                <w:rFonts w:ascii="Arial" w:hAnsi="Arial"/>
                <w:b w:val="0"/>
                <w:sz w:val="17"/>
              </w:rPr>
              <w:t>1</w:t>
            </w:r>
          </w:p>
        </w:tc>
        <w:tc>
          <w:tcPr>
            <w:tcW w:type="dxa" w:w="3360"/>
            <w:vAlign w:val="center"/>
          </w:tcPr>
          <w:p>
            <w:pPr>
              <w:jc w:val="center"/>
            </w:pPr>
            <w:r/>
            <w:r>
              <w:rPr>
                <w:rFonts w:ascii="Arial" w:hAnsi="Arial"/>
                <w:b w:val="0"/>
                <w:sz w:val="17"/>
              </w:rPr>
              <w:t>0,6%</w:t>
            </w:r>
          </w:p>
        </w:tc>
      </w:tr>
      <w:tr>
        <w:tc>
          <w:tcPr>
            <w:tcW w:type="dxa" w:w="3360"/>
            <w:vAlign w:val="center"/>
            <w:shd w:fill="EEF4F8"/>
          </w:tcPr>
          <w:p>
            <w:pPr>
              <w:jc w:val="center"/>
            </w:pPr>
            <w:r/>
            <w:r>
              <w:rPr>
                <w:rFonts w:ascii="Arial" w:hAnsi="Arial"/>
                <w:b/>
                <w:sz w:val="17"/>
              </w:rPr>
              <w:t>Total</w:t>
            </w:r>
          </w:p>
        </w:tc>
        <w:tc>
          <w:tcPr>
            <w:tcW w:type="dxa" w:w="3360"/>
            <w:vAlign w:val="center"/>
            <w:shd w:fill="EEF4F8"/>
          </w:tcPr>
          <w:p>
            <w:pPr>
              <w:jc w:val="center"/>
            </w:pPr>
            <w:r/>
            <w:r>
              <w:rPr>
                <w:rFonts w:ascii="Arial" w:hAnsi="Arial"/>
                <w:b/>
                <w:sz w:val="17"/>
              </w:rPr>
              <w:t>170</w:t>
            </w:r>
          </w:p>
        </w:tc>
        <w:tc>
          <w:tcPr>
            <w:tcW w:type="dxa" w:w="3360"/>
            <w:vAlign w:val="center"/>
            <w:shd w:fill="EEF4F8"/>
          </w:tcPr>
          <w:p>
            <w:pPr>
              <w:jc w:val="center"/>
            </w:pPr>
            <w:r/>
            <w:r>
              <w:rPr>
                <w:rFonts w:ascii="Arial" w:hAnsi="Arial"/>
                <w:b/>
                <w:sz w:val="17"/>
              </w:rPr>
              <w:t>100,0%</w:t>
            </w:r>
          </w:p>
        </w:tc>
      </w:tr>
    </w:tbl>
    <w:p>
      <w:r>
        <w:rPr>
          <w:i/>
        </w:rPr>
        <w:t>Fuente: MRECIC en base a ORBIS.</w:t>
      </w:r>
    </w:p>
    <w:p>
      <w:pPr>
        <w:pStyle w:val="Heading2"/>
      </w:pPr>
      <w:r>
        <w:t>5.2 Principales sectores en América Latina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rFonts w:ascii="Arial" w:hAnsi="Arial"/>
                <w:b/>
                <w:sz w:val="17"/>
              </w:rPr>
              <w:t>Sector</w:t>
            </w:r>
          </w:p>
        </w:tc>
        <w:tc>
          <w:tcPr>
            <w:tcW w:type="dxa" w:w="3360"/>
            <w:vAlign w:val="center"/>
            <w:shd w:fill="D9EAF7"/>
          </w:tcPr>
          <w:p>
            <w:pPr>
              <w:jc w:val="center"/>
            </w:pPr>
            <w:r/>
            <w:r>
              <w:rPr>
                <w:rFonts w:ascii="Arial" w:hAnsi="Arial"/>
                <w:b/>
                <w:sz w:val="17"/>
              </w:rPr>
              <w:t>Cantidad de anuncios</w:t>
            </w:r>
          </w:p>
        </w:tc>
        <w:tc>
          <w:tcPr>
            <w:tcW w:type="dxa" w:w="3360"/>
            <w:vAlign w:val="center"/>
            <w:shd w:fill="D9EAF7"/>
          </w:tcPr>
          <w:p>
            <w:pPr>
              <w:jc w:val="center"/>
            </w:pPr>
            <w:r/>
            <w:r>
              <w:rPr>
                <w:rFonts w:ascii="Arial" w:hAnsi="Arial"/>
                <w:b/>
                <w:sz w:val="17"/>
              </w:rPr>
              <w:t>% del total regional</w:t>
            </w:r>
          </w:p>
        </w:tc>
      </w:tr>
      <w:tr>
        <w:tc>
          <w:tcPr>
            <w:tcW w:type="dxa" w:w="3360"/>
            <w:vAlign w:val="center"/>
          </w:tcPr>
          <w:p>
            <w:pPr>
              <w:jc w:val="center"/>
            </w:pPr>
            <w:r/>
            <w:r>
              <w:rPr>
                <w:rFonts w:ascii="Arial" w:hAnsi="Arial"/>
                <w:b w:val="0"/>
                <w:sz w:val="17"/>
              </w:rPr>
              <w:t>Fabricación de Vehículos, Motocicletas y Bicicletas</w:t>
            </w:r>
          </w:p>
        </w:tc>
        <w:tc>
          <w:tcPr>
            <w:tcW w:type="dxa" w:w="3360"/>
            <w:vAlign w:val="center"/>
          </w:tcPr>
          <w:p>
            <w:pPr>
              <w:jc w:val="center"/>
            </w:pPr>
            <w:r/>
            <w:r>
              <w:rPr>
                <w:rFonts w:ascii="Arial" w:hAnsi="Arial"/>
                <w:b w:val="0"/>
                <w:sz w:val="17"/>
              </w:rPr>
              <w:t>101</w:t>
            </w:r>
          </w:p>
        </w:tc>
        <w:tc>
          <w:tcPr>
            <w:tcW w:type="dxa" w:w="3360"/>
            <w:vAlign w:val="center"/>
          </w:tcPr>
          <w:p>
            <w:pPr>
              <w:jc w:val="center"/>
            </w:pPr>
            <w:r/>
            <w:r>
              <w:rPr>
                <w:rFonts w:ascii="Arial" w:hAnsi="Arial"/>
                <w:b w:val="0"/>
                <w:sz w:val="17"/>
              </w:rPr>
              <w:t>59,4%</w:t>
            </w:r>
          </w:p>
        </w:tc>
      </w:tr>
      <w:tr>
        <w:tc>
          <w:tcPr>
            <w:tcW w:type="dxa" w:w="3360"/>
            <w:vAlign w:val="center"/>
          </w:tcPr>
          <w:p>
            <w:pPr>
              <w:jc w:val="center"/>
            </w:pPr>
            <w:r/>
            <w:r>
              <w:rPr>
                <w:rFonts w:ascii="Arial" w:hAnsi="Arial"/>
                <w:b w:val="0"/>
                <w:sz w:val="17"/>
              </w:rPr>
              <w:t>Agricultura y Producción Primaria</w:t>
            </w:r>
          </w:p>
        </w:tc>
        <w:tc>
          <w:tcPr>
            <w:tcW w:type="dxa" w:w="3360"/>
            <w:vAlign w:val="center"/>
          </w:tcPr>
          <w:p>
            <w:pPr>
              <w:jc w:val="center"/>
            </w:pPr>
            <w:r/>
            <w:r>
              <w:rPr>
                <w:rFonts w:ascii="Arial" w:hAnsi="Arial"/>
                <w:b w:val="0"/>
                <w:sz w:val="17"/>
              </w:rPr>
              <w:t>15</w:t>
            </w:r>
          </w:p>
        </w:tc>
        <w:tc>
          <w:tcPr>
            <w:tcW w:type="dxa" w:w="3360"/>
            <w:vAlign w:val="center"/>
          </w:tcPr>
          <w:p>
            <w:pPr>
              <w:jc w:val="center"/>
            </w:pPr>
            <w:r/>
            <w:r>
              <w:rPr>
                <w:rFonts w:ascii="Arial" w:hAnsi="Arial"/>
                <w:b w:val="0"/>
                <w:sz w:val="17"/>
              </w:rPr>
              <w:t>8,8%</w:t>
            </w:r>
          </w:p>
        </w:tc>
      </w:tr>
      <w:tr>
        <w:tc>
          <w:tcPr>
            <w:tcW w:type="dxa" w:w="3360"/>
            <w:vAlign w:val="center"/>
          </w:tcPr>
          <w:p>
            <w:pPr>
              <w:jc w:val="center"/>
            </w:pPr>
            <w:r/>
            <w:r>
              <w:rPr>
                <w:rFonts w:ascii="Arial" w:hAnsi="Arial"/>
                <w:b w:val="0"/>
                <w:sz w:val="17"/>
              </w:rPr>
              <w:t>Computación y Software</w:t>
            </w:r>
          </w:p>
        </w:tc>
        <w:tc>
          <w:tcPr>
            <w:tcW w:type="dxa" w:w="3360"/>
            <w:vAlign w:val="center"/>
          </w:tcPr>
          <w:p>
            <w:pPr>
              <w:jc w:val="center"/>
            </w:pPr>
            <w:r/>
            <w:r>
              <w:rPr>
                <w:rFonts w:ascii="Arial" w:hAnsi="Arial"/>
                <w:b w:val="0"/>
                <w:sz w:val="17"/>
              </w:rPr>
              <w:t>8</w:t>
            </w:r>
          </w:p>
        </w:tc>
        <w:tc>
          <w:tcPr>
            <w:tcW w:type="dxa" w:w="3360"/>
            <w:vAlign w:val="center"/>
          </w:tcPr>
          <w:p>
            <w:pPr>
              <w:jc w:val="center"/>
            </w:pPr>
            <w:r/>
            <w:r>
              <w:rPr>
                <w:rFonts w:ascii="Arial" w:hAnsi="Arial"/>
                <w:b w:val="0"/>
                <w:sz w:val="17"/>
              </w:rPr>
              <w:t>4,7%</w:t>
            </w:r>
          </w:p>
        </w:tc>
      </w:tr>
      <w:tr>
        <w:tc>
          <w:tcPr>
            <w:tcW w:type="dxa" w:w="3360"/>
            <w:vAlign w:val="center"/>
          </w:tcPr>
          <w:p>
            <w:pPr>
              <w:jc w:val="center"/>
            </w:pPr>
            <w:r/>
            <w:r>
              <w:rPr>
                <w:rFonts w:ascii="Arial" w:hAnsi="Arial"/>
                <w:b w:val="0"/>
                <w:sz w:val="17"/>
              </w:rPr>
              <w:t>Industria Automotriz y Autopartes</w:t>
            </w:r>
          </w:p>
        </w:tc>
        <w:tc>
          <w:tcPr>
            <w:tcW w:type="dxa" w:w="3360"/>
            <w:vAlign w:val="center"/>
          </w:tcPr>
          <w:p>
            <w:pPr>
              <w:jc w:val="center"/>
            </w:pPr>
            <w:r/>
            <w:r>
              <w:rPr>
                <w:rFonts w:ascii="Arial" w:hAnsi="Arial"/>
                <w:b w:val="0"/>
                <w:sz w:val="17"/>
              </w:rPr>
              <w:t>7</w:t>
            </w:r>
          </w:p>
        </w:tc>
        <w:tc>
          <w:tcPr>
            <w:tcW w:type="dxa" w:w="3360"/>
            <w:vAlign w:val="center"/>
          </w:tcPr>
          <w:p>
            <w:pPr>
              <w:jc w:val="center"/>
            </w:pPr>
            <w:r/>
            <w:r>
              <w:rPr>
                <w:rFonts w:ascii="Arial" w:hAnsi="Arial"/>
                <w:b w:val="0"/>
                <w:sz w:val="17"/>
              </w:rPr>
              <w:t>4,1%</w:t>
            </w:r>
          </w:p>
        </w:tc>
      </w:tr>
      <w:tr>
        <w:tc>
          <w:tcPr>
            <w:tcW w:type="dxa" w:w="3360"/>
            <w:vAlign w:val="center"/>
          </w:tcPr>
          <w:p>
            <w:pPr>
              <w:jc w:val="center"/>
            </w:pPr>
            <w:r/>
            <w:r>
              <w:rPr>
                <w:rFonts w:ascii="Arial" w:hAnsi="Arial"/>
                <w:b w:val="0"/>
                <w:sz w:val="17"/>
              </w:rPr>
              <w:t>Servicios de Internet</w:t>
            </w:r>
          </w:p>
        </w:tc>
        <w:tc>
          <w:tcPr>
            <w:tcW w:type="dxa" w:w="3360"/>
            <w:vAlign w:val="center"/>
          </w:tcPr>
          <w:p>
            <w:pPr>
              <w:jc w:val="center"/>
            </w:pPr>
            <w:r/>
            <w:r>
              <w:rPr>
                <w:rFonts w:ascii="Arial" w:hAnsi="Arial"/>
                <w:b w:val="0"/>
                <w:sz w:val="17"/>
              </w:rPr>
              <w:t>7</w:t>
            </w:r>
          </w:p>
        </w:tc>
        <w:tc>
          <w:tcPr>
            <w:tcW w:type="dxa" w:w="3360"/>
            <w:vAlign w:val="center"/>
          </w:tcPr>
          <w:p>
            <w:pPr>
              <w:jc w:val="center"/>
            </w:pPr>
            <w:r/>
            <w:r>
              <w:rPr>
                <w:rFonts w:ascii="Arial" w:hAnsi="Arial"/>
                <w:b w:val="0"/>
                <w:sz w:val="17"/>
              </w:rPr>
              <w:t>4,1%</w:t>
            </w:r>
          </w:p>
        </w:tc>
      </w:tr>
      <w:tr>
        <w:tc>
          <w:tcPr>
            <w:tcW w:type="dxa" w:w="3360"/>
            <w:vAlign w:val="center"/>
          </w:tcPr>
          <w:p>
            <w:pPr>
              <w:jc w:val="center"/>
            </w:pPr>
            <w:r/>
            <w:r>
              <w:rPr>
                <w:rFonts w:ascii="Arial" w:hAnsi="Arial"/>
                <w:b w:val="0"/>
                <w:sz w:val="17"/>
              </w:rPr>
              <w:t>Industria del Caucho</w:t>
            </w:r>
          </w:p>
        </w:tc>
        <w:tc>
          <w:tcPr>
            <w:tcW w:type="dxa" w:w="3360"/>
            <w:vAlign w:val="center"/>
          </w:tcPr>
          <w:p>
            <w:pPr>
              <w:jc w:val="center"/>
            </w:pPr>
            <w:r/>
            <w:r>
              <w:rPr>
                <w:rFonts w:ascii="Arial" w:hAnsi="Arial"/>
                <w:b w:val="0"/>
                <w:sz w:val="17"/>
              </w:rPr>
              <w:t>5</w:t>
            </w:r>
          </w:p>
        </w:tc>
        <w:tc>
          <w:tcPr>
            <w:tcW w:type="dxa" w:w="3360"/>
            <w:vAlign w:val="center"/>
          </w:tcPr>
          <w:p>
            <w:pPr>
              <w:jc w:val="center"/>
            </w:pPr>
            <w:r/>
            <w:r>
              <w:rPr>
                <w:rFonts w:ascii="Arial" w:hAnsi="Arial"/>
                <w:b w:val="0"/>
                <w:sz w:val="17"/>
              </w:rPr>
              <w:t>2,9%</w:t>
            </w:r>
          </w:p>
        </w:tc>
      </w:tr>
      <w:tr>
        <w:tc>
          <w:tcPr>
            <w:tcW w:type="dxa" w:w="3360"/>
            <w:vAlign w:val="center"/>
          </w:tcPr>
          <w:p>
            <w:pPr>
              <w:jc w:val="center"/>
            </w:pPr>
            <w:r/>
            <w:r>
              <w:rPr>
                <w:rFonts w:ascii="Arial" w:hAnsi="Arial"/>
                <w:b w:val="0"/>
                <w:sz w:val="17"/>
              </w:rPr>
              <w:t>Servicios Profesionales</w:t>
            </w:r>
          </w:p>
        </w:tc>
        <w:tc>
          <w:tcPr>
            <w:tcW w:type="dxa" w:w="3360"/>
            <w:vAlign w:val="center"/>
          </w:tcPr>
          <w:p>
            <w:pPr>
              <w:jc w:val="center"/>
            </w:pPr>
            <w:r/>
            <w:r>
              <w:rPr>
                <w:rFonts w:ascii="Arial" w:hAnsi="Arial"/>
                <w:b w:val="0"/>
                <w:sz w:val="17"/>
              </w:rPr>
              <w:t>4</w:t>
            </w:r>
          </w:p>
        </w:tc>
        <w:tc>
          <w:tcPr>
            <w:tcW w:type="dxa" w:w="3360"/>
            <w:vAlign w:val="center"/>
          </w:tcPr>
          <w:p>
            <w:pPr>
              <w:jc w:val="center"/>
            </w:pPr>
            <w:r/>
            <w:r>
              <w:rPr>
                <w:rFonts w:ascii="Arial" w:hAnsi="Arial"/>
                <w:b w:val="0"/>
                <w:sz w:val="17"/>
              </w:rPr>
              <w:t>2,4%</w:t>
            </w:r>
          </w:p>
        </w:tc>
      </w:tr>
      <w:tr>
        <w:tc>
          <w:tcPr>
            <w:tcW w:type="dxa" w:w="3360"/>
            <w:vAlign w:val="center"/>
          </w:tcPr>
          <w:p>
            <w:pPr>
              <w:jc w:val="center"/>
            </w:pPr>
            <w:r/>
            <w:r>
              <w:rPr>
                <w:rFonts w:ascii="Arial" w:hAnsi="Arial"/>
                <w:b w:val="0"/>
                <w:sz w:val="17"/>
              </w:rPr>
              <w:t>Fertilizantes</w:t>
            </w:r>
          </w:p>
        </w:tc>
        <w:tc>
          <w:tcPr>
            <w:tcW w:type="dxa" w:w="3360"/>
            <w:vAlign w:val="center"/>
          </w:tcPr>
          <w:p>
            <w:pPr>
              <w:jc w:val="center"/>
            </w:pPr>
            <w:r/>
            <w:r>
              <w:rPr>
                <w:rFonts w:ascii="Arial" w:hAnsi="Arial"/>
                <w:b w:val="0"/>
                <w:sz w:val="17"/>
              </w:rPr>
              <w:t>4</w:t>
            </w:r>
          </w:p>
        </w:tc>
        <w:tc>
          <w:tcPr>
            <w:tcW w:type="dxa" w:w="3360"/>
            <w:vAlign w:val="center"/>
          </w:tcPr>
          <w:p>
            <w:pPr>
              <w:jc w:val="center"/>
            </w:pPr>
            <w:r/>
            <w:r>
              <w:rPr>
                <w:rFonts w:ascii="Arial" w:hAnsi="Arial"/>
                <w:b w:val="0"/>
                <w:sz w:val="17"/>
              </w:rPr>
              <w:t>2,4%</w:t>
            </w:r>
          </w:p>
        </w:tc>
      </w:tr>
      <w:tr>
        <w:tc>
          <w:tcPr>
            <w:tcW w:type="dxa" w:w="3360"/>
            <w:vAlign w:val="center"/>
          </w:tcPr>
          <w:p>
            <w:pPr>
              <w:jc w:val="center"/>
            </w:pPr>
            <w:r/>
            <w:r>
              <w:rPr>
                <w:rFonts w:ascii="Arial" w:hAnsi="Arial"/>
                <w:b w:val="0"/>
                <w:sz w:val="17"/>
              </w:rPr>
              <w:t>Industria Farmacéutica</w:t>
            </w:r>
          </w:p>
        </w:tc>
        <w:tc>
          <w:tcPr>
            <w:tcW w:type="dxa" w:w="3360"/>
            <w:vAlign w:val="center"/>
          </w:tcPr>
          <w:p>
            <w:pPr>
              <w:jc w:val="center"/>
            </w:pPr>
            <w:r/>
            <w:r>
              <w:rPr>
                <w:rFonts w:ascii="Arial" w:hAnsi="Arial"/>
                <w:b w:val="0"/>
                <w:sz w:val="17"/>
              </w:rPr>
              <w:t>2</w:t>
            </w:r>
          </w:p>
        </w:tc>
        <w:tc>
          <w:tcPr>
            <w:tcW w:type="dxa" w:w="3360"/>
            <w:vAlign w:val="center"/>
          </w:tcPr>
          <w:p>
            <w:pPr>
              <w:jc w:val="center"/>
            </w:pPr>
            <w:r/>
            <w:r>
              <w:rPr>
                <w:rFonts w:ascii="Arial" w:hAnsi="Arial"/>
                <w:b w:val="0"/>
                <w:sz w:val="17"/>
              </w:rPr>
              <w:t>1,2%</w:t>
            </w:r>
          </w:p>
        </w:tc>
      </w:tr>
      <w:tr>
        <w:tc>
          <w:tcPr>
            <w:tcW w:type="dxa" w:w="3360"/>
            <w:vAlign w:val="center"/>
          </w:tcPr>
          <w:p>
            <w:pPr>
              <w:jc w:val="center"/>
            </w:pPr>
            <w:r/>
            <w:r>
              <w:rPr>
                <w:rFonts w:ascii="Arial" w:hAnsi="Arial"/>
                <w:b w:val="0"/>
                <w:sz w:val="17"/>
              </w:rPr>
              <w:t>Otros</w:t>
            </w:r>
          </w:p>
        </w:tc>
        <w:tc>
          <w:tcPr>
            <w:tcW w:type="dxa" w:w="3360"/>
            <w:vAlign w:val="center"/>
          </w:tcPr>
          <w:p>
            <w:pPr>
              <w:jc w:val="center"/>
            </w:pPr>
            <w:r/>
            <w:r>
              <w:rPr>
                <w:rFonts w:ascii="Arial" w:hAnsi="Arial"/>
                <w:b w:val="0"/>
                <w:sz w:val="17"/>
              </w:rPr>
              <w:t>17</w:t>
            </w:r>
          </w:p>
        </w:tc>
        <w:tc>
          <w:tcPr>
            <w:tcW w:type="dxa" w:w="3360"/>
            <w:vAlign w:val="center"/>
          </w:tcPr>
          <w:p>
            <w:pPr>
              <w:jc w:val="center"/>
            </w:pPr>
            <w:r/>
            <w:r>
              <w:rPr>
                <w:rFonts w:ascii="Arial" w:hAnsi="Arial"/>
                <w:b w:val="0"/>
                <w:sz w:val="17"/>
              </w:rPr>
              <w:t>10,0%</w:t>
            </w:r>
          </w:p>
        </w:tc>
      </w:tr>
      <w:tr>
        <w:tc>
          <w:tcPr>
            <w:tcW w:type="dxa" w:w="3360"/>
            <w:vAlign w:val="center"/>
            <w:shd w:fill="EEF4F8"/>
          </w:tcPr>
          <w:p>
            <w:pPr>
              <w:jc w:val="center"/>
            </w:pPr>
            <w:r/>
            <w:r>
              <w:rPr>
                <w:rFonts w:ascii="Arial" w:hAnsi="Arial"/>
                <w:b/>
                <w:sz w:val="17"/>
              </w:rPr>
              <w:t>Total</w:t>
            </w:r>
          </w:p>
        </w:tc>
        <w:tc>
          <w:tcPr>
            <w:tcW w:type="dxa" w:w="3360"/>
            <w:vAlign w:val="center"/>
            <w:shd w:fill="EEF4F8"/>
          </w:tcPr>
          <w:p>
            <w:pPr>
              <w:jc w:val="center"/>
            </w:pPr>
            <w:r/>
            <w:r>
              <w:rPr>
                <w:rFonts w:ascii="Arial" w:hAnsi="Arial"/>
                <w:b/>
                <w:sz w:val="17"/>
              </w:rPr>
              <w:t>170</w:t>
            </w:r>
          </w:p>
        </w:tc>
        <w:tc>
          <w:tcPr>
            <w:tcW w:type="dxa" w:w="3360"/>
            <w:vAlign w:val="center"/>
            <w:shd w:fill="EEF4F8"/>
          </w:tcPr>
          <w:p>
            <w:pPr>
              <w:jc w:val="center"/>
            </w:pPr>
            <w:r/>
            <w:r>
              <w:rPr>
                <w:rFonts w:ascii="Arial" w:hAnsi="Arial"/>
                <w:b/>
                <w:sz w:val="17"/>
              </w:rPr>
              <w:t>100,0%</w:t>
            </w:r>
          </w:p>
        </w:tc>
      </w:tr>
    </w:tbl>
    <w:p>
      <w:r>
        <w:rPr>
          <w:i/>
        </w:rPr>
        <w:t>Fuente: MRECIC en base a ORBIS.</w:t>
      </w:r>
    </w:p>
    <w:p>
      <w:pPr>
        <w:pStyle w:val="Heading1"/>
      </w:pPr>
      <w:r>
        <w:t>6. Anuncios de inversión de empresas indias en Argentina</w:t>
      </w:r>
    </w:p>
    <w:p>
      <w:r>
        <w:t>De acuerdo con Orbis, entre enero de 2022 y septiembre de 2026 se registraron 4 anuncios de inversión de empresas de India en Argentina.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jc w:val="center"/>
            </w:pPr>
            <w:r/>
            <w:r>
              <w:rPr>
                <w:rFonts w:ascii="Arial" w:hAnsi="Arial"/>
                <w:b/>
                <w:sz w:val="17"/>
              </w:rPr>
              <w:t>Anuncio</w:t>
            </w:r>
          </w:p>
        </w:tc>
        <w:tc>
          <w:tcPr>
            <w:tcW w:type="dxa" w:w="3360"/>
            <w:vAlign w:val="center"/>
            <w:shd w:fill="D9EAF7"/>
          </w:tcPr>
          <w:p>
            <w:pPr>
              <w:jc w:val="center"/>
            </w:pPr>
            <w:r/>
            <w:r>
              <w:rPr>
                <w:rFonts w:ascii="Arial" w:hAnsi="Arial"/>
                <w:b/>
                <w:sz w:val="17"/>
              </w:rPr>
              <w:t>Fecha</w:t>
            </w:r>
          </w:p>
        </w:tc>
        <w:tc>
          <w:tcPr>
            <w:tcW w:type="dxa" w:w="3360"/>
            <w:vAlign w:val="center"/>
            <w:shd w:fill="D9EAF7"/>
          </w:tcPr>
          <w:p>
            <w:pPr>
              <w:jc w:val="center"/>
            </w:pPr>
            <w:r/>
            <w:r>
              <w:rPr>
                <w:rFonts w:ascii="Arial" w:hAnsi="Arial"/>
                <w:b/>
                <w:sz w:val="17"/>
              </w:rPr>
              <w:t>Estado</w:t>
            </w:r>
          </w:p>
        </w:tc>
      </w:tr>
      <w:tr>
        <w:tc>
          <w:tcPr>
            <w:tcW w:type="dxa" w:w="3360"/>
            <w:vAlign w:val="center"/>
          </w:tcPr>
          <w:p>
            <w:pPr>
              <w:jc w:val="center"/>
            </w:pPr>
            <w:r/>
            <w:r>
              <w:rPr>
                <w:rFonts w:ascii="Arial" w:hAnsi="Arial"/>
                <w:b w:val="0"/>
                <w:sz w:val="16"/>
              </w:rPr>
              <w:t>Royal Enfield abre franquicia de indumentaria y concesionario de motocicletas en Resistencia, Argentina</w:t>
            </w:r>
          </w:p>
        </w:tc>
        <w:tc>
          <w:tcPr>
            <w:tcW w:type="dxa" w:w="3360"/>
            <w:vAlign w:val="center"/>
          </w:tcPr>
          <w:p>
            <w:pPr>
              <w:jc w:val="center"/>
            </w:pPr>
            <w:r/>
            <w:r>
              <w:rPr>
                <w:rFonts w:ascii="Arial" w:hAnsi="Arial"/>
                <w:b w:val="0"/>
                <w:sz w:val="16"/>
              </w:rPr>
              <w:t>24/04/2026</w:t>
            </w:r>
          </w:p>
        </w:tc>
        <w:tc>
          <w:tcPr>
            <w:tcW w:type="dxa" w:w="3360"/>
            <w:vAlign w:val="center"/>
          </w:tcPr>
          <w:p>
            <w:pPr>
              <w:jc w:val="center"/>
            </w:pPr>
            <w:r/>
            <w:r>
              <w:rPr>
                <w:rFonts w:ascii="Arial" w:hAnsi="Arial"/>
                <w:b w:val="0"/>
                <w:sz w:val="16"/>
              </w:rPr>
              <w:t>Completado</w:t>
            </w:r>
          </w:p>
        </w:tc>
      </w:tr>
      <w:tr>
        <w:tc>
          <w:tcPr>
            <w:tcW w:type="dxa" w:w="3360"/>
            <w:vAlign w:val="center"/>
          </w:tcPr>
          <w:p>
            <w:pPr>
              <w:jc w:val="center"/>
            </w:pPr>
            <w:r/>
            <w:r>
              <w:rPr>
                <w:rFonts w:ascii="Arial" w:hAnsi="Arial"/>
                <w:b w:val="0"/>
                <w:sz w:val="16"/>
              </w:rPr>
              <w:t>Royal Enfield abre franquicia de indumentaria y concesionario de motocicletas en La Plata, Argentina</w:t>
            </w:r>
          </w:p>
        </w:tc>
        <w:tc>
          <w:tcPr>
            <w:tcW w:type="dxa" w:w="3360"/>
            <w:vAlign w:val="center"/>
          </w:tcPr>
          <w:p>
            <w:pPr>
              <w:jc w:val="center"/>
            </w:pPr>
            <w:r/>
            <w:r>
              <w:rPr>
                <w:rFonts w:ascii="Arial" w:hAnsi="Arial"/>
                <w:b w:val="0"/>
                <w:sz w:val="16"/>
              </w:rPr>
              <w:t>24/04/2026</w:t>
            </w:r>
          </w:p>
        </w:tc>
        <w:tc>
          <w:tcPr>
            <w:tcW w:type="dxa" w:w="3360"/>
            <w:vAlign w:val="center"/>
          </w:tcPr>
          <w:p>
            <w:pPr>
              <w:jc w:val="center"/>
            </w:pPr>
            <w:r/>
            <w:r>
              <w:rPr>
                <w:rFonts w:ascii="Arial" w:hAnsi="Arial"/>
                <w:b w:val="0"/>
                <w:sz w:val="16"/>
              </w:rPr>
              <w:t>Completado</w:t>
            </w:r>
          </w:p>
        </w:tc>
      </w:tr>
      <w:tr>
        <w:tc>
          <w:tcPr>
            <w:tcW w:type="dxa" w:w="3360"/>
            <w:vAlign w:val="center"/>
          </w:tcPr>
          <w:p>
            <w:pPr>
              <w:jc w:val="center"/>
            </w:pPr>
            <w:r/>
            <w:r>
              <w:rPr>
                <w:rFonts w:ascii="Arial" w:hAnsi="Arial"/>
                <w:b w:val="0"/>
                <w:sz w:val="16"/>
              </w:rPr>
              <w:t>SMC Global Securities abre oficina de ventas en Argentina</w:t>
            </w:r>
          </w:p>
        </w:tc>
        <w:tc>
          <w:tcPr>
            <w:tcW w:type="dxa" w:w="3360"/>
            <w:vAlign w:val="center"/>
          </w:tcPr>
          <w:p>
            <w:pPr>
              <w:jc w:val="center"/>
            </w:pPr>
            <w:r/>
            <w:r>
              <w:rPr>
                <w:rFonts w:ascii="Arial" w:hAnsi="Arial"/>
                <w:b w:val="0"/>
                <w:sz w:val="16"/>
              </w:rPr>
              <w:t>11/02/2025</w:t>
            </w:r>
          </w:p>
        </w:tc>
        <w:tc>
          <w:tcPr>
            <w:tcW w:type="dxa" w:w="3360"/>
            <w:vAlign w:val="center"/>
          </w:tcPr>
          <w:p>
            <w:pPr>
              <w:jc w:val="center"/>
            </w:pPr>
            <w:r/>
            <w:r>
              <w:rPr>
                <w:rFonts w:ascii="Arial" w:hAnsi="Arial"/>
                <w:b w:val="0"/>
                <w:sz w:val="16"/>
              </w:rPr>
              <w:t>Completado</w:t>
            </w:r>
          </w:p>
        </w:tc>
      </w:tr>
      <w:tr>
        <w:tc>
          <w:tcPr>
            <w:tcW w:type="dxa" w:w="3360"/>
            <w:vAlign w:val="center"/>
          </w:tcPr>
          <w:p>
            <w:pPr>
              <w:jc w:val="center"/>
            </w:pPr>
            <w:r/>
            <w:r>
              <w:rPr>
                <w:rFonts w:ascii="Arial" w:hAnsi="Arial"/>
                <w:b w:val="0"/>
                <w:sz w:val="16"/>
              </w:rPr>
              <w:t>KABIL abrirá mina de litio en Fiambalá, Argentina</w:t>
            </w:r>
          </w:p>
        </w:tc>
        <w:tc>
          <w:tcPr>
            <w:tcW w:type="dxa" w:w="3360"/>
            <w:vAlign w:val="center"/>
          </w:tcPr>
          <w:p>
            <w:pPr>
              <w:jc w:val="center"/>
            </w:pPr>
            <w:r/>
            <w:r>
              <w:rPr>
                <w:rFonts w:ascii="Arial" w:hAnsi="Arial"/>
                <w:b w:val="0"/>
                <w:sz w:val="16"/>
              </w:rPr>
              <w:t>04/01/2024</w:t>
            </w:r>
          </w:p>
        </w:tc>
        <w:tc>
          <w:tcPr>
            <w:tcW w:type="dxa" w:w="3360"/>
            <w:vAlign w:val="center"/>
          </w:tcPr>
          <w:p>
            <w:pPr>
              <w:jc w:val="center"/>
            </w:pPr>
            <w:r/>
            <w:r>
              <w:rPr>
                <w:rFonts w:ascii="Arial" w:hAnsi="Arial"/>
                <w:b w:val="0"/>
                <w:sz w:val="16"/>
              </w:rPr>
              <w:t>Anunciado</w:t>
            </w:r>
          </w:p>
        </w:tc>
      </w:tr>
    </w:tbl>
    <w:p>
      <w:r>
        <w:rPr>
          <w:i/>
        </w:rPr>
        <w:t>Fuente: MRECIC en base a ORBIS.</w:t>
      </w:r>
    </w:p>
    <w:p>
      <w:pPr>
        <w:pStyle w:val="Heading1"/>
      </w:pPr>
      <w:r>
        <w:t>7. Operaciones de adquisición de empresas indias en el mundo</w:t>
      </w:r>
    </w:p>
    <w:p>
      <w:r>
        <w:t>De acuerdo con Orbis, entre enero de 2022 y septiembre de 2026 se registraron 519 operaciones internacionales únicas de adquisición (total o parcial) realizadas por inversores directos de India. Se excluyen las operaciones cuyo país del inversor y de la empresa objetivo coinciden y cada operación se contabiliza una sola vez mediante Deal number. Los principales destinos fueron Estados Unidos, Reino Unido, Emiratos Árabes Unidos, Singapur y Alemania.</w:t>
      </w:r>
    </w:p>
    <w:p>
      <w:r>
        <w:rPr>
          <w:b/>
        </w:rPr>
        <w:t>Cuadro 7.1 – Operaciones de adquisición de empresas indias en el mundo por país, enero de 2022 – septiembre de 2026</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b/>
                <w:sz w:val="18"/>
              </w:rPr>
              <w:t>País</w:t>
            </w:r>
          </w:p>
        </w:tc>
        <w:tc>
          <w:tcPr>
            <w:tcW w:type="dxa" w:w="3360"/>
            <w:shd w:fill="D9EAF7"/>
            <w:vAlign w:val="center"/>
          </w:tcPr>
          <w:p>
            <w:pPr>
              <w:jc w:val="center"/>
            </w:pPr>
            <w:r>
              <w:rPr>
                <w:b/>
                <w:sz w:val="18"/>
              </w:rPr>
              <w:t>Cantidad de adquisiciones</w:t>
            </w:r>
          </w:p>
        </w:tc>
        <w:tc>
          <w:tcPr>
            <w:tcW w:type="dxa" w:w="3360"/>
            <w:shd w:fill="D9EAF7"/>
            <w:vAlign w:val="center"/>
          </w:tcPr>
          <w:p>
            <w:pPr>
              <w:jc w:val="center"/>
            </w:pPr>
            <w:r>
              <w:rPr>
                <w:b/>
                <w:sz w:val="18"/>
              </w:rPr>
              <w:t>% del total</w:t>
            </w:r>
          </w:p>
        </w:tc>
      </w:tr>
      <w:tr>
        <w:tc>
          <w:tcPr>
            <w:tcW w:type="dxa" w:w="3360"/>
            <w:vAlign w:val="center"/>
          </w:tcPr>
          <w:p>
            <w:pPr>
              <w:jc w:val="center"/>
            </w:pPr>
            <w:r>
              <w:rPr>
                <w:sz w:val="18"/>
              </w:rPr>
              <w:t>Estados Unidos</w:t>
            </w:r>
          </w:p>
        </w:tc>
        <w:tc>
          <w:tcPr>
            <w:tcW w:type="dxa" w:w="3360"/>
            <w:vAlign w:val="center"/>
          </w:tcPr>
          <w:p>
            <w:pPr>
              <w:jc w:val="center"/>
            </w:pPr>
            <w:r>
              <w:rPr>
                <w:sz w:val="18"/>
              </w:rPr>
              <w:t>147</w:t>
            </w:r>
          </w:p>
        </w:tc>
        <w:tc>
          <w:tcPr>
            <w:tcW w:type="dxa" w:w="3360"/>
            <w:vAlign w:val="center"/>
          </w:tcPr>
          <w:p>
            <w:pPr>
              <w:jc w:val="center"/>
            </w:pPr>
            <w:r>
              <w:rPr>
                <w:sz w:val="18"/>
              </w:rPr>
              <w:t>28%</w:t>
            </w:r>
          </w:p>
        </w:tc>
      </w:tr>
      <w:tr>
        <w:tc>
          <w:tcPr>
            <w:tcW w:type="dxa" w:w="3360"/>
            <w:vAlign w:val="center"/>
          </w:tcPr>
          <w:p>
            <w:pPr>
              <w:jc w:val="center"/>
            </w:pPr>
            <w:r>
              <w:rPr>
                <w:sz w:val="18"/>
              </w:rPr>
              <w:t>Reino Unido</w:t>
            </w:r>
          </w:p>
        </w:tc>
        <w:tc>
          <w:tcPr>
            <w:tcW w:type="dxa" w:w="3360"/>
            <w:vAlign w:val="center"/>
          </w:tcPr>
          <w:p>
            <w:pPr>
              <w:jc w:val="center"/>
            </w:pPr>
            <w:r>
              <w:rPr>
                <w:sz w:val="18"/>
              </w:rPr>
              <w:t>63</w:t>
            </w:r>
          </w:p>
        </w:tc>
        <w:tc>
          <w:tcPr>
            <w:tcW w:type="dxa" w:w="3360"/>
            <w:vAlign w:val="center"/>
          </w:tcPr>
          <w:p>
            <w:pPr>
              <w:jc w:val="center"/>
            </w:pPr>
            <w:r>
              <w:rPr>
                <w:sz w:val="18"/>
              </w:rPr>
              <w:t>12%</w:t>
            </w:r>
          </w:p>
        </w:tc>
      </w:tr>
      <w:tr>
        <w:tc>
          <w:tcPr>
            <w:tcW w:type="dxa" w:w="3360"/>
            <w:vAlign w:val="center"/>
          </w:tcPr>
          <w:p>
            <w:pPr>
              <w:jc w:val="center"/>
            </w:pPr>
            <w:r>
              <w:rPr>
                <w:sz w:val="18"/>
              </w:rPr>
              <w:t>Emiratos Árabes Unidos</w:t>
            </w:r>
          </w:p>
        </w:tc>
        <w:tc>
          <w:tcPr>
            <w:tcW w:type="dxa" w:w="3360"/>
            <w:vAlign w:val="center"/>
          </w:tcPr>
          <w:p>
            <w:pPr>
              <w:jc w:val="center"/>
            </w:pPr>
            <w:r>
              <w:rPr>
                <w:sz w:val="18"/>
              </w:rPr>
              <w:t>44</w:t>
            </w:r>
          </w:p>
        </w:tc>
        <w:tc>
          <w:tcPr>
            <w:tcW w:type="dxa" w:w="3360"/>
            <w:vAlign w:val="center"/>
          </w:tcPr>
          <w:p>
            <w:pPr>
              <w:jc w:val="center"/>
            </w:pPr>
            <w:r>
              <w:rPr>
                <w:sz w:val="18"/>
              </w:rPr>
              <w:t>8%</w:t>
            </w:r>
          </w:p>
        </w:tc>
      </w:tr>
      <w:tr>
        <w:tc>
          <w:tcPr>
            <w:tcW w:type="dxa" w:w="3360"/>
            <w:vAlign w:val="center"/>
          </w:tcPr>
          <w:p>
            <w:pPr>
              <w:jc w:val="center"/>
            </w:pPr>
            <w:r>
              <w:rPr>
                <w:sz w:val="18"/>
              </w:rPr>
              <w:t>Singapur</w:t>
            </w:r>
          </w:p>
        </w:tc>
        <w:tc>
          <w:tcPr>
            <w:tcW w:type="dxa" w:w="3360"/>
            <w:vAlign w:val="center"/>
          </w:tcPr>
          <w:p>
            <w:pPr>
              <w:jc w:val="center"/>
            </w:pPr>
            <w:r>
              <w:rPr>
                <w:sz w:val="18"/>
              </w:rPr>
              <w:t>40</w:t>
            </w:r>
          </w:p>
        </w:tc>
        <w:tc>
          <w:tcPr>
            <w:tcW w:type="dxa" w:w="3360"/>
            <w:vAlign w:val="center"/>
          </w:tcPr>
          <w:p>
            <w:pPr>
              <w:jc w:val="center"/>
            </w:pPr>
            <w:r>
              <w:rPr>
                <w:sz w:val="18"/>
              </w:rPr>
              <w:t>8%</w:t>
            </w:r>
          </w:p>
        </w:tc>
      </w:tr>
      <w:tr>
        <w:tc>
          <w:tcPr>
            <w:tcW w:type="dxa" w:w="3360"/>
            <w:vAlign w:val="center"/>
          </w:tcPr>
          <w:p>
            <w:pPr>
              <w:jc w:val="center"/>
            </w:pPr>
            <w:r>
              <w:rPr>
                <w:sz w:val="18"/>
              </w:rPr>
              <w:t>Alemania</w:t>
            </w:r>
          </w:p>
        </w:tc>
        <w:tc>
          <w:tcPr>
            <w:tcW w:type="dxa" w:w="3360"/>
            <w:vAlign w:val="center"/>
          </w:tcPr>
          <w:p>
            <w:pPr>
              <w:jc w:val="center"/>
            </w:pPr>
            <w:r>
              <w:rPr>
                <w:sz w:val="18"/>
              </w:rPr>
              <w:t>34</w:t>
            </w:r>
          </w:p>
        </w:tc>
        <w:tc>
          <w:tcPr>
            <w:tcW w:type="dxa" w:w="3360"/>
            <w:vAlign w:val="center"/>
          </w:tcPr>
          <w:p>
            <w:pPr>
              <w:jc w:val="center"/>
            </w:pPr>
            <w:r>
              <w:rPr>
                <w:sz w:val="18"/>
              </w:rPr>
              <w:t>7%</w:t>
            </w:r>
          </w:p>
        </w:tc>
      </w:tr>
      <w:tr>
        <w:tc>
          <w:tcPr>
            <w:tcW w:type="dxa" w:w="3360"/>
            <w:vAlign w:val="center"/>
          </w:tcPr>
          <w:p>
            <w:pPr>
              <w:jc w:val="center"/>
            </w:pPr>
            <w:r>
              <w:rPr>
                <w:sz w:val="18"/>
              </w:rPr>
              <w:t>Australia</w:t>
            </w:r>
          </w:p>
        </w:tc>
        <w:tc>
          <w:tcPr>
            <w:tcW w:type="dxa" w:w="3360"/>
            <w:vAlign w:val="center"/>
          </w:tcPr>
          <w:p>
            <w:pPr>
              <w:jc w:val="center"/>
            </w:pPr>
            <w:r>
              <w:rPr>
                <w:sz w:val="18"/>
              </w:rPr>
              <w:t>16</w:t>
            </w:r>
          </w:p>
        </w:tc>
        <w:tc>
          <w:tcPr>
            <w:tcW w:type="dxa" w:w="3360"/>
            <w:vAlign w:val="center"/>
          </w:tcPr>
          <w:p>
            <w:pPr>
              <w:jc w:val="center"/>
            </w:pPr>
            <w:r>
              <w:rPr>
                <w:sz w:val="18"/>
              </w:rPr>
              <w:t>3%</w:t>
            </w:r>
          </w:p>
        </w:tc>
      </w:tr>
      <w:tr>
        <w:tc>
          <w:tcPr>
            <w:tcW w:type="dxa" w:w="3360"/>
            <w:vAlign w:val="center"/>
          </w:tcPr>
          <w:p>
            <w:pPr>
              <w:jc w:val="center"/>
            </w:pPr>
            <w:r>
              <w:rPr>
                <w:sz w:val="18"/>
              </w:rPr>
              <w:t>Países Bajos</w:t>
            </w:r>
          </w:p>
        </w:tc>
        <w:tc>
          <w:tcPr>
            <w:tcW w:type="dxa" w:w="3360"/>
            <w:vAlign w:val="center"/>
          </w:tcPr>
          <w:p>
            <w:pPr>
              <w:jc w:val="center"/>
            </w:pPr>
            <w:r>
              <w:rPr>
                <w:sz w:val="18"/>
              </w:rPr>
              <w:t>14</w:t>
            </w:r>
          </w:p>
        </w:tc>
        <w:tc>
          <w:tcPr>
            <w:tcW w:type="dxa" w:w="3360"/>
            <w:vAlign w:val="center"/>
          </w:tcPr>
          <w:p>
            <w:pPr>
              <w:jc w:val="center"/>
            </w:pPr>
            <w:r>
              <w:rPr>
                <w:sz w:val="18"/>
              </w:rPr>
              <w:t>3%</w:t>
            </w:r>
          </w:p>
        </w:tc>
      </w:tr>
      <w:tr>
        <w:tc>
          <w:tcPr>
            <w:tcW w:type="dxa" w:w="3360"/>
            <w:vAlign w:val="center"/>
          </w:tcPr>
          <w:p>
            <w:pPr>
              <w:jc w:val="center"/>
            </w:pPr>
            <w:r>
              <w:rPr>
                <w:sz w:val="18"/>
              </w:rPr>
              <w:t>Francia</w:t>
            </w:r>
          </w:p>
        </w:tc>
        <w:tc>
          <w:tcPr>
            <w:tcW w:type="dxa" w:w="3360"/>
            <w:vAlign w:val="center"/>
          </w:tcPr>
          <w:p>
            <w:pPr>
              <w:jc w:val="center"/>
            </w:pPr>
            <w:r>
              <w:rPr>
                <w:sz w:val="18"/>
              </w:rPr>
              <w:t>12</w:t>
            </w:r>
          </w:p>
        </w:tc>
        <w:tc>
          <w:tcPr>
            <w:tcW w:type="dxa" w:w="3360"/>
            <w:vAlign w:val="center"/>
          </w:tcPr>
          <w:p>
            <w:pPr>
              <w:jc w:val="center"/>
            </w:pPr>
            <w:r>
              <w:rPr>
                <w:sz w:val="18"/>
              </w:rPr>
              <w:t>2%</w:t>
            </w:r>
          </w:p>
        </w:tc>
      </w:tr>
      <w:tr>
        <w:tc>
          <w:tcPr>
            <w:tcW w:type="dxa" w:w="3360"/>
            <w:vAlign w:val="center"/>
          </w:tcPr>
          <w:p>
            <w:pPr>
              <w:jc w:val="center"/>
            </w:pPr>
            <w:r>
              <w:rPr>
                <w:sz w:val="18"/>
              </w:rPr>
              <w:t>Resto</w:t>
            </w:r>
          </w:p>
        </w:tc>
        <w:tc>
          <w:tcPr>
            <w:tcW w:type="dxa" w:w="3360"/>
            <w:vAlign w:val="center"/>
          </w:tcPr>
          <w:p>
            <w:pPr>
              <w:jc w:val="center"/>
            </w:pPr>
            <w:r>
              <w:rPr>
                <w:sz w:val="18"/>
              </w:rPr>
              <w:t>149</w:t>
            </w:r>
          </w:p>
        </w:tc>
        <w:tc>
          <w:tcPr>
            <w:tcW w:type="dxa" w:w="3360"/>
            <w:vAlign w:val="center"/>
          </w:tcPr>
          <w:p>
            <w:pPr>
              <w:jc w:val="center"/>
            </w:pPr>
            <w:r>
              <w:rPr>
                <w:sz w:val="18"/>
              </w:rPr>
              <w:t>29%</w:t>
            </w:r>
          </w:p>
        </w:tc>
      </w:tr>
      <w:tr>
        <w:tc>
          <w:tcPr>
            <w:tcW w:type="dxa" w:w="3360"/>
            <w:vAlign w:val="center"/>
          </w:tcPr>
          <w:p>
            <w:pPr>
              <w:jc w:val="center"/>
            </w:pPr>
            <w:r>
              <w:rPr>
                <w:sz w:val="18"/>
              </w:rPr>
              <w:t>Todos</w:t>
            </w:r>
          </w:p>
        </w:tc>
        <w:tc>
          <w:tcPr>
            <w:tcW w:type="dxa" w:w="3360"/>
            <w:vAlign w:val="center"/>
          </w:tcPr>
          <w:p>
            <w:pPr>
              <w:jc w:val="center"/>
            </w:pPr>
            <w:r>
              <w:rPr>
                <w:sz w:val="18"/>
              </w:rPr>
              <w:t>519</w:t>
            </w:r>
          </w:p>
        </w:tc>
        <w:tc>
          <w:tcPr>
            <w:tcW w:type="dxa" w:w="3360"/>
            <w:vAlign w:val="center"/>
          </w:tcPr>
          <w:p>
            <w:pPr>
              <w:jc w:val="center"/>
            </w:pPr>
            <w:r>
              <w:rPr>
                <w:sz w:val="18"/>
              </w:rPr>
              <w:t>100%</w:t>
            </w:r>
          </w:p>
        </w:tc>
      </w:tr>
    </w:tbl>
    <w:p>
      <w:r>
        <w:t>Fuente: MRECIC en base a ORBIS.</w:t>
      </w:r>
    </w:p>
    <w:p>
      <w:r>
        <w:rPr>
          <w:b/>
        </w:rPr>
        <w:t>Cuadro 7.2 – Operaciones de adquisición de empresas indias en el mundo por sector, enero de 2022 – septiembre de 2026</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b/>
                <w:sz w:val="18"/>
              </w:rPr>
              <w:t>Sector</w:t>
            </w:r>
          </w:p>
        </w:tc>
        <w:tc>
          <w:tcPr>
            <w:tcW w:type="dxa" w:w="3360"/>
            <w:shd w:fill="D9EAF7"/>
            <w:vAlign w:val="center"/>
          </w:tcPr>
          <w:p>
            <w:pPr>
              <w:jc w:val="center"/>
            </w:pPr>
            <w:r>
              <w:rPr>
                <w:b/>
                <w:sz w:val="18"/>
              </w:rPr>
              <w:t>Cantidad de adquisiciones</w:t>
            </w:r>
          </w:p>
        </w:tc>
        <w:tc>
          <w:tcPr>
            <w:tcW w:type="dxa" w:w="3360"/>
            <w:shd w:fill="D9EAF7"/>
            <w:vAlign w:val="center"/>
          </w:tcPr>
          <w:p>
            <w:pPr>
              <w:jc w:val="center"/>
            </w:pPr>
            <w:r>
              <w:rPr>
                <w:b/>
                <w:sz w:val="18"/>
              </w:rPr>
              <w:t>%</w:t>
            </w:r>
          </w:p>
        </w:tc>
      </w:tr>
      <w:tr>
        <w:tc>
          <w:tcPr>
            <w:tcW w:type="dxa" w:w="3360"/>
            <w:vAlign w:val="center"/>
          </w:tcPr>
          <w:p>
            <w:pPr>
              <w:jc w:val="center"/>
            </w:pPr>
            <w:r>
              <w:rPr>
                <w:sz w:val="18"/>
              </w:rPr>
              <w:t>Industria Manufacturera</w:t>
            </w:r>
          </w:p>
        </w:tc>
        <w:tc>
          <w:tcPr>
            <w:tcW w:type="dxa" w:w="3360"/>
            <w:vAlign w:val="center"/>
          </w:tcPr>
          <w:p>
            <w:pPr>
              <w:jc w:val="center"/>
            </w:pPr>
            <w:r>
              <w:rPr>
                <w:sz w:val="18"/>
              </w:rPr>
              <w:t>127</w:t>
            </w:r>
          </w:p>
        </w:tc>
        <w:tc>
          <w:tcPr>
            <w:tcW w:type="dxa" w:w="3360"/>
            <w:vAlign w:val="center"/>
          </w:tcPr>
          <w:p>
            <w:pPr>
              <w:jc w:val="center"/>
            </w:pPr>
            <w:r>
              <w:rPr>
                <w:sz w:val="18"/>
              </w:rPr>
              <w:t>24%</w:t>
            </w:r>
          </w:p>
        </w:tc>
      </w:tr>
      <w:tr>
        <w:tc>
          <w:tcPr>
            <w:tcW w:type="dxa" w:w="3360"/>
            <w:vAlign w:val="center"/>
          </w:tcPr>
          <w:p>
            <w:pPr>
              <w:jc w:val="center"/>
            </w:pPr>
            <w:r>
              <w:rPr>
                <w:sz w:val="18"/>
              </w:rPr>
              <w:t>Computación y Software</w:t>
            </w:r>
          </w:p>
        </w:tc>
        <w:tc>
          <w:tcPr>
            <w:tcW w:type="dxa" w:w="3360"/>
            <w:vAlign w:val="center"/>
          </w:tcPr>
          <w:p>
            <w:pPr>
              <w:jc w:val="center"/>
            </w:pPr>
            <w:r>
              <w:rPr>
                <w:sz w:val="18"/>
              </w:rPr>
              <w:t>67</w:t>
            </w:r>
          </w:p>
        </w:tc>
        <w:tc>
          <w:tcPr>
            <w:tcW w:type="dxa" w:w="3360"/>
            <w:vAlign w:val="center"/>
          </w:tcPr>
          <w:p>
            <w:pPr>
              <w:jc w:val="center"/>
            </w:pPr>
            <w:r>
              <w:rPr>
                <w:sz w:val="18"/>
              </w:rPr>
              <w:t>13%</w:t>
            </w:r>
          </w:p>
        </w:tc>
      </w:tr>
      <w:tr>
        <w:tc>
          <w:tcPr>
            <w:tcW w:type="dxa" w:w="3360"/>
            <w:vAlign w:val="center"/>
          </w:tcPr>
          <w:p>
            <w:pPr>
              <w:jc w:val="center"/>
            </w:pPr>
            <w:r>
              <w:rPr>
                <w:sz w:val="18"/>
              </w:rPr>
              <w:t>Industria Farmacéutica y Salud</w:t>
            </w:r>
          </w:p>
        </w:tc>
        <w:tc>
          <w:tcPr>
            <w:tcW w:type="dxa" w:w="3360"/>
            <w:vAlign w:val="center"/>
          </w:tcPr>
          <w:p>
            <w:pPr>
              <w:jc w:val="center"/>
            </w:pPr>
            <w:r>
              <w:rPr>
                <w:sz w:val="18"/>
              </w:rPr>
              <w:t>43</w:t>
            </w:r>
          </w:p>
        </w:tc>
        <w:tc>
          <w:tcPr>
            <w:tcW w:type="dxa" w:w="3360"/>
            <w:vAlign w:val="center"/>
          </w:tcPr>
          <w:p>
            <w:pPr>
              <w:jc w:val="center"/>
            </w:pPr>
            <w:r>
              <w:rPr>
                <w:sz w:val="18"/>
              </w:rPr>
              <w:t>8%</w:t>
            </w:r>
          </w:p>
        </w:tc>
      </w:tr>
      <w:tr>
        <w:tc>
          <w:tcPr>
            <w:tcW w:type="dxa" w:w="3360"/>
            <w:vAlign w:val="center"/>
          </w:tcPr>
          <w:p>
            <w:pPr>
              <w:jc w:val="center"/>
            </w:pPr>
            <w:r>
              <w:rPr>
                <w:sz w:val="18"/>
              </w:rPr>
              <w:t>Industria de Alimentos y Bebidas</w:t>
            </w:r>
          </w:p>
        </w:tc>
        <w:tc>
          <w:tcPr>
            <w:tcW w:type="dxa" w:w="3360"/>
            <w:vAlign w:val="center"/>
          </w:tcPr>
          <w:p>
            <w:pPr>
              <w:jc w:val="center"/>
            </w:pPr>
            <w:r>
              <w:rPr>
                <w:sz w:val="18"/>
              </w:rPr>
              <w:t>19</w:t>
            </w:r>
          </w:p>
        </w:tc>
        <w:tc>
          <w:tcPr>
            <w:tcW w:type="dxa" w:w="3360"/>
            <w:vAlign w:val="center"/>
          </w:tcPr>
          <w:p>
            <w:pPr>
              <w:jc w:val="center"/>
            </w:pPr>
            <w:r>
              <w:rPr>
                <w:sz w:val="18"/>
              </w:rPr>
              <w:t>4%</w:t>
            </w:r>
          </w:p>
        </w:tc>
      </w:tr>
      <w:tr>
        <w:tc>
          <w:tcPr>
            <w:tcW w:type="dxa" w:w="3360"/>
            <w:vAlign w:val="center"/>
          </w:tcPr>
          <w:p>
            <w:pPr>
              <w:jc w:val="center"/>
            </w:pPr>
            <w:r>
              <w:rPr>
                <w:sz w:val="18"/>
              </w:rPr>
              <w:t>Servicios Profesionales</w:t>
            </w:r>
          </w:p>
        </w:tc>
        <w:tc>
          <w:tcPr>
            <w:tcW w:type="dxa" w:w="3360"/>
            <w:vAlign w:val="center"/>
          </w:tcPr>
          <w:p>
            <w:pPr>
              <w:jc w:val="center"/>
            </w:pPr>
            <w:r>
              <w:rPr>
                <w:sz w:val="18"/>
              </w:rPr>
              <w:t>17</w:t>
            </w:r>
          </w:p>
        </w:tc>
        <w:tc>
          <w:tcPr>
            <w:tcW w:type="dxa" w:w="3360"/>
            <w:vAlign w:val="center"/>
          </w:tcPr>
          <w:p>
            <w:pPr>
              <w:jc w:val="center"/>
            </w:pPr>
            <w:r>
              <w:rPr>
                <w:sz w:val="18"/>
              </w:rPr>
              <w:t>3%</w:t>
            </w:r>
          </w:p>
        </w:tc>
      </w:tr>
      <w:tr>
        <w:tc>
          <w:tcPr>
            <w:tcW w:type="dxa" w:w="3360"/>
            <w:vAlign w:val="center"/>
          </w:tcPr>
          <w:p>
            <w:pPr>
              <w:jc w:val="center"/>
            </w:pPr>
            <w:r>
              <w:rPr>
                <w:sz w:val="18"/>
              </w:rPr>
              <w:t>Energía e Hidrocarburos</w:t>
            </w:r>
          </w:p>
        </w:tc>
        <w:tc>
          <w:tcPr>
            <w:tcW w:type="dxa" w:w="3360"/>
            <w:vAlign w:val="center"/>
          </w:tcPr>
          <w:p>
            <w:pPr>
              <w:jc w:val="center"/>
            </w:pPr>
            <w:r>
              <w:rPr>
                <w:sz w:val="18"/>
              </w:rPr>
              <w:t>11</w:t>
            </w:r>
          </w:p>
        </w:tc>
        <w:tc>
          <w:tcPr>
            <w:tcW w:type="dxa" w:w="3360"/>
            <w:vAlign w:val="center"/>
          </w:tcPr>
          <w:p>
            <w:pPr>
              <w:jc w:val="center"/>
            </w:pPr>
            <w:r>
              <w:rPr>
                <w:sz w:val="18"/>
              </w:rPr>
              <w:t>2%</w:t>
            </w:r>
          </w:p>
        </w:tc>
      </w:tr>
      <w:tr>
        <w:tc>
          <w:tcPr>
            <w:tcW w:type="dxa" w:w="3360"/>
            <w:vAlign w:val="center"/>
          </w:tcPr>
          <w:p>
            <w:pPr>
              <w:jc w:val="center"/>
            </w:pPr>
            <w:r>
              <w:rPr>
                <w:sz w:val="18"/>
              </w:rPr>
              <w:t>Banca, Seguros y Servicios Financieros</w:t>
            </w:r>
          </w:p>
        </w:tc>
        <w:tc>
          <w:tcPr>
            <w:tcW w:type="dxa" w:w="3360"/>
            <w:vAlign w:val="center"/>
          </w:tcPr>
          <w:p>
            <w:pPr>
              <w:jc w:val="center"/>
            </w:pPr>
            <w:r>
              <w:rPr>
                <w:sz w:val="18"/>
              </w:rPr>
              <w:t>10</w:t>
            </w:r>
          </w:p>
        </w:tc>
        <w:tc>
          <w:tcPr>
            <w:tcW w:type="dxa" w:w="3360"/>
            <w:vAlign w:val="center"/>
          </w:tcPr>
          <w:p>
            <w:pPr>
              <w:jc w:val="center"/>
            </w:pPr>
            <w:r>
              <w:rPr>
                <w:sz w:val="18"/>
              </w:rPr>
              <w:t>2%</w:t>
            </w:r>
          </w:p>
        </w:tc>
      </w:tr>
      <w:tr>
        <w:tc>
          <w:tcPr>
            <w:tcW w:type="dxa" w:w="3360"/>
            <w:vAlign w:val="center"/>
          </w:tcPr>
          <w:p>
            <w:pPr>
              <w:jc w:val="center"/>
            </w:pPr>
            <w:r>
              <w:rPr>
                <w:sz w:val="18"/>
              </w:rPr>
              <w:t>Comercio Minorista y Electrónico</w:t>
            </w:r>
          </w:p>
        </w:tc>
        <w:tc>
          <w:tcPr>
            <w:tcW w:type="dxa" w:w="3360"/>
            <w:vAlign w:val="center"/>
          </w:tcPr>
          <w:p>
            <w:pPr>
              <w:jc w:val="center"/>
            </w:pPr>
            <w:r>
              <w:rPr>
                <w:sz w:val="18"/>
              </w:rPr>
              <w:t>9</w:t>
            </w:r>
          </w:p>
        </w:tc>
        <w:tc>
          <w:tcPr>
            <w:tcW w:type="dxa" w:w="3360"/>
            <w:vAlign w:val="center"/>
          </w:tcPr>
          <w:p>
            <w:pPr>
              <w:jc w:val="center"/>
            </w:pPr>
            <w:r>
              <w:rPr>
                <w:sz w:val="18"/>
              </w:rPr>
              <w:t>2%</w:t>
            </w:r>
          </w:p>
        </w:tc>
      </w:tr>
      <w:tr>
        <w:tc>
          <w:tcPr>
            <w:tcW w:type="dxa" w:w="3360"/>
            <w:vAlign w:val="center"/>
          </w:tcPr>
          <w:p>
            <w:pPr>
              <w:jc w:val="center"/>
            </w:pPr>
            <w:r>
              <w:rPr>
                <w:sz w:val="18"/>
              </w:rPr>
              <w:t>Transporte, Logística y Almacenamiento</w:t>
            </w:r>
          </w:p>
        </w:tc>
        <w:tc>
          <w:tcPr>
            <w:tcW w:type="dxa" w:w="3360"/>
            <w:vAlign w:val="center"/>
          </w:tcPr>
          <w:p>
            <w:pPr>
              <w:jc w:val="center"/>
            </w:pPr>
            <w:r>
              <w:rPr>
                <w:sz w:val="18"/>
              </w:rPr>
              <w:t>9</w:t>
            </w:r>
          </w:p>
        </w:tc>
        <w:tc>
          <w:tcPr>
            <w:tcW w:type="dxa" w:w="3360"/>
            <w:vAlign w:val="center"/>
          </w:tcPr>
          <w:p>
            <w:pPr>
              <w:jc w:val="center"/>
            </w:pPr>
            <w:r>
              <w:rPr>
                <w:sz w:val="18"/>
              </w:rPr>
              <w:t>2%</w:t>
            </w:r>
          </w:p>
        </w:tc>
      </w:tr>
      <w:tr>
        <w:tc>
          <w:tcPr>
            <w:tcW w:type="dxa" w:w="3360"/>
            <w:vAlign w:val="center"/>
          </w:tcPr>
          <w:p>
            <w:pPr>
              <w:jc w:val="center"/>
            </w:pPr>
            <w:r>
              <w:rPr>
                <w:sz w:val="18"/>
              </w:rPr>
              <w:t>Otros</w:t>
            </w:r>
          </w:p>
        </w:tc>
        <w:tc>
          <w:tcPr>
            <w:tcW w:type="dxa" w:w="3360"/>
            <w:vAlign w:val="center"/>
          </w:tcPr>
          <w:p>
            <w:pPr>
              <w:jc w:val="center"/>
            </w:pPr>
            <w:r>
              <w:rPr>
                <w:sz w:val="18"/>
              </w:rPr>
              <w:t>207</w:t>
            </w:r>
          </w:p>
        </w:tc>
        <w:tc>
          <w:tcPr>
            <w:tcW w:type="dxa" w:w="3360"/>
            <w:vAlign w:val="center"/>
          </w:tcPr>
          <w:p>
            <w:pPr>
              <w:jc w:val="center"/>
            </w:pPr>
            <w:r>
              <w:rPr>
                <w:sz w:val="18"/>
              </w:rPr>
              <w:t>40%</w:t>
            </w:r>
          </w:p>
        </w:tc>
      </w:tr>
      <w:tr>
        <w:tc>
          <w:tcPr>
            <w:tcW w:type="dxa" w:w="3360"/>
            <w:vAlign w:val="center"/>
          </w:tcPr>
          <w:p>
            <w:pPr>
              <w:jc w:val="center"/>
            </w:pPr>
            <w:r>
              <w:rPr>
                <w:sz w:val="18"/>
              </w:rPr>
              <w:t>Total</w:t>
            </w:r>
          </w:p>
        </w:tc>
        <w:tc>
          <w:tcPr>
            <w:tcW w:type="dxa" w:w="3360"/>
            <w:vAlign w:val="center"/>
          </w:tcPr>
          <w:p>
            <w:pPr>
              <w:jc w:val="center"/>
            </w:pPr>
            <w:r>
              <w:rPr>
                <w:sz w:val="18"/>
              </w:rPr>
              <w:t>519</w:t>
            </w:r>
          </w:p>
        </w:tc>
        <w:tc>
          <w:tcPr>
            <w:tcW w:type="dxa" w:w="3360"/>
            <w:vAlign w:val="center"/>
          </w:tcPr>
          <w:p>
            <w:pPr>
              <w:jc w:val="center"/>
            </w:pPr>
            <w:r>
              <w:rPr>
                <w:sz w:val="18"/>
              </w:rPr>
              <w:t>100%</w:t>
            </w:r>
          </w:p>
        </w:tc>
      </w:tr>
    </w:tbl>
    <w:p>
      <w:r>
        <w:t>Nota metodológica: la exportación de M&amp;A utilizada no contiene un campo sectorial BvD separado. La clasificación sectorial se elaboró a partir de “Target business description” mediante reglas de agrupamiento DNPRI; por lo tanto, debe considerarse una clasificación de trabajo.</w:t>
      </w:r>
    </w:p>
    <w:p>
      <w:r>
        <w:t>Fuente: MRECIC en base a ORBIS.</w:t>
      </w:r>
    </w:p>
    <w:p>
      <w:pPr>
        <w:pStyle w:val="Heading1"/>
      </w:pPr>
      <w:r>
        <w:t>8. Operaciones de adquisición de empresas indias en Argentina</w:t>
      </w:r>
    </w:p>
    <w:p>
      <w:r>
        <w:t>No se identifican operaciones indias en Argentina</w:t>
      </w:r>
    </w:p>
    <w:p>
      <w:pPr>
        <w:pStyle w:val="Heading1"/>
      </w:pPr>
      <w:r>
        <w:t>Criterios metodológicos del prototipo</w:t>
      </w:r>
    </w:p>
    <w:p>
      <w:pPr>
        <w:ind w:left="288" w:hanging="216"/>
      </w:pPr>
      <w:r>
        <w:rPr>
          <w:b/>
        </w:rPr>
        <w:t xml:space="preserve">• </w:t>
      </w:r>
      <w:r>
        <w:t>Período de análisis de anuncios: desde el 1 de enero de 2022 hasta la fecha de actualización del archivo.</w:t>
      </w:r>
    </w:p>
    <w:p>
      <w:pPr>
        <w:ind w:left="288" w:hanging="216"/>
      </w:pPr>
      <w:r>
        <w:rPr>
          <w:b/>
        </w:rPr>
        <w:t xml:space="preserve">• </w:t>
      </w:r>
      <w:r>
        <w:t>Se excluyen los anuncios en los que el país fuente y el país destino son el mismo.</w:t>
      </w:r>
    </w:p>
    <w:p>
      <w:pPr>
        <w:ind w:left="288" w:hanging="216"/>
      </w:pPr>
      <w:r>
        <w:rPr>
          <w:b/>
        </w:rPr>
        <w:t xml:space="preserve">• </w:t>
      </w:r>
      <w:r>
        <w:t>Los proyectos se contabilizan una sola vez mediante Project number.</w:t>
      </w:r>
    </w:p>
    <w:p>
      <w:pPr>
        <w:ind w:left="288" w:hanging="216"/>
      </w:pPr>
      <w:r>
        <w:rPr>
          <w:b/>
        </w:rPr>
        <w:t xml:space="preserve">• </w:t>
      </w:r>
      <w:r>
        <w:t>En proyectos con múltiples inversores, los datos generales del proyecto se reconstruyen conservando el país fuente correspondiente a cada inversor.</w:t>
      </w:r>
    </w:p>
    <w:p>
      <w:pPr>
        <w:ind w:left="288" w:hanging="216"/>
      </w:pPr>
      <w:r>
        <w:rPr>
          <w:b/>
        </w:rPr>
        <w:t xml:space="preserve">• </w:t>
      </w:r>
      <w:r>
        <w:t>Para sectores se utiliza Investing company BvD Sector primary code description.</w:t>
      </w:r>
    </w:p>
    <w:p>
      <w:pPr>
        <w:ind w:left="288" w:hanging="216"/>
      </w:pPr>
      <w:r>
        <w:rPr>
          <w:b/>
        </w:rPr>
        <w:t xml:space="preserve">• </w:t>
      </w:r>
      <w:r>
        <w:t>Se muestran los nueve sectores principales; el resto se agrupa en Otros. Utilities/Utilidades se clasifica siempre como Otros.</w:t>
      </w:r>
    </w:p>
    <w:p>
      <w:r>
        <w:t>• Para M&amp;A se utiliza Investor country como país de origen del inversor directo y Deal number para deduplicar operaciones.</w:t>
      </w:r>
    </w:p>
    <w:p>
      <w:r>
        <w:t>• En M&amp;A se excluyen las operaciones en las que Investor country y Target country coinciden.</w:t>
      </w:r>
    </w:p>
    <w:p>
      <w:pPr>
        <w:ind w:left="288" w:hanging="216"/>
      </w:pPr>
      <w:r>
        <w:rPr>
          <w:b/>
        </w:rPr>
        <w:t xml:space="preserve">• </w:t>
      </w:r>
      <w:r>
        <w:t>Las denominaciones sectoriales se presentan en español conforme al criterio DNPRI.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