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BD" w:rsidRDefault="00197AB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ind w:left="5103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ind w:left="5103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97ABD" w:rsidRDefault="00E436E0">
      <w:pPr>
        <w:spacing w:line="360" w:lineRule="auto"/>
        <w:ind w:left="467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de Iniciação Científica submetido para avaliação no Edital: 04/2022</w:t>
      </w:r>
    </w:p>
    <w:p w:rsidR="00197ABD" w:rsidRDefault="00197AB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197ABD" w:rsidRDefault="00E436E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Título do projeto:</w:t>
      </w:r>
      <w:r>
        <w:rPr>
          <w:rFonts w:ascii="Arial" w:eastAsia="Arial" w:hAnsi="Arial" w:cs="Arial"/>
          <w:sz w:val="24"/>
          <w:szCs w:val="24"/>
        </w:rPr>
        <w:t xml:space="preserve"> O discurso de ódio e a proibição do outro: uma reflexão filosófica sobre os incômodos e resistências à linguagem neutra</w:t>
      </w:r>
    </w:p>
    <w:p w:rsidR="00197ABD" w:rsidRDefault="00E436E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Palavras-chave do projeto: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linguagem neutra, discurso de ódio, políticas </w:t>
      </w:r>
      <w:proofErr w:type="spellStart"/>
      <w:r>
        <w:rPr>
          <w:rFonts w:ascii="Arial" w:eastAsia="Arial" w:hAnsi="Arial" w:cs="Arial"/>
          <w:sz w:val="24"/>
          <w:szCs w:val="24"/>
        </w:rPr>
        <w:t>antigênero</w:t>
      </w:r>
      <w:proofErr w:type="spellEnd"/>
      <w:r>
        <w:rPr>
          <w:rFonts w:ascii="Arial" w:eastAsia="Arial" w:hAnsi="Arial" w:cs="Arial"/>
          <w:sz w:val="24"/>
          <w:szCs w:val="24"/>
        </w:rPr>
        <w:t>, sujeito</w:t>
      </w:r>
    </w:p>
    <w:p w:rsidR="00197ABD" w:rsidRDefault="00E436E0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Área do conhecimento do projeto: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filosofia</w:t>
      </w:r>
      <w:r w:rsidR="006713EE">
        <w:rPr>
          <w:rFonts w:ascii="Arial" w:eastAsia="Arial" w:hAnsi="Arial" w:cs="Arial"/>
          <w:sz w:val="24"/>
          <w:szCs w:val="24"/>
        </w:rPr>
        <w:t>; teoria queer</w:t>
      </w:r>
      <w:bookmarkStart w:id="0" w:name="_GoBack"/>
      <w:bookmarkEnd w:id="0"/>
    </w:p>
    <w:p w:rsidR="00197ABD" w:rsidRDefault="00E436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Arial" w:eastAsia="Arial" w:hAnsi="Arial" w:cs="Arial"/>
          <w:color w:val="6D1D6B"/>
          <w:sz w:val="28"/>
          <w:szCs w:val="28"/>
        </w:rPr>
      </w:pPr>
      <w:r>
        <w:rPr>
          <w:rFonts w:ascii="Arial" w:eastAsia="Arial" w:hAnsi="Arial" w:cs="Arial"/>
          <w:color w:val="6D1D6B"/>
          <w:sz w:val="28"/>
          <w:szCs w:val="28"/>
        </w:rPr>
        <w:lastRenderedPageBreak/>
        <w:t>Sumário</w:t>
      </w:r>
    </w:p>
    <w:sdt>
      <w:sdtPr>
        <w:id w:val="-719520055"/>
        <w:docPartObj>
          <w:docPartGallery w:val="Table of Contents"/>
          <w:docPartUnique/>
        </w:docPartObj>
      </w:sdtPr>
      <w:sdtEndPr/>
      <w:sdtContent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 Resumo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3</w:t>
            </w:r>
          </w:hyperlink>
        </w:p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0j0zll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 Introdução e Justificativa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Objetivos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znysh7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Metodologia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</w:t>
            </w:r>
          </w:hyperlink>
        </w:p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5</w:t>
          </w:r>
          <w:hyperlink w:anchor="_heading=h.tyjcwt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Cronograma de atividades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9</w:t>
            </w:r>
          </w:hyperlink>
        </w:p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6</w:t>
          </w:r>
          <w:r>
            <w:rPr>
              <w:color w:val="000000"/>
            </w:rPr>
            <w:t xml:space="preserve"> </w:t>
          </w:r>
          <w:hyperlink w:anchor="_heading=h.3dy6vkm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eferências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10</w:t>
            </w:r>
          </w:hyperlink>
        </w:p>
        <w:p w:rsidR="00197ABD" w:rsidRDefault="00E436E0">
          <w:pPr>
            <w:spacing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197ABD" w:rsidRDefault="00E436E0">
      <w:pPr>
        <w:rPr>
          <w:rFonts w:ascii="Arial" w:eastAsia="Arial" w:hAnsi="Arial" w:cs="Arial"/>
          <w:color w:val="6D1D6B"/>
          <w:sz w:val="24"/>
          <w:szCs w:val="24"/>
        </w:rPr>
      </w:pPr>
      <w:bookmarkStart w:id="1" w:name="_heading=h.gjdgxs" w:colFirst="0" w:colLast="0"/>
      <w:bookmarkEnd w:id="1"/>
      <w:r>
        <w:br w:type="page"/>
      </w:r>
    </w:p>
    <w:p w:rsidR="00197ABD" w:rsidRDefault="00E436E0">
      <w:pPr>
        <w:pStyle w:val="Ttulo1"/>
        <w:spacing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1. Resumo</w:t>
      </w:r>
    </w:p>
    <w:p w:rsidR="00197ABD" w:rsidRDefault="00E436E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linguagem neutra surge enquanto reivindicação da utilização de pronomes neutros em uma luta por direitos e visibilidade de pessoas </w:t>
      </w:r>
      <w:proofErr w:type="spellStart"/>
      <w:r>
        <w:rPr>
          <w:rFonts w:ascii="Arial" w:eastAsia="Arial" w:hAnsi="Arial" w:cs="Arial"/>
          <w:sz w:val="24"/>
          <w:szCs w:val="24"/>
        </w:rPr>
        <w:t>trans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não-binárias, ou seja, pessoas que não se enquadram no binário de gênero masculino e feminino. Dita reivindicação é c</w:t>
      </w:r>
      <w:r>
        <w:rPr>
          <w:rFonts w:ascii="Arial" w:eastAsia="Arial" w:hAnsi="Arial" w:cs="Arial"/>
          <w:sz w:val="24"/>
          <w:szCs w:val="24"/>
        </w:rPr>
        <w:t xml:space="preserve">ontestada por projetos proibitivos de sua utilização, estratégia característica de cenários políticos de conservadorismo, os quais a partir da última década tem mobilizado uma ofensiva </w:t>
      </w:r>
      <w:proofErr w:type="spellStart"/>
      <w:r>
        <w:rPr>
          <w:rFonts w:ascii="Arial" w:eastAsia="Arial" w:hAnsi="Arial" w:cs="Arial"/>
          <w:sz w:val="24"/>
          <w:szCs w:val="24"/>
        </w:rPr>
        <w:t>antigênero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ao redor do mundo. Neste trabalho, pretendemos oferecer uma </w:t>
      </w:r>
      <w:r>
        <w:rPr>
          <w:rFonts w:ascii="Arial" w:eastAsia="Arial" w:hAnsi="Arial" w:cs="Arial"/>
          <w:sz w:val="24"/>
          <w:szCs w:val="24"/>
        </w:rPr>
        <w:t xml:space="preserve">reflexão filosófica sobre os incômodos e resistências que a linguagem neutra gera através de uma análise crítica da teoria do discurso de Judith </w:t>
      </w:r>
      <w:proofErr w:type="spellStart"/>
      <w:r>
        <w:rPr>
          <w:rFonts w:ascii="Arial" w:eastAsia="Arial" w:hAnsi="Arial" w:cs="Arial"/>
          <w:sz w:val="24"/>
          <w:szCs w:val="24"/>
        </w:rPr>
        <w:t>Butler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particularmente no seu estudo dos discursos de ódio – em conversação com pesquisas e estudos de dados </w:t>
      </w:r>
      <w:r>
        <w:rPr>
          <w:rFonts w:ascii="Arial" w:eastAsia="Arial" w:hAnsi="Arial" w:cs="Arial"/>
          <w:sz w:val="24"/>
          <w:szCs w:val="24"/>
        </w:rPr>
        <w:t xml:space="preserve">sobre políticas </w:t>
      </w:r>
      <w:proofErr w:type="spellStart"/>
      <w:r>
        <w:rPr>
          <w:rFonts w:ascii="Arial" w:eastAsia="Arial" w:hAnsi="Arial" w:cs="Arial"/>
          <w:sz w:val="24"/>
          <w:szCs w:val="24"/>
        </w:rPr>
        <w:t>antigênero</w:t>
      </w:r>
      <w:proofErr w:type="spellEnd"/>
      <w:r>
        <w:rPr>
          <w:rFonts w:ascii="Arial" w:eastAsia="Arial" w:hAnsi="Arial" w:cs="Arial"/>
          <w:sz w:val="24"/>
          <w:szCs w:val="24"/>
        </w:rPr>
        <w:t>, em especial os disponibilizados pelo Observatório de Sexualidade e Política (</w:t>
      </w:r>
      <w:proofErr w:type="spellStart"/>
      <w:r>
        <w:rPr>
          <w:rFonts w:ascii="Arial" w:eastAsia="Arial" w:hAnsi="Arial" w:cs="Arial"/>
          <w:sz w:val="24"/>
          <w:szCs w:val="24"/>
        </w:rPr>
        <w:t>Sexuality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Policy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Watch</w:t>
      </w:r>
      <w:proofErr w:type="spellEnd"/>
      <w:r>
        <w:rPr>
          <w:rFonts w:ascii="Arial" w:eastAsia="Arial" w:hAnsi="Arial" w:cs="Arial"/>
          <w:sz w:val="24"/>
          <w:szCs w:val="24"/>
        </w:rPr>
        <w:t>). Este projeto será desenvolvido vinculado ao Núcleo de Estudos de Gênero Esperança Garcia.</w:t>
      </w:r>
    </w:p>
    <w:p w:rsidR="00197ABD" w:rsidRDefault="00E436E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</w:p>
    <w:p w:rsidR="00197ABD" w:rsidRDefault="00E436E0">
      <w:pPr>
        <w:pStyle w:val="Ttulo1"/>
        <w:spacing w:line="360" w:lineRule="auto"/>
        <w:rPr>
          <w:rFonts w:ascii="Arial" w:eastAsia="Arial" w:hAnsi="Arial" w:cs="Arial"/>
          <w:b/>
          <w:sz w:val="26"/>
          <w:szCs w:val="26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b/>
          <w:sz w:val="26"/>
          <w:szCs w:val="26"/>
        </w:rPr>
        <w:t>2. Introdução e Justificativa</w:t>
      </w:r>
    </w:p>
    <w:p w:rsidR="00197ABD" w:rsidRDefault="00E43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 xml:space="preserve">A linguagem neutra tem se demonstrado uma pauta relevante no debate público e </w:t>
      </w:r>
      <w:r>
        <w:rPr>
          <w:rFonts w:ascii="Arial" w:eastAsia="Arial" w:hAnsi="Arial" w:cs="Arial"/>
          <w:sz w:val="24"/>
          <w:szCs w:val="24"/>
        </w:rPr>
        <w:t xml:space="preserve">político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brasileiro dos últimos anos. Essa linguagem surge na luta de pessoas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transgêneras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não-binárias por representatividade na sociedade através de reivindicações por uma ling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uagem que seja mais inclusiva, de modo a abranger uma parcela da população que, até então, permanece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invisibilizada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nos discursos. As regras gramaticais da língua portuguesa preveem o uso da flexão masculina ao se discursar sobre um grupo de pessoas, indep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endentemente se esse grupo é composto majoritariamente por mulheres - o que para o movimento feminista não tem sido senão uma demonstração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masculinista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poder (LAU, 2017). </w:t>
      </w:r>
    </w:p>
    <w:p w:rsidR="00197ABD" w:rsidRDefault="00E43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Desde então, esse movimento tem resultado em amplos debates sobre o tema e, em um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cenário político de conservadorismo que reflete as políticas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antigênero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 mundo (CORRÊA, 2020), desencadeia até tentativas de proibições acerca de sua utilização. No Brasil, há várias discussões político-parlamentares pela proibição da utilização da ling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uagem neutra nas escolas, </w:t>
      </w:r>
      <w:r>
        <w:rPr>
          <w:rFonts w:ascii="Arial" w:eastAsia="Arial" w:hAnsi="Arial" w:cs="Arial"/>
          <w:sz w:val="24"/>
          <w:szCs w:val="24"/>
        </w:rPr>
        <w:t>nas quais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as alegações contra a utilização dessa linguagem </w:t>
      </w:r>
      <w:r>
        <w:rPr>
          <w:rFonts w:ascii="Arial" w:eastAsia="Arial" w:hAnsi="Arial" w:cs="Arial"/>
          <w:sz w:val="24"/>
          <w:szCs w:val="24"/>
        </w:rPr>
        <w:t>se concentram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duas justificati</w:t>
      </w:r>
      <w:r>
        <w:rPr>
          <w:rFonts w:ascii="Arial" w:eastAsia="Arial" w:hAnsi="Arial" w:cs="Arial"/>
          <w:sz w:val="24"/>
          <w:szCs w:val="24"/>
        </w:rPr>
        <w:t>vas</w:t>
      </w:r>
      <w:r>
        <w:rPr>
          <w:rFonts w:ascii="Arial" w:eastAsia="Arial" w:hAnsi="Arial" w:cs="Arial"/>
          <w:color w:val="000000"/>
          <w:sz w:val="24"/>
          <w:szCs w:val="24"/>
        </w:rPr>
        <w:t>: uma mais modesta, de que o ensino das regras gramaticais da língua portuguesa é um direito de todos os estudantes, onde a linguagem n</w:t>
      </w:r>
      <w:r>
        <w:rPr>
          <w:rFonts w:ascii="Arial" w:eastAsia="Arial" w:hAnsi="Arial" w:cs="Arial"/>
          <w:color w:val="000000"/>
          <w:sz w:val="24"/>
          <w:szCs w:val="24"/>
        </w:rPr>
        <w:t>eutra seria o impeditivo deste acesso</w:t>
      </w:r>
      <w:r>
        <w:rPr>
          <w:rFonts w:ascii="Arial" w:eastAsia="Arial" w:hAnsi="Arial" w:cs="Arial"/>
          <w:sz w:val="24"/>
          <w:szCs w:val="24"/>
        </w:rPr>
        <w:t xml:space="preserve">; e outra mais abertamente conservadora, </w:t>
      </w:r>
      <w:r>
        <w:rPr>
          <w:rFonts w:ascii="Arial" w:eastAsia="Arial" w:hAnsi="Arial" w:cs="Arial"/>
          <w:color w:val="000000"/>
          <w:sz w:val="24"/>
          <w:szCs w:val="24"/>
        </w:rPr>
        <w:t>de que a escola deve ser isenta de ideologias. (ABIA, 2021).  O debate público, em sua maioria, também se coloca contra a utilização do pronome neutro e da</w:t>
      </w:r>
      <w:r>
        <w:rPr>
          <w:rFonts w:ascii="Arial" w:eastAsia="Arial" w:hAnsi="Arial" w:cs="Arial"/>
          <w:sz w:val="24"/>
          <w:szCs w:val="24"/>
        </w:rPr>
        <w:t xml:space="preserve"> linguagem neutra</w:t>
      </w:r>
      <w:r>
        <w:rPr>
          <w:rFonts w:ascii="Arial" w:eastAsia="Arial" w:hAnsi="Arial" w:cs="Arial"/>
          <w:color w:val="000000"/>
          <w:sz w:val="24"/>
          <w:szCs w:val="24"/>
        </w:rPr>
        <w:t>, tend</w:t>
      </w:r>
      <w:r>
        <w:rPr>
          <w:rFonts w:ascii="Arial" w:eastAsia="Arial" w:hAnsi="Arial" w:cs="Arial"/>
          <w:color w:val="000000"/>
          <w:sz w:val="24"/>
          <w:szCs w:val="24"/>
        </w:rPr>
        <w:t>o os mesmos argumentos e outros, ao indicar que seu uso no cotidiano é algo impraticável e/ou excludente.</w:t>
      </w:r>
    </w:p>
    <w:p w:rsidR="00197ABD" w:rsidRDefault="00E43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Diante desse intensificado cenário de debates sobre a linguagem neutra, neste presente trabalho pretendemos oferecer uma reflexão filosófica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sobre  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incômodos acerca de sua utilização através do estudo da teoria do discurso da filósofa e uma das principais pensadoras da teoria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queer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Judith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Butler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(1956-), principalmente em seu trabalho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Discurso de ódio: Uma política do performativo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(2021).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Em sua obra,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Butler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busca entender como funciona o mecanismo dos discursos de ódio enquanto um dispositivo que reitera forças maiores que os sujeitos que</w:t>
      </w:r>
      <w:r>
        <w:rPr>
          <w:rFonts w:ascii="Arial" w:eastAsia="Arial" w:hAnsi="Arial" w:cs="Arial"/>
          <w:sz w:val="24"/>
          <w:szCs w:val="24"/>
        </w:rPr>
        <w:t xml:space="preserve"> estão se constituindo na linguagem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ara a autora, o discurso de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ódio é uma ferramenta </w:t>
      </w:r>
      <w:r>
        <w:rPr>
          <w:rFonts w:ascii="Arial" w:eastAsia="Arial" w:hAnsi="Arial" w:cs="Arial"/>
          <w:sz w:val="24"/>
          <w:szCs w:val="24"/>
        </w:rPr>
        <w:t xml:space="preserve">que </w:t>
      </w:r>
      <w:r>
        <w:rPr>
          <w:rFonts w:ascii="Arial" w:eastAsia="Arial" w:hAnsi="Arial" w:cs="Arial"/>
          <w:color w:val="000000"/>
          <w:sz w:val="24"/>
          <w:szCs w:val="24"/>
        </w:rPr>
        <w:t>o Estado, 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polícia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alguma grande esfera da vida social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utiliza para controlar os sujeitos.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Butler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coloca que quando o discurso de ódio ocorre, ele não é apenas ferramenta coercitiva de algum pilar da sociedade, mas também um agente formativo à quem ele se dirige. </w:t>
      </w:r>
      <w:r>
        <w:rPr>
          <w:rFonts w:ascii="Arial" w:eastAsia="Arial" w:hAnsi="Arial" w:cs="Arial"/>
          <w:color w:val="000000"/>
          <w:sz w:val="24"/>
          <w:szCs w:val="24"/>
        </w:rPr>
        <w:t>Isso acontece</w:t>
      </w:r>
      <w:r>
        <w:rPr>
          <w:rFonts w:ascii="Arial" w:eastAsia="Arial" w:hAnsi="Arial" w:cs="Arial"/>
          <w:sz w:val="24"/>
          <w:szCs w:val="24"/>
        </w:rPr>
        <w:t xml:space="preserve"> porque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quando alguém chama o outro de algum nome, esse chamamento o constitui e ao mesmo tempo traz ao outro um reconhecimento sobre si. Dessa forma, esse reconhecimento forma o sujeito e não só o controla como também manipula suas formas de </w:t>
      </w:r>
      <w:r>
        <w:rPr>
          <w:rFonts w:ascii="Arial" w:eastAsia="Arial" w:hAnsi="Arial" w:cs="Arial"/>
          <w:color w:val="000000"/>
          <w:sz w:val="24"/>
          <w:szCs w:val="24"/>
        </w:rPr>
        <w:t>autoconhecimento.</w:t>
      </w:r>
    </w:p>
    <w:p w:rsidR="00197ABD" w:rsidRDefault="00E436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Sendo então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chamamento a partir de outros/as/</w:t>
      </w:r>
      <w:r>
        <w:rPr>
          <w:rFonts w:ascii="Arial" w:eastAsia="Arial" w:hAnsi="Arial" w:cs="Arial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traz as pessoas à sua constituição, podemos pensar que tentativas de proibições acerca da demarcação neutra do gênero, que podem estar embebidas em uma coerção resultante do Estado ou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outras esferas da vida social, buscam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invisibilizar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as pessoas não-binárias, negando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transgeneridades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? A linguagem neutra surge enquanto reivindicação, mas é algo que desemboca em toda a sociedade, se considerarmos que o gênero é uma prática à qual todo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temos que responder </w:t>
      </w:r>
      <w:r>
        <w:rPr>
          <w:rFonts w:ascii="Arial" w:eastAsia="Arial" w:hAnsi="Arial" w:cs="Arial"/>
          <w:sz w:val="24"/>
          <w:szCs w:val="24"/>
        </w:rPr>
        <w:t>(BUTLER, 2018)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Assim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se pensarmos sobre </w:t>
      </w:r>
      <w:r>
        <w:rPr>
          <w:rFonts w:ascii="Arial" w:eastAsia="Arial" w:hAnsi="Arial" w:cs="Arial"/>
          <w:sz w:val="24"/>
          <w:szCs w:val="24"/>
        </w:rPr>
        <w:t xml:space="preserve">a implementação de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meios de impedir que se chame outras pessoas com pronomes neutros, seria esse um esforço em impossibilitar as múltiplas existências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transgêneras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em especial aquelas que não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correspondem </w:t>
      </w:r>
      <w:r>
        <w:rPr>
          <w:rFonts w:ascii="Arial" w:eastAsia="Arial" w:hAnsi="Arial" w:cs="Arial"/>
          <w:sz w:val="24"/>
          <w:szCs w:val="24"/>
        </w:rPr>
        <w:t>exatamente ao binarismo de gênero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? Neste projeto buscaremos trazer à tona essas problematizações que surgem cada vez mais latentes em cenários políticos de conservadorismo para compreender melhor os dispositivos e o funcionamento do discurso </w:t>
      </w:r>
      <w:r>
        <w:rPr>
          <w:rFonts w:ascii="Arial" w:eastAsia="Arial" w:hAnsi="Arial" w:cs="Arial"/>
          <w:color w:val="000000"/>
          <w:sz w:val="24"/>
          <w:szCs w:val="24"/>
        </w:rPr>
        <w:t>de ódio em torno do uso da linguagem neutra.</w:t>
      </w:r>
    </w:p>
    <w:p w:rsidR="00197ABD" w:rsidRDefault="00197A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97ABD" w:rsidRDefault="00197A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197ABD" w:rsidRDefault="00E436E0">
      <w:pPr>
        <w:pStyle w:val="Ttulo1"/>
        <w:spacing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3. Objetivos</w:t>
      </w:r>
    </w:p>
    <w:p w:rsidR="00197ABD" w:rsidRDefault="00E436E0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objetivos do presente projeto são:</w:t>
      </w:r>
    </w:p>
    <w:p w:rsidR="00197ABD" w:rsidRDefault="00E436E0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Objetivo geral:</w:t>
      </w:r>
    </w:p>
    <w:p w:rsidR="00197ABD" w:rsidRDefault="00E436E0">
      <w:pPr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oferecer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uma reflexão filosófica sobre os incômodos e resistências que a linguagem neutra gera através de uma análise crítica da teoria do discurso de Judith </w:t>
      </w:r>
      <w:proofErr w:type="spellStart"/>
      <w:r>
        <w:rPr>
          <w:rFonts w:ascii="Arial" w:eastAsia="Arial" w:hAnsi="Arial" w:cs="Arial"/>
          <w:sz w:val="24"/>
          <w:szCs w:val="24"/>
        </w:rPr>
        <w:t>Butler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 conversação com pesquisas e estudos de dados sobre políticas </w:t>
      </w:r>
      <w:proofErr w:type="spellStart"/>
      <w:r>
        <w:rPr>
          <w:rFonts w:ascii="Arial" w:eastAsia="Arial" w:hAnsi="Arial" w:cs="Arial"/>
          <w:sz w:val="24"/>
          <w:szCs w:val="24"/>
        </w:rPr>
        <w:t>antigênero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97ABD" w:rsidRDefault="00E43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Objetivos espe</w:t>
      </w:r>
      <w:r>
        <w:rPr>
          <w:rFonts w:ascii="Arial" w:eastAsia="Arial" w:hAnsi="Arial" w:cs="Arial"/>
          <w:sz w:val="24"/>
          <w:szCs w:val="24"/>
        </w:rPr>
        <w:t>cíficos:</w:t>
      </w:r>
    </w:p>
    <w:p w:rsidR="00197ABD" w:rsidRDefault="00E43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examinar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as operações que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linguagem neutra desenvolve </w:t>
      </w:r>
      <w:r>
        <w:rPr>
          <w:rFonts w:ascii="Arial" w:eastAsia="Arial" w:hAnsi="Arial" w:cs="Arial"/>
          <w:sz w:val="24"/>
          <w:szCs w:val="24"/>
        </w:rPr>
        <w:t>nas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sociedades </w:t>
      </w:r>
      <w:r>
        <w:rPr>
          <w:rFonts w:ascii="Arial" w:eastAsia="Arial" w:hAnsi="Arial" w:cs="Arial"/>
          <w:sz w:val="24"/>
          <w:szCs w:val="24"/>
        </w:rPr>
        <w:t xml:space="preserve">atuais embebidas de </w:t>
      </w:r>
      <w:r>
        <w:rPr>
          <w:rFonts w:ascii="Arial" w:eastAsia="Arial" w:hAnsi="Arial" w:cs="Arial"/>
          <w:color w:val="000000"/>
          <w:sz w:val="24"/>
          <w:szCs w:val="24"/>
        </w:rPr>
        <w:t>conservador</w:t>
      </w:r>
      <w:r>
        <w:rPr>
          <w:rFonts w:ascii="Arial" w:eastAsia="Arial" w:hAnsi="Arial" w:cs="Arial"/>
          <w:sz w:val="24"/>
          <w:szCs w:val="24"/>
        </w:rPr>
        <w:t>ismo;</w:t>
      </w:r>
    </w:p>
    <w:p w:rsidR="00197ABD" w:rsidRDefault="00E43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contextualizar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as resistências à linguagem neutra dentro das políticas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antigênero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contemporâneas na região e no mundo;</w:t>
      </w:r>
    </w:p>
    <w:p w:rsidR="00197ABD" w:rsidRDefault="00E43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estudar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as </w:t>
      </w:r>
      <w:r>
        <w:rPr>
          <w:rFonts w:ascii="Arial" w:eastAsia="Arial" w:hAnsi="Arial" w:cs="Arial"/>
          <w:sz w:val="24"/>
          <w:szCs w:val="24"/>
        </w:rPr>
        <w:t xml:space="preserve">consequências da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compreensão que Judith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Butler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tem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sobre a constituição do sujeito no discurso, </w:t>
      </w:r>
      <w:r>
        <w:rPr>
          <w:rFonts w:ascii="Arial" w:eastAsia="Arial" w:hAnsi="Arial" w:cs="Arial"/>
          <w:sz w:val="24"/>
          <w:szCs w:val="24"/>
        </w:rPr>
        <w:t>particularmente em sua análise dos discursos de ódio.</w:t>
      </w:r>
    </w:p>
    <w:p w:rsidR="00197ABD" w:rsidRDefault="00E436E0">
      <w:pPr>
        <w:rPr>
          <w:rFonts w:ascii="Arial" w:eastAsia="Arial" w:hAnsi="Arial" w:cs="Arial"/>
          <w:color w:val="6D1D6B"/>
          <w:sz w:val="24"/>
          <w:szCs w:val="24"/>
        </w:rPr>
      </w:pPr>
      <w:bookmarkStart w:id="4" w:name="_heading=h.3znysh7" w:colFirst="0" w:colLast="0"/>
      <w:bookmarkEnd w:id="4"/>
      <w:r>
        <w:br w:type="page"/>
      </w:r>
    </w:p>
    <w:p w:rsidR="00197ABD" w:rsidRDefault="00E436E0">
      <w:pPr>
        <w:pStyle w:val="Ttulo1"/>
        <w:spacing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4. Metodologia</w:t>
      </w:r>
    </w:p>
    <w:p w:rsidR="00197ABD" w:rsidRDefault="00E436E0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metodologia a ser utilizada para a realização da pesquisa consiste em uma revisão bibli</w:t>
      </w:r>
      <w:r>
        <w:rPr>
          <w:rFonts w:ascii="Arial" w:eastAsia="Arial" w:hAnsi="Arial" w:cs="Arial"/>
          <w:sz w:val="24"/>
          <w:szCs w:val="24"/>
        </w:rPr>
        <w:t xml:space="preserve">ográfica a propósito do debate sobre a linguagem neutra em conversação com o desenvolvimento de uma hermenêutica crítica da proposta de Judith </w:t>
      </w:r>
      <w:proofErr w:type="spellStart"/>
      <w:r>
        <w:rPr>
          <w:rFonts w:ascii="Arial" w:eastAsia="Arial" w:hAnsi="Arial" w:cs="Arial"/>
          <w:sz w:val="24"/>
          <w:szCs w:val="24"/>
        </w:rPr>
        <w:t>Butler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principalmente em seu trabalho </w:t>
      </w:r>
      <w:r>
        <w:rPr>
          <w:rFonts w:ascii="Arial" w:eastAsia="Arial" w:hAnsi="Arial" w:cs="Arial"/>
          <w:i/>
          <w:sz w:val="24"/>
          <w:szCs w:val="24"/>
        </w:rPr>
        <w:t xml:space="preserve">Discurso de Ódio – uma política do performativo </w:t>
      </w:r>
      <w:r>
        <w:rPr>
          <w:rFonts w:ascii="Arial" w:eastAsia="Arial" w:hAnsi="Arial" w:cs="Arial"/>
          <w:sz w:val="24"/>
          <w:szCs w:val="24"/>
        </w:rPr>
        <w:t>(2021)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mas também em seus</w:t>
      </w:r>
      <w:r>
        <w:rPr>
          <w:rFonts w:ascii="Arial" w:eastAsia="Arial" w:hAnsi="Arial" w:cs="Arial"/>
          <w:sz w:val="24"/>
          <w:szCs w:val="24"/>
        </w:rPr>
        <w:t xml:space="preserve"> trabalhos </w:t>
      </w:r>
      <w:r>
        <w:rPr>
          <w:rFonts w:ascii="Arial" w:eastAsia="Arial" w:hAnsi="Arial" w:cs="Arial"/>
          <w:i/>
          <w:sz w:val="24"/>
          <w:szCs w:val="24"/>
        </w:rPr>
        <w:t xml:space="preserve">Problemas de Gênero: feminismo e subversão da identidade </w:t>
      </w:r>
      <w:r>
        <w:rPr>
          <w:rFonts w:ascii="Arial" w:eastAsia="Arial" w:hAnsi="Arial" w:cs="Arial"/>
          <w:sz w:val="24"/>
          <w:szCs w:val="24"/>
        </w:rPr>
        <w:t>(2018)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 xml:space="preserve"> Relatar a si mesmo: crítica da violência ética </w:t>
      </w:r>
      <w:r>
        <w:rPr>
          <w:rFonts w:ascii="Arial" w:eastAsia="Arial" w:hAnsi="Arial" w:cs="Arial"/>
          <w:sz w:val="24"/>
          <w:szCs w:val="24"/>
        </w:rPr>
        <w:t>(2015)</w:t>
      </w:r>
      <w:r>
        <w:rPr>
          <w:rFonts w:ascii="Arial" w:eastAsia="Arial" w:hAnsi="Arial" w:cs="Arial"/>
          <w:i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Em conjunto com essa selecionada biografia de Judith </w:t>
      </w:r>
      <w:proofErr w:type="spellStart"/>
      <w:r>
        <w:rPr>
          <w:rFonts w:ascii="Arial" w:eastAsia="Arial" w:hAnsi="Arial" w:cs="Arial"/>
          <w:sz w:val="24"/>
          <w:szCs w:val="24"/>
        </w:rPr>
        <w:t>Butler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serão </w:t>
      </w:r>
      <w:proofErr w:type="gramStart"/>
      <w:r>
        <w:rPr>
          <w:rFonts w:ascii="Arial" w:eastAsia="Arial" w:hAnsi="Arial" w:cs="Arial"/>
          <w:sz w:val="24"/>
          <w:szCs w:val="24"/>
        </w:rPr>
        <w:t>utilizadas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pesquisas e estudos de dados sobre políticas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ntigênero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ao redor do mundo, em especial as disponibilizadas pelo Observatório de Sexualidade e Política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Sexuality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Policy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Watch</w:t>
      </w:r>
      <w:proofErr w:type="spellEnd"/>
      <w:r>
        <w:rPr>
          <w:rFonts w:ascii="Arial" w:eastAsia="Arial" w:hAnsi="Arial" w:cs="Arial"/>
          <w:sz w:val="24"/>
          <w:szCs w:val="24"/>
        </w:rPr>
        <w:t>). Os aprendizados da pesquisa serão compartilhados com integrantes do Núcleo de Estudos de Gênero Esperança Garcia através da p</w:t>
      </w:r>
      <w:r>
        <w:rPr>
          <w:rFonts w:ascii="Arial" w:eastAsia="Arial" w:hAnsi="Arial" w:cs="Arial"/>
          <w:sz w:val="24"/>
          <w:szCs w:val="24"/>
        </w:rPr>
        <w:t>articipação em seminários ou outras atividades do dito Núcleo.</w:t>
      </w:r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5" w:name="_heading=h.rjbvou2h8jcj" w:colFirst="0" w:colLast="0"/>
      <w:bookmarkEnd w:id="5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6" w:name="_heading=h.cwtyzoc42ym1" w:colFirst="0" w:colLast="0"/>
      <w:bookmarkEnd w:id="6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7" w:name="_heading=h.i1v60hdqamv8" w:colFirst="0" w:colLast="0"/>
      <w:bookmarkEnd w:id="7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8" w:name="_heading=h.tir97ihne90h" w:colFirst="0" w:colLast="0"/>
      <w:bookmarkEnd w:id="8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9" w:name="_heading=h.xriui96hvkxd" w:colFirst="0" w:colLast="0"/>
      <w:bookmarkEnd w:id="9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10" w:name="_heading=h.wyi3r1clw14w" w:colFirst="0" w:colLast="0"/>
      <w:bookmarkEnd w:id="10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11" w:name="_heading=h.cpiw0cee2tf5" w:colFirst="0" w:colLast="0"/>
      <w:bookmarkEnd w:id="11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12" w:name="_heading=h.n9vgwr8j9nsv" w:colFirst="0" w:colLast="0"/>
      <w:bookmarkEnd w:id="12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13" w:name="_heading=h.rf3p3got6f2z" w:colFirst="0" w:colLast="0"/>
      <w:bookmarkEnd w:id="13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14" w:name="_heading=h.k76eppvgbdeb" w:colFirst="0" w:colLast="0"/>
      <w:bookmarkEnd w:id="14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15" w:name="_heading=h.mgs10r7424tz" w:colFirst="0" w:colLast="0"/>
      <w:bookmarkEnd w:id="15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16" w:name="_heading=h.7rc58bvw619y" w:colFirst="0" w:colLast="0"/>
      <w:bookmarkEnd w:id="16"/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17" w:name="_heading=h.bsdljs1d5z3y" w:colFirst="0" w:colLast="0"/>
      <w:bookmarkEnd w:id="17"/>
    </w:p>
    <w:p w:rsidR="00197ABD" w:rsidRDefault="00E436E0">
      <w:pPr>
        <w:pStyle w:val="Ttulo1"/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:rsidR="00197ABD" w:rsidRDefault="00E436E0">
      <w:pPr>
        <w:pStyle w:val="Ttulo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5. Cronograma de atividades</w:t>
      </w:r>
    </w:p>
    <w:p w:rsidR="00197ABD" w:rsidRDefault="00E43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Revisão bibliográfica dos debates sobre linguagem neutra - setembro/novembro 2022.</w:t>
      </w:r>
    </w:p>
    <w:p w:rsidR="00197ABD" w:rsidRDefault="00E436E0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Contextualização das resistências à linguagem neutra a partir da a</w:t>
      </w:r>
      <w:r>
        <w:rPr>
          <w:rFonts w:ascii="Arial" w:eastAsia="Arial" w:hAnsi="Arial" w:cs="Arial"/>
          <w:sz w:val="24"/>
          <w:szCs w:val="24"/>
        </w:rPr>
        <w:t xml:space="preserve">nálise de estudos de dados sobre políticas </w:t>
      </w:r>
      <w:proofErr w:type="spellStart"/>
      <w:r>
        <w:rPr>
          <w:rFonts w:ascii="Arial" w:eastAsia="Arial" w:hAnsi="Arial" w:cs="Arial"/>
          <w:sz w:val="24"/>
          <w:szCs w:val="24"/>
        </w:rPr>
        <w:t>antigênero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ao redor do mundo a partir de relatórios disponibilizados pelo Observatório de Sexualidade e Política (SPW), fórum global composto de pesquisadoras/es e ativistas de vários países e regiões do mundo – d</w:t>
      </w:r>
      <w:r>
        <w:rPr>
          <w:rFonts w:ascii="Arial" w:eastAsia="Arial" w:hAnsi="Arial" w:cs="Arial"/>
          <w:sz w:val="24"/>
          <w:szCs w:val="24"/>
        </w:rPr>
        <w:t>ezembro 2022/fevereiro 2023.</w:t>
      </w:r>
    </w:p>
    <w:p w:rsidR="00197ABD" w:rsidRDefault="00E43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Estudo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textos selecionados dos livros </w:t>
      </w:r>
      <w:r>
        <w:rPr>
          <w:rFonts w:ascii="Arial" w:eastAsia="Arial" w:hAnsi="Arial" w:cs="Arial"/>
          <w:i/>
          <w:sz w:val="24"/>
          <w:szCs w:val="24"/>
        </w:rPr>
        <w:t xml:space="preserve">Discurso de Ódio, </w:t>
      </w:r>
      <w:r>
        <w:rPr>
          <w:rFonts w:ascii="Arial" w:eastAsia="Arial" w:hAnsi="Arial" w:cs="Arial"/>
          <w:i/>
          <w:color w:val="000000"/>
          <w:sz w:val="24"/>
          <w:szCs w:val="24"/>
        </w:rPr>
        <w:t>Relatar a Si Mesmo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Problemas de Gênero,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Judith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Butler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Fevereiro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aio 2023. </w:t>
      </w:r>
    </w:p>
    <w:p w:rsidR="00197ABD" w:rsidRDefault="00E43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Finalização do relatório parcial – </w:t>
      </w:r>
      <w:r>
        <w:rPr>
          <w:rFonts w:ascii="Arial" w:eastAsia="Arial" w:hAnsi="Arial" w:cs="Arial"/>
          <w:sz w:val="24"/>
          <w:szCs w:val="24"/>
        </w:rPr>
        <w:t>Março/</w:t>
      </w:r>
      <w:r>
        <w:rPr>
          <w:rFonts w:ascii="Arial" w:eastAsia="Arial" w:hAnsi="Arial" w:cs="Arial"/>
          <w:color w:val="000000"/>
          <w:sz w:val="24"/>
          <w:szCs w:val="24"/>
        </w:rPr>
        <w:t>2023.</w:t>
      </w:r>
    </w:p>
    <w:p w:rsidR="00197ABD" w:rsidRDefault="00E43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Discussão e articulação dos debates so</w:t>
      </w:r>
      <w:r>
        <w:rPr>
          <w:rFonts w:ascii="Arial" w:eastAsia="Arial" w:hAnsi="Arial" w:cs="Arial"/>
          <w:sz w:val="24"/>
          <w:szCs w:val="24"/>
        </w:rPr>
        <w:t xml:space="preserve">bre linguagem neutra a partir da proposta de Judith </w:t>
      </w:r>
      <w:proofErr w:type="spellStart"/>
      <w:r>
        <w:rPr>
          <w:rFonts w:ascii="Arial" w:eastAsia="Arial" w:hAnsi="Arial" w:cs="Arial"/>
          <w:sz w:val="24"/>
          <w:szCs w:val="24"/>
        </w:rPr>
        <w:t>Butler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nos textos estudados. Junho/Setembro 2023</w:t>
      </w:r>
    </w:p>
    <w:p w:rsidR="00197ABD" w:rsidRDefault="00E43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Finalização do artigo resultante da pesquisa e do relatório final – </w:t>
      </w:r>
      <w:r>
        <w:rPr>
          <w:rFonts w:ascii="Arial" w:eastAsia="Arial" w:hAnsi="Arial" w:cs="Arial"/>
          <w:sz w:val="24"/>
          <w:szCs w:val="24"/>
        </w:rPr>
        <w:t>Setembro/2023.</w:t>
      </w:r>
    </w:p>
    <w:p w:rsidR="00197ABD" w:rsidRDefault="00197ABD">
      <w:pPr>
        <w:rPr>
          <w:rFonts w:ascii="Arial" w:eastAsia="Arial" w:hAnsi="Arial" w:cs="Arial"/>
          <w:sz w:val="24"/>
          <w:szCs w:val="24"/>
        </w:rPr>
      </w:pPr>
      <w:bookmarkStart w:id="18" w:name="_heading=h.3dy6vkm" w:colFirst="0" w:colLast="0"/>
      <w:bookmarkEnd w:id="18"/>
    </w:p>
    <w:tbl>
      <w:tblPr>
        <w:tblStyle w:val="a"/>
        <w:tblW w:w="87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525"/>
        <w:gridCol w:w="660"/>
        <w:gridCol w:w="660"/>
        <w:gridCol w:w="660"/>
        <w:gridCol w:w="660"/>
        <w:gridCol w:w="795"/>
        <w:gridCol w:w="525"/>
        <w:gridCol w:w="660"/>
        <w:gridCol w:w="660"/>
        <w:gridCol w:w="660"/>
        <w:gridCol w:w="660"/>
        <w:gridCol w:w="660"/>
      </w:tblGrid>
      <w:tr w:rsidR="00197ABD">
        <w:trPr>
          <w:trHeight w:val="215"/>
          <w:tblHeader/>
          <w:jc w:val="center"/>
        </w:trPr>
        <w:tc>
          <w:tcPr>
            <w:tcW w:w="94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5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Mês</w:t>
            </w:r>
          </w:p>
        </w:tc>
        <w:tc>
          <w:tcPr>
            <w:tcW w:w="5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97ABD">
        <w:trPr>
          <w:trHeight w:val="626"/>
          <w:tblHeader/>
          <w:jc w:val="center"/>
        </w:trPr>
        <w:tc>
          <w:tcPr>
            <w:tcW w:w="94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Etapa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</w:tr>
      <w:tr w:rsidR="00197ABD">
        <w:trPr>
          <w:trHeight w:val="485"/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97ABD">
        <w:trPr>
          <w:trHeight w:val="485"/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97ABD">
        <w:trPr>
          <w:trHeight w:val="485"/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97ABD">
        <w:trPr>
          <w:trHeight w:val="485"/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97ABD">
        <w:trPr>
          <w:trHeight w:val="485"/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197ABD">
        <w:trPr>
          <w:trHeight w:val="485"/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197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ABD" w:rsidRDefault="00E43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197ABD" w:rsidRDefault="00197ABD">
      <w:pPr>
        <w:pStyle w:val="Ttulo1"/>
        <w:rPr>
          <w:rFonts w:ascii="Arial" w:eastAsia="Arial" w:hAnsi="Arial" w:cs="Arial"/>
          <w:b/>
          <w:sz w:val="26"/>
          <w:szCs w:val="26"/>
        </w:rPr>
      </w:pPr>
    </w:p>
    <w:p w:rsidR="00197ABD" w:rsidRDefault="00197ABD"/>
    <w:p w:rsidR="00197ABD" w:rsidRDefault="00197ABD">
      <w:pPr>
        <w:pStyle w:val="Ttulo1"/>
        <w:rPr>
          <w:rFonts w:ascii="Arial" w:eastAsia="Arial" w:hAnsi="Arial" w:cs="Arial"/>
          <w:b/>
          <w:sz w:val="26"/>
          <w:szCs w:val="26"/>
        </w:rPr>
      </w:pPr>
    </w:p>
    <w:p w:rsidR="00197ABD" w:rsidRDefault="00197ABD">
      <w:pPr>
        <w:pStyle w:val="Ttulo1"/>
        <w:rPr>
          <w:rFonts w:ascii="Arial" w:eastAsia="Arial" w:hAnsi="Arial" w:cs="Arial"/>
          <w:b/>
          <w:sz w:val="26"/>
          <w:szCs w:val="26"/>
        </w:rPr>
      </w:pPr>
    </w:p>
    <w:p w:rsidR="00197ABD" w:rsidRDefault="00197ABD">
      <w:pPr>
        <w:pStyle w:val="Ttulo1"/>
        <w:rPr>
          <w:rFonts w:ascii="Arial" w:eastAsia="Arial" w:hAnsi="Arial" w:cs="Arial"/>
          <w:b/>
          <w:sz w:val="26"/>
          <w:szCs w:val="26"/>
        </w:rPr>
      </w:pPr>
    </w:p>
    <w:p w:rsidR="00197ABD" w:rsidRDefault="00E436E0">
      <w:pPr>
        <w:pStyle w:val="Ttulo1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7. Referências</w:t>
      </w:r>
    </w:p>
    <w:p w:rsidR="00197ABD" w:rsidRDefault="00E436E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ABIA - Observatório de Políticas de Sexualidade; Ação Educativa; Gênero e Educação; ABGLT; ANTRA; CLADEM; CONECTAS; Núcleo de Direitos Humanos e Cidadania LGBT+ da Universidade Federal de Minas Gerais; IPAS. OFENSIVAS ANTIGÊNERO NO BRASIL: POLÍTICAS DE EST</w:t>
      </w:r>
      <w:r>
        <w:rPr>
          <w:rFonts w:ascii="Arial" w:eastAsia="Arial" w:hAnsi="Arial" w:cs="Arial"/>
          <w:sz w:val="24"/>
          <w:szCs w:val="24"/>
        </w:rPr>
        <w:t xml:space="preserve">ADO, LEGISLAÇÃO, MOBILIZAÇÃO SOCIAL. Brasil. 2021. Disponível em &lt; </w:t>
      </w:r>
      <w:hyperlink r:id="rId8">
        <w:r>
          <w:rPr>
            <w:rFonts w:ascii="Arial" w:eastAsia="Arial" w:hAnsi="Arial" w:cs="Arial"/>
            <w:color w:val="0066FF"/>
            <w:sz w:val="24"/>
            <w:szCs w:val="24"/>
            <w:u w:val="single"/>
          </w:rPr>
          <w:t>https://sxpolitics.org/ptbr/ofensivas-antigenero-no-bra</w:t>
        </w:r>
        <w:r>
          <w:rPr>
            <w:rFonts w:ascii="Arial" w:eastAsia="Arial" w:hAnsi="Arial" w:cs="Arial"/>
            <w:color w:val="0066FF"/>
            <w:sz w:val="24"/>
            <w:szCs w:val="24"/>
            <w:u w:val="single"/>
          </w:rPr>
          <w:t>sil-politicas-de-estado-legislacao-mobilizacao-social/12156</w:t>
        </w:r>
      </w:hyperlink>
      <w:r>
        <w:rPr>
          <w:rFonts w:ascii="Arial" w:eastAsia="Arial" w:hAnsi="Arial" w:cs="Arial"/>
          <w:sz w:val="24"/>
          <w:szCs w:val="24"/>
        </w:rPr>
        <w:t xml:space="preserve"> &gt; </w:t>
      </w:r>
    </w:p>
    <w:p w:rsidR="00197ABD" w:rsidRDefault="00E436E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9" w:name="_heading=h.1t3h5sf" w:colFirst="0" w:colLast="0"/>
      <w:bookmarkEnd w:id="19"/>
      <w:r>
        <w:rPr>
          <w:rFonts w:ascii="Arial" w:eastAsia="Arial" w:hAnsi="Arial" w:cs="Arial"/>
          <w:sz w:val="24"/>
          <w:szCs w:val="24"/>
        </w:rPr>
        <w:t xml:space="preserve">BUTLER, Judith. </w:t>
      </w:r>
      <w:r>
        <w:rPr>
          <w:rFonts w:ascii="Arial" w:eastAsia="Arial" w:hAnsi="Arial" w:cs="Arial"/>
          <w:i/>
          <w:sz w:val="24"/>
          <w:szCs w:val="24"/>
        </w:rPr>
        <w:t>Discurso de ódio: uma política do performativo</w:t>
      </w:r>
      <w:r>
        <w:rPr>
          <w:rFonts w:ascii="Arial" w:eastAsia="Arial" w:hAnsi="Arial" w:cs="Arial"/>
          <w:sz w:val="24"/>
          <w:szCs w:val="24"/>
        </w:rPr>
        <w:t xml:space="preserve">. Tradução de Roberta </w:t>
      </w:r>
      <w:proofErr w:type="spellStart"/>
      <w:r>
        <w:rPr>
          <w:rFonts w:ascii="Arial" w:eastAsia="Arial" w:hAnsi="Arial" w:cs="Arial"/>
          <w:sz w:val="24"/>
          <w:szCs w:val="24"/>
        </w:rPr>
        <w:t>Fabbri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Viscardi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São </w:t>
      </w:r>
      <w:proofErr w:type="gramStart"/>
      <w:r>
        <w:rPr>
          <w:rFonts w:ascii="Arial" w:eastAsia="Arial" w:hAnsi="Arial" w:cs="Arial"/>
          <w:sz w:val="24"/>
          <w:szCs w:val="24"/>
        </w:rPr>
        <w:t>Paulo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Editora Unesp Digital, 2021.</w:t>
      </w:r>
    </w:p>
    <w:p w:rsidR="00197ABD" w:rsidRDefault="00E436E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BUTLER, Judith. </w:t>
      </w:r>
      <w:r>
        <w:rPr>
          <w:rFonts w:ascii="Arial" w:eastAsia="Arial" w:hAnsi="Arial" w:cs="Arial"/>
          <w:i/>
          <w:sz w:val="24"/>
          <w:szCs w:val="24"/>
        </w:rPr>
        <w:t>Problemas de gênero: feminismo e su</w:t>
      </w:r>
      <w:r>
        <w:rPr>
          <w:rFonts w:ascii="Arial" w:eastAsia="Arial" w:hAnsi="Arial" w:cs="Arial"/>
          <w:i/>
          <w:sz w:val="24"/>
          <w:szCs w:val="24"/>
        </w:rPr>
        <w:t>bversão da identidade</w:t>
      </w:r>
      <w:r>
        <w:rPr>
          <w:rFonts w:ascii="Arial" w:eastAsia="Arial" w:hAnsi="Arial" w:cs="Arial"/>
          <w:sz w:val="24"/>
          <w:szCs w:val="24"/>
        </w:rPr>
        <w:t>. Tradução de Renato Aguiar. 1ª ed. – Rio de Janeiro: Civilização Brasileira, 2018.</w:t>
      </w:r>
    </w:p>
    <w:p w:rsidR="00197ABD" w:rsidRDefault="00E436E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BUTLER, Judith. </w:t>
      </w:r>
      <w:r>
        <w:rPr>
          <w:rFonts w:ascii="Arial" w:eastAsia="Arial" w:hAnsi="Arial" w:cs="Arial"/>
          <w:i/>
          <w:sz w:val="24"/>
          <w:szCs w:val="24"/>
        </w:rPr>
        <w:t>Relatar a si mesmo: crítica da violência ética</w:t>
      </w:r>
      <w:r>
        <w:rPr>
          <w:rFonts w:ascii="Arial" w:eastAsia="Arial" w:hAnsi="Arial" w:cs="Arial"/>
          <w:sz w:val="24"/>
          <w:szCs w:val="24"/>
        </w:rPr>
        <w:t xml:space="preserve">. Tradução de Rogério </w:t>
      </w:r>
      <w:proofErr w:type="spellStart"/>
      <w:r>
        <w:rPr>
          <w:rFonts w:ascii="Arial" w:eastAsia="Arial" w:hAnsi="Arial" w:cs="Arial"/>
          <w:sz w:val="24"/>
          <w:szCs w:val="24"/>
        </w:rPr>
        <w:t>Bettoni</w:t>
      </w:r>
      <w:proofErr w:type="spellEnd"/>
      <w:r>
        <w:rPr>
          <w:rFonts w:ascii="Arial" w:eastAsia="Arial" w:hAnsi="Arial" w:cs="Arial"/>
          <w:sz w:val="24"/>
          <w:szCs w:val="24"/>
        </w:rPr>
        <w:t>. 1ª ed. Belo Horizonte: Autêntica Editora, 2015.</w:t>
      </w:r>
    </w:p>
    <w:p w:rsidR="00197ABD" w:rsidRDefault="00E436E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CORRÊA, Sonia. Entrevista: a ofensiva </w:t>
      </w:r>
      <w:proofErr w:type="spellStart"/>
      <w:r>
        <w:rPr>
          <w:rFonts w:ascii="Arial" w:eastAsia="Arial" w:hAnsi="Arial" w:cs="Arial"/>
          <w:sz w:val="24"/>
          <w:szCs w:val="24"/>
        </w:rPr>
        <w:t>antigênero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como política de Estado. [Entrevista concedida a] Conectas. Conectas Direitos Humanos, São Paulo, março, 2020. Disponível em: &lt;</w:t>
      </w:r>
      <w:hyperlink r:id="rId9">
        <w:r>
          <w:rPr>
            <w:rFonts w:ascii="Arial" w:eastAsia="Arial" w:hAnsi="Arial" w:cs="Arial"/>
            <w:color w:val="0066FF"/>
            <w:sz w:val="24"/>
            <w:szCs w:val="24"/>
            <w:u w:val="single"/>
          </w:rPr>
          <w:t>https://www.conectas.org/noticias/ofensiva-antigenero-politica-estado/</w:t>
        </w:r>
      </w:hyperlink>
      <w:r>
        <w:rPr>
          <w:rFonts w:ascii="Arial" w:eastAsia="Arial" w:hAnsi="Arial" w:cs="Arial"/>
          <w:sz w:val="24"/>
          <w:szCs w:val="24"/>
        </w:rPr>
        <w:t>&gt;</w:t>
      </w:r>
    </w:p>
    <w:p w:rsidR="00197ABD" w:rsidRDefault="00E436E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LAU, </w:t>
      </w:r>
      <w:proofErr w:type="spellStart"/>
      <w:r>
        <w:rPr>
          <w:rFonts w:ascii="Arial" w:eastAsia="Arial" w:hAnsi="Arial" w:cs="Arial"/>
          <w:sz w:val="24"/>
          <w:szCs w:val="24"/>
        </w:rPr>
        <w:t>Héliton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O uso da linguagem neutra como visibilidade e inclusão para pessoas </w:t>
      </w:r>
      <w:proofErr w:type="spellStart"/>
      <w:r>
        <w:rPr>
          <w:rFonts w:ascii="Arial" w:eastAsia="Arial" w:hAnsi="Arial" w:cs="Arial"/>
          <w:sz w:val="24"/>
          <w:szCs w:val="24"/>
        </w:rPr>
        <w:t>trans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não-binárias na língua portuguesa: a voz “</w:t>
      </w:r>
      <w:proofErr w:type="spellStart"/>
      <w:r>
        <w:rPr>
          <w:rFonts w:ascii="Arial" w:eastAsia="Arial" w:hAnsi="Arial" w:cs="Arial"/>
          <w:sz w:val="24"/>
          <w:szCs w:val="24"/>
        </w:rPr>
        <w:t>del@s</w:t>
      </w:r>
      <w:proofErr w:type="spellEnd"/>
      <w:r>
        <w:rPr>
          <w:rFonts w:ascii="Arial" w:eastAsia="Arial" w:hAnsi="Arial" w:cs="Arial"/>
          <w:sz w:val="24"/>
          <w:szCs w:val="24"/>
        </w:rPr>
        <w:t>” ou “</w:t>
      </w:r>
      <w:proofErr w:type="spellStart"/>
      <w:r>
        <w:rPr>
          <w:rFonts w:ascii="Arial" w:eastAsia="Arial" w:hAnsi="Arial" w:cs="Arial"/>
          <w:sz w:val="24"/>
          <w:szCs w:val="24"/>
        </w:rPr>
        <w:t>delxs</w:t>
      </w:r>
      <w:proofErr w:type="spellEnd"/>
      <w:r>
        <w:rPr>
          <w:rFonts w:ascii="Arial" w:eastAsia="Arial" w:hAnsi="Arial" w:cs="Arial"/>
          <w:sz w:val="24"/>
          <w:szCs w:val="24"/>
        </w:rPr>
        <w:t>”? Não! A voz “</w:t>
      </w:r>
      <w:proofErr w:type="spellStart"/>
      <w:r>
        <w:rPr>
          <w:rFonts w:ascii="Arial" w:eastAsia="Arial" w:hAnsi="Arial" w:cs="Arial"/>
          <w:sz w:val="24"/>
          <w:szCs w:val="24"/>
        </w:rPr>
        <w:t>delus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”. In: </w:t>
      </w:r>
      <w:r>
        <w:rPr>
          <w:rFonts w:ascii="Arial" w:eastAsia="Arial" w:hAnsi="Arial" w:cs="Arial"/>
          <w:i/>
          <w:sz w:val="24"/>
          <w:szCs w:val="24"/>
        </w:rPr>
        <w:t>V</w:t>
      </w:r>
      <w:r>
        <w:rPr>
          <w:rFonts w:ascii="Arial" w:eastAsia="Arial" w:hAnsi="Arial" w:cs="Arial"/>
          <w:i/>
          <w:sz w:val="24"/>
          <w:szCs w:val="24"/>
        </w:rPr>
        <w:t xml:space="preserve"> Simpósio Internacional em Educação Sexual: saberes/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trans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/versais currículos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identitários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pluridades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de gênero</w:t>
      </w:r>
      <w:r>
        <w:rPr>
          <w:rFonts w:ascii="Arial" w:eastAsia="Arial" w:hAnsi="Arial" w:cs="Arial"/>
          <w:sz w:val="24"/>
          <w:szCs w:val="24"/>
        </w:rPr>
        <w:t xml:space="preserve">, 2017. Disponível em &lt; </w:t>
      </w:r>
      <w:hyperlink r:id="rId10">
        <w:r>
          <w:rPr>
            <w:rFonts w:ascii="Arial" w:eastAsia="Arial" w:hAnsi="Arial" w:cs="Arial"/>
            <w:color w:val="0066FF"/>
            <w:sz w:val="24"/>
            <w:szCs w:val="24"/>
            <w:u w:val="single"/>
          </w:rPr>
          <w:t>http://eventos.idvn.com.br/sies2017/trabalhos/3112/o-uso-da-linguagem-neutra-como-visibilidade-e-inclusao-para-pessoas-trans-nao-binarias-na-langua-portugue</w:t>
        </w:r>
        <w:r>
          <w:rPr>
            <w:rFonts w:ascii="Arial" w:eastAsia="Arial" w:hAnsi="Arial" w:cs="Arial"/>
            <w:color w:val="0066FF"/>
            <w:sz w:val="24"/>
            <w:szCs w:val="24"/>
            <w:u w:val="single"/>
          </w:rPr>
          <w:t>sa-a-voz-adelsa-ou-adelxsa-nao-a-voz-adelusa</w:t>
        </w:r>
      </w:hyperlink>
      <w:r>
        <w:rPr>
          <w:rFonts w:ascii="Arial" w:eastAsia="Arial" w:hAnsi="Arial" w:cs="Arial"/>
          <w:sz w:val="24"/>
          <w:szCs w:val="24"/>
        </w:rPr>
        <w:t xml:space="preserve"> &gt;</w:t>
      </w:r>
    </w:p>
    <w:sectPr w:rsidR="00197ABD">
      <w:headerReference w:type="firs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6E0" w:rsidRDefault="00E436E0">
      <w:pPr>
        <w:spacing w:after="0" w:line="240" w:lineRule="auto"/>
      </w:pPr>
      <w:r>
        <w:separator/>
      </w:r>
    </w:p>
  </w:endnote>
  <w:endnote w:type="continuationSeparator" w:id="0">
    <w:p w:rsidR="00E436E0" w:rsidRDefault="00E4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6E0" w:rsidRDefault="00E436E0">
      <w:pPr>
        <w:spacing w:after="0" w:line="240" w:lineRule="auto"/>
      </w:pPr>
      <w:r>
        <w:separator/>
      </w:r>
    </w:p>
  </w:footnote>
  <w:footnote w:type="continuationSeparator" w:id="0">
    <w:p w:rsidR="00E436E0" w:rsidRDefault="00E4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ABD" w:rsidRDefault="00197A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sz w:val="24"/>
        <w:szCs w:val="24"/>
      </w:rPr>
    </w:pPr>
  </w:p>
  <w:tbl>
    <w:tblPr>
      <w:tblStyle w:val="a0"/>
      <w:tblW w:w="8623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684"/>
      <w:gridCol w:w="6939"/>
    </w:tblGrid>
    <w:tr w:rsidR="00197ABD">
      <w:tc>
        <w:tcPr>
          <w:tcW w:w="1684" w:type="dxa"/>
        </w:tcPr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-6349</wp:posOffset>
                </wp:positionH>
                <wp:positionV relativeFrom="paragraph">
                  <wp:posOffset>179070</wp:posOffset>
                </wp:positionV>
                <wp:extent cx="932250" cy="720000"/>
                <wp:effectExtent l="0" t="0" r="0" b="0"/>
                <wp:wrapSquare wrapText="bothSides" distT="0" distB="0" distL="114300" distR="11430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250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9" w:type="dxa"/>
        </w:tcPr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Fundação Universidade Federal do ABC</w:t>
          </w:r>
        </w:p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Pró reitoria de pesquisa</w:t>
          </w:r>
        </w:p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Av. dos Estados, 5001, Santa Terezinha, Santo André/SP, CEP 09210-580</w:t>
          </w:r>
        </w:p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Bloco L, 3ºAndar, Fone (11) 3356-7617</w:t>
          </w:r>
        </w:p>
        <w:p w:rsidR="00197ABD" w:rsidRDefault="00E43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iniciacao@ufabc.edu.br</w:t>
          </w:r>
        </w:p>
        <w:p w:rsidR="00197ABD" w:rsidRDefault="00197A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</w:tbl>
  <w:p w:rsidR="00197ABD" w:rsidRDefault="00197A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97350"/>
    <w:multiLevelType w:val="multilevel"/>
    <w:tmpl w:val="44168D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89363E"/>
    <w:multiLevelType w:val="multilevel"/>
    <w:tmpl w:val="47CE2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02F4B"/>
    <w:multiLevelType w:val="multilevel"/>
    <w:tmpl w:val="0BE47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BD"/>
    <w:rsid w:val="00093261"/>
    <w:rsid w:val="00197ABD"/>
    <w:rsid w:val="006713EE"/>
    <w:rsid w:val="00E4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485FAD-48BC-49EE-81BD-6CC72855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EA5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9D8"/>
  </w:style>
  <w:style w:type="paragraph" w:styleId="Rodap">
    <w:name w:val="footer"/>
    <w:basedOn w:val="Normal"/>
    <w:link w:val="RodapChar"/>
    <w:uiPriority w:val="99"/>
    <w:unhideWhenUsed/>
    <w:rsid w:val="00EA5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9D8"/>
  </w:style>
  <w:style w:type="paragraph" w:styleId="Textodebalo">
    <w:name w:val="Balloon Text"/>
    <w:basedOn w:val="Normal"/>
    <w:link w:val="TextodebaloChar"/>
    <w:uiPriority w:val="99"/>
    <w:semiHidden/>
    <w:unhideWhenUsed/>
    <w:rsid w:val="00862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2F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3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B0DF9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0DF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97C76"/>
    <w:pPr>
      <w:spacing w:after="100"/>
    </w:pPr>
  </w:style>
  <w:style w:type="character" w:styleId="Hyperlink">
    <w:name w:val="Hyperlink"/>
    <w:basedOn w:val="Fontepargpadro"/>
    <w:uiPriority w:val="99"/>
    <w:unhideWhenUsed/>
    <w:rsid w:val="00497C76"/>
    <w:rPr>
      <w:color w:val="0066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5C7A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7052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4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540CE4"/>
    <w:rPr>
      <w:color w:val="666699" w:themeColor="followed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xpolitics.org/ptbr/ofensivas-antigenero-no-brasil-politicas-de-estado-legislacao-mobilizacao-social/1215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ventos.idvn.com.br/sies2017/trabalhos/3112/o-uso-da-linguagem-neutra-como-visibilidade-e-inclusao-para-pessoas-trans-nao-binarias-na-langua-portuguesa-a-voz-adelsa-ou-adelxsa-nao-a-voz-adelus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ectas.org/noticias/ofensiva-antigenero-politica-estad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gLgtzWRmj/xPsVxLF9z5KmZ6w==">AMUW2mVjVeZVK8C103tPTbET7omPcNuzj0tPsNKhvbzhZWfTkY/y7AGCQUCzJ2K4Im26IVPZXiBQf8MEFPP/nCyF9chYVkpJFic6OnhGTaoEYJNufkjPj7WebEPU/kBHPoLlpZq7vS6YIImFCVDWySq7o6u+1GMnZSQcCvPf24QFBlYmc5V4BFVGNjuSE29BTjjZRQWGW9vIE9Po2EKJQ3LsrPaVMSYSIN0bDfq26UEdtE0jL4/fVTNwcvcRzZn6z7btww9t+wyOPSvfESzk8bkh9s9Xfq6sjO89haFbHoRzrDke1XtBD3bbRQR0aa7S25Nh5150o8cybyo33jUfzRKGsLeLWL8IozbZ1lSt8L7RXK88G2NUMY0QjuR5JN8wFT5gv4lMi2jfNXpIraujVJ+vaghPlksM6f9E5n63pOwSDBYc7S03JslwSnkJ/XQINrNmuE+O2QSF1Y2fB8zyKcYK6mqrbCcp5N4LZrpSvYUM2efwQk9SLl1ea+wOEN2qs4/SkeIP7pZn4kOVcOpEjOsq1UoQ4kSq76SWP5vVq+k3iIf2+sksRzxarmHqfC/XBfxnngMmgH/7P1s7BhF/eWMLOxFDoFNA4rq78i/xv5e81+GJmsBJFY0ke574p2jg1mOQiAPs9fuTObd9WpSdLrlB1Z1UPlXnEBO2VsBdTMIlTOrpGwpqGPcmZA0yWAsrPRk7RikzdJ28fsWwQq+ibOWMJ8UggXfpTQq1PXV8vTv23OUBuzs+3FTDm5p+M4KeNiKjk/35kLHTPxkoK+W7Hp2kyK+uc69ZxXqu/uPUYCO/OZC3gnTM/3pEvdeTvH/SkOzudzRP/1mEv6P0HCIndDS10E+zsk0VnIKwRX2qTiOoHDtbMtHsscbd91DvtyOyYy/h82myo+NACJnvbfdp2domahRL0nFEXKdwBMtHDjtXATF95uRG7A3OSdFKoLITeVdHRQ4T/A0FMo78B3r7MDVKYT06dHz90PbzCHWazePJyJ2d21RsC9q/3ngzRKYjdvSYBmuLgMN+NR+nT0VZkZPsKy8lOQd7nKe0nmAdUXudSUe3jmpqq0LHY7dC9sgEi257XVY0HODvkmoDhlHgm92yhqcixtVWSOC5A2rM0wGh/Pcdyb14Is/KzMTZFh67JfzCB3Q4iBEHrdOI0qA31b5Psgk/VJ5Z9dbkvK9HAbDpMFluWJXQy4z0a0wlAWqN37LGyduyQxrXJsMf87sXXpeTM9jdVscgZwtkrOPdK1ZH3n5vhHakeqYiwFTzSE2tNzTWqF3XIWPmlqkpbxp8EVXQVZ4VXAfKNowvHzOHMKZ/lFpX9ivPe8esF+wh0TZXWToG/j6kNFokm/RasScajbnpsSK6X//OVMN5gl7CLF0zuLLOoFMG4R4+AD4uTdVMM0oqRb/wI0SmKnIeu5UqcLS7pV94YTIkIEiaCm3o+UIw7krtnOCrsy4xUbefNExsAb+FoQtjvGWbsUTGMawPqfVyneZoNXDM0qmDd5jfZMRAVIwzHfy9SH1PXXBcaLtpidaChJU0u5wbVsZ8qG2peuhF2FuknmXsrlMno2rnr+Tqe6yOv8ud8/Oyd1Y5FVAxzb0zEyTkuTYrVoXICxbXZFZpFGTU6IpjM3ic4N+qv74DOAH7dzzn9Y4hu5b7eGaH4gWfUHx/DLq+IA3XmT1/FeumcCRYWQTsRdVKONDArSzMWhTNXYq9FosnOUcPncnAcGkWrd+SJImhUgEsjqqPyQyMoEi9+s0gNa552IfaHu1JcF7Hovpk5S6UefXi0EbcMj9h24FIegoaGgSZFNyNPB+utcQprSXP6jf71qU5GVf2TokRcXCaLnD0H9W+8/kA/eRQrzL4eP8UQzqKYXGtAh4MiRJ1Vd53l58JHpSWrxaHu+rMe+Cv0eMVcQAp/tyDKBDw+S6xLPGG1dNo1JOfX1+kulqS9f/nJLb7WkUby0erKHluSPVN7XjdRyvsyQ6HwA0m0QXYhe302DXAN7B1Skjn7GFU5NuyrmdpsFfI7ngGgmrZz73BPcHPROtRSn03fmR/q/xFDXJlkc6BMOhKJv4JSP+fgYDI4Hellq0mU0lewhKUiVdD7c+OsIYFBI/fbRgnvkSKpTSVe8Nb1F13kri/51CBw20fQ1Ef0fQ/zEYbims1nMZa6bogDnY/Dd4AkS8AC2bFV0ZiZgLhemMABmkckMK+bdrecquQ/xKS/PfsTxrHqATZ9Xm9qf3Ilj2XFSP53+2GNeRwivWoDyG4w8bI0G4apy6Hwdd5J7qA2HRK+5ehQgg2/kXyVJZj9wz1wpO73lrqM12Mb3miMpVPVTzrrRruX2zm871d5gIraJGlw5NV8G03AcmE0oHjTP/im9NpHe5FwVlMugcxhHOY6JMQzWsKy3Ynosq608fYCC6K6oCEJ2Yt20uT9uDlEqKl/hn2k5DHhKq88yPYgHf6+Zmc87GIvLGO9H87A6hpocKQ02kN77NuGe9d0Y3upVkPvNy2uAX8gDc7bThVlT/Tuk5oWI+hwXnKhTLJNoS5kUkURLi3ZFVU6Xjad8AxBZEMOBPqUXFAnSyBs9r22eeAvkp2OwRpzYhC6+OjfyS0ftNRLqzxcV/g9ZvVrpNWpprxcwwK2dNypAfbOPWuYno98/fMfwkob3GA3gyKruCqL8MCXMfPsEsyuaBJgjvtL8Hq3lNqAw+HIbBP8I8T8sX7Om6BuHN8rPC1ZX+C831qU2EdHkIQV4vJc0sFSZOhtHDIkCq3mjo5CIk9v0CL1JpGxj7GiMZfz8+0PpzkSQfA+UR7sHnDr8w4Jv1mxPY3pC+Tiv4LedgITwhWA25K3+AyuUJ/ABh/vCvei/Y/EBpOlMW60Zk4obUEBQFXAhjCYCqHD7VCECtrljNmOKmpQDKSJ3KqNHGVQbxHZuWSzYzzUKa7SwweUtYRJMDxsfbk69wx6ZNtiynw2/vDUYnrlspGc+Hi4Oq9OngNXzTQxwHJ67BfBdAAO1Hkh65AAoufXHX+WsvI2MghanZhygEQ2UCyklfoAnq46Tp8btGj6rFGg6QtYlPmBAP6n1VjLkPlXd8H0Xlf8LQvpVQs7qPGa2fzAxysffHNvexg7v0kJIpPtu/ihuQQJwnx7GEfoAs1NkKilfdveK7wA09msqI6w2NfNLem6RYxq91qXIlPkRoDbNY2E3vKt5VMWZ9jz96738lXPT15jaQFSfVwWs555C1H7M8YuhUiFr5x3UXJlntJ/K7X0im2TIftsQuoxOWrQ8VR5bqFE+H44d7V7j1dimb4MqiYWZgf6MwiIne7mysnMruWHRWbXQRx+ISgvj/MqIqKrhldDL7V2EGV6cOu0MhQ5wmtl4wuM5LO6kQLqZ9pXGQJroo0K4SgF7NKkroPTsqch2XrfONC/KcseTJPjAsJF6P1yVqJcRgu9yovUJOBce8W20fd2EeRz3+LxYNFchqPVIMccvdO8/G4vb4T3AgGQnBcSptejGwTq+7masu7OEozthg4/kCSZ3LlCtfMWXaTljlgIBvwB+sSMnL3LW3k3Tf8Qlu3KvEbxoNF7psisPtvRV6uRaFcBJRyTBXxVtBxzWCB2f7MkdpeNPOgxJGhSD8ZjmTOCQr9CQu880F8h9YeI+6m6McLTIrmdeUD+kohS6DnEY19nBdMMv6x48Zf4TtOKK9JC1/ssQwZJZ4T7/O3/t1BT7sOZPUpB+/zn162IG+NQoKJbMaags4Rf7Sqm6fE/SQ8BvsnESN3jiAdMlBh+zFOKFsjn61CwNQFHqg5GIzVbyk9phrsnNmmIpjCQrxYxXguwUwTKmqZn+hPjn44K2W9nDPXvQM4oNadrTCGWMasuPvJrnKsTT5q0KfMax8IJehlNKLZxywenHYl+bRi2eoxHpil22mjIvApPM4Z6An/B/m8wHDZZIdjug5ASYVQBGDD7exRXs0xpTpR3DL83nNUA0Q0DyGFK0WAWekElUWJ/+W7n8SQGuq5NbiayCqVgw/DUbuKIdrLnFIkbrTAbpikROWIMS87EoAbyk7wPkBWUdQ22xKeTM2cDZoqIPN0FYB89VpiSUTZgAJw3ru5dVmS74D+zVb9XJKJ2xvOMkWPd+N8/B09Ur9ZlfI6ArbZdFZUBRCBLz1mEM3ePFal15R8yQ1leHhzsGAsi8dq6CfxtcuqBMg2dQDtSiw+QzrHCFKZ+JcR0WeE/Gpjtj4YcVOTKFLdNxB5W+HSJ6gI/UiltOgB8h0Qp7DJvkeaLIESWDhNQhz4sxlRXUlUThh9us59cl/eV2D36Lun3il4xMxahUDnrHeBeIi6IDTAHZLvcUZ3x4CMNYENvVeq88/OwucD+skn5rZpTX+QueS2FHV0Mr6TfweXGHoOrRCoymWExf8wSk6QckdJ663CdWz0L0R6GohIWlfIfSm7AL09YPpiAWQJLXte8ahWaKcLL08CQKbdB0J4KQDGds8ZHOJ4QtK4t79rCXZVstn3IO4tQA1NFL6NAGRm9n2R51VyqNtWtr9y9QY3dlGzB3asMfAxiB+5ZkiDZcnUrQ9uDWM54plKmbTn7CYTzrQrMrhz4uMKrGhzBv/71IrDsfB++6zoNgBxbVWRapCRp71n8SBfT+O9Gg2wuAozTX6mtsi6tq0KGIEHPwI0pQOHvaT/D1Dxg62GdEWSvwucSc0pLdqSJbYSPieOg09QDZZN3nOEs1v/Uff17XuJ900XgiE8msiGXIJT7djkmOj9d4WGSKPJ2r31ikeQaNzRBtEieIO7FDdwGgLGxcuvbN1fxgzjzbZM+CsFYKHhoI9hM9aV5L+3vznjXZF5scDGu38Pk/RxkAT748U0zvNxo5jlUlbD0X/QClBsSG6/Wus/DqQ77+4TRE/ePO4KYtPYKwOiURc/AKg8rgJDBMB59ikodjT2v22xPwMyuDS+CGlm8tsOrn5yl5NLN+tW6Vzv/GCbPMYMZ7Nib7a8GR2A5E/wcUp49yBbmsZHuwkW6XzKyE3CmQho6UVSMJTk1NtXlUFPT1yomoVbhBI75+7CfF0rtAPOQW7J4lb7wombPGRAxo/Jd9oPeUs6vfQE7hb2tCwcLTT6/HcRA3ANvf3nr5g+KcPwLM+ykwLcwVk5bI9RWGJADAICiwlWxAEATNwhFjLvVcjwEyNQB9HeaJuj/sTdDZS3EwYLhX0ZDHbsSMS8WcyrGMfV+NWDAjSul9Syl/cTdPvftoeAUfPhbaLR+JYLO0QzYKogXAvfrk5X56LJQNfxPMoySILiFZ3awJhdtd4Gt05UJbFUis4Su38hWoRuDoXeLEIcd0Wr/jFqL+1EMYdSDYXKaAIGXWMFQfKdqylzXKxb2lnZc3LU5Xio8paL+SyQQuYZE2PugN67JpYpJvDavx7bQiRtZxEPygWTqXT1a/4I/0jPcl/G3H4fzsVvf6JGupEH7pr71GKJtplv5p4HG6kBI/D2LJEeTse6pR8cvxi763j+a77COJwKAvP0EhO7qwxymSE8m6xOj4Et+KxHi8fGFExWC3VQRh+sPUp6qBHiEmFhH2+TAQv5P/oRQ3e47j/dHD3j5NTngOaBCAVXB3lhMp2PrD72nj3l0hSkdwvTZ2blZ8mT+4+Y4iOrPQfQhj09HzOLE+zwwOt/5mMAxbnBylwz/ipw5bTWJb5urPEDG8gyDY6/rUcHPOykPKsP+cqgMvh4sVNd6awq1FPDSLlFqLs7l+MQwSQiHgGxbM/SwiKEKj0GGgM1qAxiR4+slIwy1OaTpb6XRkvnw2lIYbp6w1sJxenq3RyZQ0nRdvvCeqFGkZvY7pgegSFtLv3y31x/aQ1mxQS8pMJn7X2PiwxmSAWaWsHn1tZ5GK3HJSp2gBBxr/VDPrwlaZhj8ySLLZqypl/pyLpoAiikiBrpR32ayQLl4jETs8ZgOEO9Du1VU5juj+pIn0HvxwiVwKjhjQL3JM1VLlgr++zddrfA/Uziq+yzAKttDk2gz42HPMcnQ78XBKqYu3MNgo/jREQCJH9v59rorhHAZ1dOZSIM7Vxb0wa6D+TXZ5iUZcTjtnUAR1y0ddG7r9NJUniA9YuXECScS06DDd/SrYi5YV/VfZ6cxFHWA+x6tIQ9mMJFMFRd8YERLWjw1bYemw6Md01LRRk/BiRxQ5ltK6EpjG9+oMdgeTqOLbGyZ07iBMpPV6oEXeAQFzm3GPdyC/j3ivgzsAV1wh+lsB4et6vPtdeDyGFaoIqNftvAH6OliPCYWeiyDCRQaWfxY5j+U1LzF1gJlpvrwjyJN6cqE5eAHKu23FfqoqHRzEsCzNQTH3e+pzXk4U9OqxWQIWxCYAfF1fCh3sx9p+WDsCYs+Ksraq8m72FNCQs06J2R0yjW7t+WGIJhKcreTN8PebcHHCMtRaAH1JBthLH5dvX1o5Aq3WsT1AynOiqjJJ1E4XXzgsx+N1O6rllnkY86qCNVDO7eVPNP2nJaXbEU+ez/5umr3WOoGgobPl+OfkuBuTi/mS8VsLfWXQFZb/o4gO1lC75tP1kISRTDzjakPc9fx8lxZ+we5nX6oroeTCa4nVrCKMgDSSbxRLvdieysUC74wYcwmBaXJiBIRLbcchz0FDYdN6CBPlc3/PYxMfiHRsiPMN7zBidyesQL8iX31+EZLHwipVftH3E49Xiv67g7WfL+zp7lC8IvDt/KSd86AQ+1DKx5scc1hr42ckxciBKzAemRi8SXMCdJwLn/Di226Q7uaoM8l08XIif4KQBWgMqKb/Ao0lF6DGKWosdXGYaMs+ponoHxUgg9CKxLE34ExpMo8IRiggbL3HFS1B4JifTe3Z850fAs+1ZoBYalq6kOUetrSGNMHP+lLHky1FpcKrCS5jEZ8bgFSqd2rOvM0N75eHt96JR6LadYDwc2Os2Nax/0ov+pOu/LGG/DSYcd7wJ4TjRf7QJEg4LwJlWpvdJQEbqiLtqIxj+Q6S7SMGma57qIzL7NTw8O76+O1jES7oNmyx4CsfJmHKK0B1EFfxI7AgecncigpB/EAbDMFUXK0bVki2KVFEfhUR0+a2qU5/GLij/nrgUZMtu7xR+W2ilOseaFODE7KfSXC6r+N5AI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1639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3</cp:revision>
  <dcterms:created xsi:type="dcterms:W3CDTF">2019-08-15T18:46:00Z</dcterms:created>
  <dcterms:modified xsi:type="dcterms:W3CDTF">2022-06-30T15:54:00Z</dcterms:modified>
</cp:coreProperties>
</file>