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1B6C" w14:textId="77777777" w:rsidR="00CA322E" w:rsidRDefault="00CA322E" w:rsidP="00092BB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43CEEED" w14:textId="77777777" w:rsidR="00D973D4" w:rsidRDefault="00D973D4" w:rsidP="00CA322E">
      <w:pPr>
        <w:spacing w:after="0" w:line="240" w:lineRule="auto"/>
        <w:ind w:firstLine="709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A45D98F" w14:textId="77777777" w:rsidR="00D973D4" w:rsidRDefault="00D973D4" w:rsidP="00CA322E">
      <w:pPr>
        <w:spacing w:after="0" w:line="240" w:lineRule="auto"/>
        <w:ind w:firstLine="709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67A3FF3" w14:textId="77777777" w:rsidR="00D973D4" w:rsidRDefault="00D973D4" w:rsidP="00CA322E">
      <w:pPr>
        <w:spacing w:after="0" w:line="240" w:lineRule="auto"/>
        <w:ind w:firstLine="709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5AE6A6E" w14:textId="77777777" w:rsidR="00092BB9" w:rsidRDefault="00092BB9" w:rsidP="00092BB9">
      <w:pPr>
        <w:spacing w:after="0" w:line="360" w:lineRule="auto"/>
        <w:ind w:firstLine="709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BCAB181" w14:textId="77777777" w:rsidR="00092BB9" w:rsidRDefault="00092BB9" w:rsidP="00092BB9">
      <w:pPr>
        <w:spacing w:after="0" w:line="360" w:lineRule="auto"/>
        <w:ind w:firstLine="709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8D04EC" w14:textId="77777777" w:rsidR="00092BB9" w:rsidRDefault="00092BB9" w:rsidP="00092BB9">
      <w:pPr>
        <w:spacing w:after="0" w:line="360" w:lineRule="auto"/>
        <w:ind w:firstLine="709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4DF528" w14:textId="77777777" w:rsidR="00092BB9" w:rsidRDefault="00092BB9" w:rsidP="00092BB9">
      <w:pPr>
        <w:spacing w:after="0" w:line="360" w:lineRule="auto"/>
        <w:ind w:firstLine="709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71F2065" w14:textId="77777777" w:rsidR="00092BB9" w:rsidRDefault="00092BB9" w:rsidP="00092BB9">
      <w:pPr>
        <w:spacing w:after="0" w:line="360" w:lineRule="auto"/>
        <w:ind w:firstLine="709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4DD8DF" w14:textId="77777777" w:rsidR="00092BB9" w:rsidRDefault="00092BB9" w:rsidP="00092BB9">
      <w:pPr>
        <w:spacing w:after="0" w:line="360" w:lineRule="auto"/>
        <w:ind w:firstLine="709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5FCA6FE" w14:textId="5794E1C0" w:rsidR="00CA322E" w:rsidRDefault="00CA322E" w:rsidP="00092BB9">
      <w:pPr>
        <w:spacing w:after="0" w:line="360" w:lineRule="auto"/>
        <w:ind w:firstLine="709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Pré-projeto de </w:t>
      </w:r>
      <w:r w:rsidR="004218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Pesquisa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submetido para avaliação no Edital 04/2022 visando </w:t>
      </w:r>
      <w:r w:rsidR="00E563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à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obtenção de </w:t>
      </w:r>
      <w:r w:rsidR="004218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olsa</w:t>
      </w:r>
      <w:r w:rsidR="004218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Iniciação Científica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CNPq/UFABC</w:t>
      </w:r>
    </w:p>
    <w:p w14:paraId="5E5524C1" w14:textId="60F3D2C3" w:rsidR="00CA322E" w:rsidRPr="00092BB9" w:rsidRDefault="00CA322E" w:rsidP="00092BB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A322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91C0F18" w14:textId="77777777" w:rsidR="00CA322E" w:rsidRDefault="00CA322E" w:rsidP="00092BB9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5EEE026" w14:textId="77777777" w:rsidR="00D973D4" w:rsidRDefault="00D973D4" w:rsidP="00092BB9">
      <w:pPr>
        <w:spacing w:after="0" w:line="360" w:lineRule="auto"/>
        <w:ind w:firstLine="709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902E9BA" w14:textId="1021FB06" w:rsidR="00CA322E" w:rsidRPr="00CA322E" w:rsidRDefault="00CA322E" w:rsidP="00E563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Título do Projeto: </w:t>
      </w:r>
      <w:r w:rsidR="0037489B" w:rsidRPr="0037489B">
        <w:rPr>
          <w:rFonts w:ascii="Arial" w:eastAsia="Arial" w:hAnsi="Arial" w:cs="Arial"/>
          <w:sz w:val="24"/>
          <w:szCs w:val="24"/>
          <w:lang w:eastAsia="pt-BR"/>
        </w:rPr>
        <w:t>Inserção do universitário de baixa renda na pesquisa acadêmica</w:t>
      </w:r>
      <w:r w:rsidR="001D1512">
        <w:rPr>
          <w:rFonts w:ascii="Arial" w:eastAsia="Arial" w:hAnsi="Arial" w:cs="Arial"/>
          <w:sz w:val="24"/>
          <w:szCs w:val="24"/>
          <w:lang w:eastAsia="pt-BR"/>
        </w:rPr>
        <w:t>:</w:t>
      </w:r>
      <w:r w:rsidR="0037489B" w:rsidRPr="0037489B">
        <w:rPr>
          <w:rFonts w:ascii="Arial" w:eastAsia="Arial" w:hAnsi="Arial" w:cs="Arial"/>
          <w:sz w:val="24"/>
          <w:szCs w:val="24"/>
          <w:lang w:eastAsia="pt-BR"/>
        </w:rPr>
        <w:t xml:space="preserve"> motivações, potencialidades e desafios.</w:t>
      </w:r>
    </w:p>
    <w:p w14:paraId="1FCD471C" w14:textId="369E9173" w:rsidR="00CA322E" w:rsidRPr="00CA322E" w:rsidRDefault="00CA322E" w:rsidP="00E563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Palavras-chave do projeto: </w:t>
      </w:r>
      <w:r w:rsidR="0037489B" w:rsidRPr="0037489B">
        <w:rPr>
          <w:rFonts w:ascii="Arial" w:eastAsia="Arial" w:hAnsi="Arial" w:cs="Arial"/>
          <w:sz w:val="24"/>
          <w:szCs w:val="24"/>
          <w:lang w:eastAsia="pt-BR"/>
        </w:rPr>
        <w:t xml:space="preserve">Pesquisa acadêmica. Estudantes de Baixa Renda. Ensino Superior Público. Universidade Pública. </w:t>
      </w:r>
    </w:p>
    <w:p w14:paraId="212DBC0A" w14:textId="2F832A00" w:rsidR="00CA322E" w:rsidRDefault="00CA322E" w:rsidP="00E56349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Área de conhecimento do projeto:</w:t>
      </w:r>
      <w:r w:rsidR="0037489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bookmarkStart w:id="0" w:name="_Hlk107411759"/>
      <w:r w:rsidR="0037489B" w:rsidRPr="0037489B">
        <w:rPr>
          <w:rFonts w:ascii="Arial" w:eastAsia="Arial" w:hAnsi="Arial" w:cs="Arial"/>
          <w:sz w:val="24"/>
          <w:szCs w:val="24"/>
          <w:lang w:eastAsia="pt-BR"/>
        </w:rPr>
        <w:t>Políticas Públicas, Educação, Ensino Superior, Pesquisa Acadêmica.</w:t>
      </w:r>
      <w:bookmarkEnd w:id="0"/>
      <w:r w:rsidRPr="00CA32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Políticas Públicas, Educação, Ensino Superior, Pesquisa Acadêmica.</w:t>
      </w:r>
    </w:p>
    <w:p w14:paraId="06DBD2FC" w14:textId="77777777" w:rsidR="00CA322E" w:rsidRPr="00CA322E" w:rsidRDefault="00CA322E" w:rsidP="00092BB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57A3C6" w14:textId="77777777" w:rsidR="00B11B5F" w:rsidRDefault="00B11B5F" w:rsidP="00092BB9">
      <w:pPr>
        <w:spacing w:after="0" w:line="36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C7AC98" w14:textId="77777777" w:rsidR="00CA322E" w:rsidRPr="00CA322E" w:rsidRDefault="00CA322E" w:rsidP="00092B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Santo André</w:t>
      </w:r>
    </w:p>
    <w:p w14:paraId="2FB25551" w14:textId="77777777" w:rsidR="0042189E" w:rsidRDefault="0042189E" w:rsidP="00092BB9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434FDBE" w14:textId="76658528" w:rsidR="00CA322E" w:rsidRPr="00CA322E" w:rsidRDefault="00CA322E" w:rsidP="00092BB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2022</w:t>
      </w:r>
    </w:p>
    <w:p w14:paraId="7FF7102D" w14:textId="77777777" w:rsidR="00CA322E" w:rsidRPr="00CA322E" w:rsidRDefault="00CA322E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348A5B" w14:textId="77777777" w:rsidR="00CA322E" w:rsidRPr="00CA322E" w:rsidRDefault="00CA322E" w:rsidP="00092BB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Sumário</w:t>
      </w:r>
    </w:p>
    <w:p w14:paraId="27CF7E9B" w14:textId="77777777" w:rsidR="00CA322E" w:rsidRDefault="00CA322E" w:rsidP="00092BB9">
      <w:pPr>
        <w:spacing w:after="0" w:line="36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951852" w14:textId="4D4F762F" w:rsidR="00092BB9" w:rsidRPr="00092BB9" w:rsidRDefault="00CA322E" w:rsidP="00092B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Resumo ……………………………………………………………….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.........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</w:p>
    <w:p w14:paraId="064C00A6" w14:textId="0C900A8F" w:rsidR="00092BB9" w:rsidRPr="00092BB9" w:rsidRDefault="00CA322E" w:rsidP="00092B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="00F145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Introdução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Justificati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…………………………………………………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..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</w:p>
    <w:p w14:paraId="16CB4E4D" w14:textId="40A90A64" w:rsidR="00092BB9" w:rsidRPr="00092BB9" w:rsidRDefault="00CA322E" w:rsidP="00092B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Objetivos ……………………………………………………………………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92B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</w:t>
      </w:r>
    </w:p>
    <w:p w14:paraId="3C7B3116" w14:textId="5A0334D1" w:rsidR="00092BB9" w:rsidRPr="00092BB9" w:rsidRDefault="00CA322E" w:rsidP="00092B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 Metodologia………………………………………………………………….</w:t>
      </w:r>
      <w:r w:rsidR="00F145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</w:t>
      </w:r>
    </w:p>
    <w:p w14:paraId="558E1A1E" w14:textId="318EAFA5" w:rsidR="00092BB9" w:rsidRPr="00092BB9" w:rsidRDefault="00CA322E" w:rsidP="00092B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 Cronograma Previsto……………………………………………………….</w:t>
      </w:r>
      <w:r w:rsidR="00F145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</w:p>
    <w:p w14:paraId="4FE4BE45" w14:textId="59E99A57" w:rsidR="00CA322E" w:rsidRPr="00CA322E" w:rsidRDefault="00CA322E" w:rsidP="00092B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6. Referências……………………………………………………………..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..</w:t>
      </w:r>
      <w:r w:rsidR="00092B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....</w:t>
      </w:r>
      <w:r w:rsidR="00F145F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</w:t>
      </w:r>
    </w:p>
    <w:p w14:paraId="15644E96" w14:textId="53C47DCD" w:rsidR="00CA322E" w:rsidRPr="00CA322E" w:rsidRDefault="00CA322E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4278B16" w14:textId="77777777" w:rsidR="00CA322E" w:rsidRPr="00CA322E" w:rsidRDefault="00CA322E" w:rsidP="00092BB9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A322E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Resumo</w:t>
      </w:r>
    </w:p>
    <w:p w14:paraId="425E4049" w14:textId="77777777" w:rsidR="00CA322E" w:rsidRDefault="00CA322E" w:rsidP="00092BB9">
      <w:pPr>
        <w:spacing w:after="0" w:line="360" w:lineRule="auto"/>
        <w:ind w:left="-283" w:right="6" w:firstLine="70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0FA67B" w14:textId="4AFE76FD" w:rsidR="00CA322E" w:rsidRPr="00CA322E" w:rsidRDefault="00674048" w:rsidP="00092BB9">
      <w:pPr>
        <w:spacing w:after="0" w:line="360" w:lineRule="auto"/>
        <w:ind w:left="-283" w:right="6"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40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de pesquisa tem como mote principal compreender e analisar a realidade de estudantes de universidades públicas que possuem o interesse pela vida acadêmica, procurando verificar como se processa a vivência deste grupo na universidade, as motivações e os interesses que os levam a colocar no horizonte a área de pesquisa e ensino, além das dificuldades existentes para que tal objetivo ocorra com sucesso. De modo a atingir este fim, será feita uma análise do perfil dos estudantes de baixa renda que desejam seguir carreira no ensino superior, suas motivações e limitações nessa escolha e seu trajeto de vida até a decisão. Tal análise será conduzida considerando o atual financiamento e incentivo à pesquisa no Brasil, que vem decaindo nos últimos anos, procurando visualizar os desafios e impactos no objeto de investigação que pretendemos construir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3F728E35" w14:textId="2C35442C" w:rsidR="00CA322E" w:rsidRPr="00CA322E" w:rsidRDefault="00CA322E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C652B5" w14:textId="77777777" w:rsidR="00CA322E" w:rsidRPr="00CA322E" w:rsidRDefault="00CA322E" w:rsidP="00092BB9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40"/>
          <w:szCs w:val="40"/>
          <w:lang w:eastAsia="pt-BR"/>
        </w:rPr>
      </w:pPr>
      <w:r w:rsidRPr="00CA322E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Introdução e Justificativa</w:t>
      </w:r>
    </w:p>
    <w:p w14:paraId="3E06F6C2" w14:textId="77777777" w:rsidR="00661CC7" w:rsidRDefault="00661CC7" w:rsidP="00092BB9">
      <w:pPr>
        <w:spacing w:after="0" w:line="360" w:lineRule="auto"/>
        <w:ind w:left="-283" w:firstLine="70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BCE5CA" w14:textId="77777777" w:rsidR="0099116F" w:rsidRDefault="00CA322E" w:rsidP="00092BB9">
      <w:pPr>
        <w:spacing w:after="0" w:line="360" w:lineRule="auto"/>
        <w:ind w:left="-283" w:firstLine="70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acordo com dados da SBPC (Sociedade Brasileira para o Progresso da Ciência) obtidos pela Folha de São Paulo, as principais agências de fomento do governo federal, CAPES (Coordenação de Aperfeiçoamento de Pessoal de Nível Superior) e CNPq (Conselho Nacional de Desenvolvimento Científico e Tecnológico) têm uma perda de orçamento acumulada de 51% em seu orçamento nos últimos 10 anos. Esta falta de suporte à carreira científica, que vem sendo precarizada afeta de modo direto os estudantes em fase de graduação que se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interessam </w:t>
      </w:r>
      <w:r w:rsidR="004129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pela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pesquisa, que são o foco deste projeto, impactando nas condições materiais de permanência deles </w:t>
      </w:r>
      <w:r w:rsidR="008A5C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universidade pública</w:t>
      </w:r>
      <w:r w:rsidR="008A5C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graduandos e também como</w:t>
      </w:r>
      <w:r w:rsidR="001577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possíveis</w:t>
      </w:r>
      <w:r w:rsidR="008A5C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bolsistas.</w:t>
      </w:r>
      <w:r w:rsidR="006C13D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Assim, n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ão apenas os estudantes em destaque no presente projeto, em</w:t>
      </w:r>
      <w:r w:rsidR="0074317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fase de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iniciação científica, mas também os níveis mais avançados de formação intelectual no país vêm sofrendo com a falta de verbas e financiamento. A situação fica mais aguda ao analisarmos o último biênio, 2020 e 2021, no qual além da diminuição d</w:t>
      </w:r>
      <w:r w:rsidR="006740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suporte à ciência e educação como um todo</w:t>
      </w:r>
      <w:r w:rsidR="006C13D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ainda houve o impacto da pandemia da Covid-19</w:t>
      </w:r>
      <w:r w:rsidR="006740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fez diminuir pela primeira vez</w:t>
      </w:r>
      <w:r w:rsidR="009023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desde 1998</w:t>
      </w:r>
      <w:r w:rsidR="009023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número de títulos de doutores de um patamar de 24.422 em 2019 para 20.066 em 2020</w:t>
      </w:r>
      <w:r w:rsidR="00085B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023B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(MARQUES, 2022)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 Ainda segundo a matéria, é levantada a defasagem gritante no reajuste das bolsas das agências federais Capes e CNPq, responsáveis por cerca de um terço dos matriculados no país</w:t>
      </w:r>
      <w:r w:rsidR="007A63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A63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inflação medida pelo índice IGP-M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alcan</w:t>
      </w:r>
      <w:r w:rsidR="007A63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çou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patamar de 117% desde o último reajuste, o que claramente torna o sustento dos mestrandos e doutorandos quase inviável a depender das suas obrigações e lugar onde vivem, que se forem em centros </w:t>
      </w:r>
      <w:r w:rsidR="009E12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urbanos mais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E12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desenvolvidos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país possuem custo de vida elevado. É destacado </w:t>
      </w:r>
      <w:r w:rsidR="009E12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pelo autor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fala de Flávia Calé da Silva, presidente da Associação Nacional de Pós-graduandos que diz que grande número de alunos foram atraídos para a pós-graduação, no entanto: "não se preocupou em estabelecer mecanismos para financiá-los adequadamente. Tanto que as bolsas de agências federais estão sem reajuste há nove anos"</w:t>
      </w:r>
      <w:r w:rsidR="009E12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20100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(MARQUES, 2022)</w:t>
      </w:r>
      <w:r w:rsidR="0020100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9E12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 realidade </w:t>
      </w:r>
      <w:r w:rsidR="009E124C"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subfinanciamento</w:t>
      </w:r>
      <w:r w:rsidR="009E124C" w:rsidRPr="00902E7C">
        <w:t xml:space="preserve">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aplica-se para os graduandos </w:t>
      </w:r>
      <w:r w:rsidR="009E12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iniciação científica da mesma forma, </w:t>
      </w:r>
      <w:r w:rsidR="009E12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impactando, </w:t>
      </w:r>
      <w:r w:rsidR="00902E7C" w:rsidRPr="00902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modo direto</w:t>
      </w:r>
      <w:r w:rsidR="009E124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902E7C" w:rsidRPr="00902E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estudantes em fase de graduação que se interessam pela pesquisa.</w:t>
      </w:r>
      <w:r w:rsidR="00201009" w:rsidRPr="0020100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01009" w:rsidRPr="0020100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 consideramos estudantes de baixa renda, negros, de escola pública, mulheres, os impactos são mais dramáticos, tanto nas condições materiais de permanência quanto nos possíveis planos e interesses em prosseguir suas trajetórias de escolaridade em níveis mais elevados como a pós-graduação.</w:t>
      </w:r>
      <w:r w:rsidR="00D13E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52BCC" w:rsidRPr="00852B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Alunos e alunas que possuem vulnerabilidades econômicas encontram dificuldades de fruição da universidade mesmo antes de tentarem a carreira na pesquisa acadêmica</w:t>
      </w:r>
      <w:r w:rsidR="001523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um primeiro momento</w:t>
      </w:r>
      <w:r w:rsidR="001523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suporte financeiro familiar</w:t>
      </w:r>
      <w:r w:rsidR="00C923B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852BCC" w:rsidRPr="00852B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tempo, que fica escasso à medida que a necessidade destes indivíduos de contribuir economicamente em casa vem à tona. Para as mulheres, adicionam</w:t>
      </w:r>
      <w:r w:rsidR="00D13EE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-se</w:t>
      </w:r>
      <w:r w:rsidR="00852BCC" w:rsidRPr="00852B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541E9" w:rsidRPr="00852B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ainda </w:t>
      </w:r>
      <w:r w:rsidR="00852BCC" w:rsidRPr="00852B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 tarefas para além do trabalho e estudo</w:t>
      </w:r>
      <w:r w:rsidR="00852B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852BCC" w:rsidRPr="00852B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dada a estrutura</w:t>
      </w:r>
      <w:r w:rsidR="007541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desigual</w:t>
      </w:r>
      <w:r w:rsidR="00852BCC" w:rsidRPr="00852B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sociedade.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Bourdieu (1999) relaciona a aquisição de capital cultural (que pode ser entendido como o conhecimento) com o capital econômico, já que é demandado do estudante certa quantidade de tempo para conseguir </w:t>
      </w:r>
      <w:r w:rsidR="00283D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vantagens culturais.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Alain Coulon, é outro autor que aborda a situação do aluno de baixa renda no ensino superior, especialmente no primeiro ano da graduação, no qual todos os estudantes precisam aprender o que o autor chama de “ofício de estudante”. Depois de passarem por</w:t>
      </w:r>
      <w:r w:rsidR="00283D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processo de afiliação na universidade, em etapas que Coulon chama de: tempo de estranheza, tempo da aprendizagem e tempo da afiliação. São passos nos quais o estudante </w:t>
      </w:r>
      <w:r w:rsidR="00283D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vivencia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impacto da diferença entre o ensino médio e a universidade, diferentes regras e desprendimento de uma realidade antiga</w:t>
      </w:r>
      <w:r w:rsidR="00283D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aprendizado doloroso e repleto de incertezas entre seu passado familiar e seu futuro profissional</w:t>
      </w:r>
      <w:r w:rsidR="00283D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31B8B472" w14:textId="0A18BAA4" w:rsidR="00CA322E" w:rsidRPr="00CA322E" w:rsidRDefault="00CA322E" w:rsidP="00092BB9">
      <w:pPr>
        <w:spacing w:after="0" w:line="360" w:lineRule="auto"/>
        <w:ind w:left="-283"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15EF4A31" w14:textId="73E26157" w:rsidR="00CA322E" w:rsidRPr="00CA322E" w:rsidRDefault="00CA322E" w:rsidP="00AB61B9">
      <w:pPr>
        <w:spacing w:after="0" w:line="360" w:lineRule="auto"/>
        <w:ind w:left="19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…os estudantes descobrem e aprendem a utilização dos numerosos códigos, institucionais e intelectuais, que são indispensáveis a seu ofício de estudante. Eles começam a reconhecer e assimilar as evidências e as rotinas do trabalho intelectual. Um estudante afiliado sabe ouvir o que não foi dito, sabe ver o que não foi designado. Ele sabe transformar as inumeráveis instruções do trabalho intelectual em ações práticas: ele descobriu a praticalidade das regras e começa a se tornar um membro competente, uma pessoa dotada da cultura exigida, que atribui o mesmo sentido às mesmas palavras e aos mesmos comportamentos (COULON, </w:t>
      </w:r>
      <w:r w:rsidR="00042B31" w:rsidRPr="00CA322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2016</w:t>
      </w:r>
      <w:r w:rsidR="00042B3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r w:rsidRPr="00CA322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p. 1247)</w:t>
      </w:r>
    </w:p>
    <w:p w14:paraId="17FDE5F0" w14:textId="77777777" w:rsidR="00CA322E" w:rsidRPr="00CA322E" w:rsidRDefault="00CA322E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05E784" w14:textId="69DF20A4" w:rsidR="00654EF1" w:rsidRDefault="00CA322E" w:rsidP="00654EF1">
      <w:pPr>
        <w:spacing w:after="0" w:line="360" w:lineRule="auto"/>
        <w:ind w:left="-283" w:firstLine="705"/>
        <w:jc w:val="both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processo de afiliação, difícil para qualquer iniciante em nível superior, é mais ainda com estudantes de baixa renda</w:t>
      </w:r>
      <w:r w:rsidR="00066A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No caso brasileiro,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mesmo que o acesso tenha sido democratizado</w:t>
      </w:r>
      <w:r w:rsidR="00066A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avançado nas últimas décadas, </w:t>
      </w:r>
      <w:r w:rsidR="00066A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permanência </w:t>
      </w:r>
      <w:r w:rsidR="00066A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possui</w:t>
      </w:r>
      <w:r w:rsidR="00066A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bastantes desafios a serem enfrentados </w:t>
      </w:r>
      <w:r w:rsidR="00066A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conforme exposto por Almeida (2020, p. 22). </w:t>
      </w: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325C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Alguns autores abordam a questão como Gláucia Villas Boas, que trabalhou com estudantes de iniciação científica da Favela da Rocinha no RJ, que já coloca</w:t>
      </w:r>
      <w:r w:rsidR="00F172E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va, no começo da década de 2000, o problema da iniciação à pesquisa de alunos e alunas de baixa renda na UFRJ. </w:t>
      </w:r>
      <w:r w:rsidR="00852BCC" w:rsidRPr="00852B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Almeida (2007)</w:t>
      </w:r>
      <w:r w:rsidR="00F172E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analisou </w:t>
      </w:r>
      <w:r w:rsidR="00852BCC" w:rsidRPr="00852B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vivência de um grupo de estudantes com desvantagens sociais na USP (Universidade de São Paulo) e a dificuldade deste grupo em aproveitar a universidade, uma vez que possuem diversas outras obrigações ligadas as suas condições sociais de vida.</w:t>
      </w:r>
      <w:r w:rsidR="00A244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2446B" w:rsidRPr="00A244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Assim, o estudante que está em situação vulnerável economicamente, para ajudar sua família, entra em uma jornada dupla, tornando-se um “trabalhador-estudante”. Nesta condição, exige-se do indivíduo “um novo e diferente grau de organização, para que consiga executar os deveres solicitados a contento.” (Almeida, 2007, p. 41).</w:t>
      </w:r>
      <w:r w:rsidRPr="00CA32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</w:t>
      </w:r>
      <w:r w:rsidR="00714AEF" w:rsidRPr="00714AE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 combinação desses fatores de caráter mais amplo como a falta de fomento à educação e suporte à formação de pesquisadores aliados ao contexto já complexo dos estudantes de graduação vulneráveis economicamente, cria uma situação em que a opção pela carreira de pesquisa acadêmica fica ainda mais desafiadora</w:t>
      </w:r>
      <w:r w:rsidR="00F172E5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. Logo, </w:t>
      </w:r>
      <w:r w:rsidR="00654EF1" w:rsidRPr="00654EF1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 pesquisa buscará</w:t>
      </w:r>
      <w:r w:rsidR="003D5EB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</w:t>
      </w:r>
      <w:r w:rsidR="00654EF1" w:rsidRPr="00654EF1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entender e detalhar a vivência do estudante em nível superior de universidade pública que coloca em seus planos seguir a carreira acadêmica, pesquisando como se dá a sua inserção neste meio, consideradas as suas condições materiais, histórico familiar e perfil individual, no contexto de baixo incentivo à carreira acadêmica no contexto brasileiro</w:t>
      </w:r>
      <w:r w:rsidR="00654EF1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, </w:t>
      </w:r>
      <w:r w:rsidR="00654EF1" w:rsidRPr="00654EF1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trazendo o foco para o nível da formação</w:t>
      </w:r>
      <w:r w:rsidR="00CA6C41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em pesquisa na graduação</w:t>
      </w:r>
      <w:r w:rsidR="00791AF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 de estudantes de condições sociais desfavorecidas.</w:t>
      </w:r>
    </w:p>
    <w:p w14:paraId="078CB146" w14:textId="2E134D09" w:rsidR="00092BB9" w:rsidRPr="00CA322E" w:rsidRDefault="00092BB9" w:rsidP="00C65186">
      <w:pPr>
        <w:spacing w:after="0" w:line="360" w:lineRule="auto"/>
        <w:ind w:left="-283"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C84E08" w14:textId="77777777" w:rsidR="00CA322E" w:rsidRPr="00CA322E" w:rsidRDefault="00CA322E" w:rsidP="00092BB9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02124"/>
          <w:sz w:val="32"/>
          <w:szCs w:val="32"/>
          <w:lang w:eastAsia="pt-BR"/>
        </w:rPr>
      </w:pPr>
      <w:r w:rsidRPr="00CA322E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pt-BR"/>
        </w:rPr>
        <w:t>Objetivos</w:t>
      </w:r>
      <w:r w:rsidRPr="00CA32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 </w:t>
      </w:r>
    </w:p>
    <w:p w14:paraId="77665ED9" w14:textId="77777777" w:rsidR="00CA322E" w:rsidRPr="00CA322E" w:rsidRDefault="00CA322E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5191C9" w14:textId="7359185A" w:rsidR="00CA322E" w:rsidRPr="00CA322E" w:rsidRDefault="00CA322E" w:rsidP="00092BB9">
      <w:pPr>
        <w:spacing w:after="0" w:line="360" w:lineRule="auto"/>
        <w:ind w:left="-283"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O objetivo central deste projeto é compreender como ocorre a inserção do aluno de baixa renda na pesquisa acadêmica no ambiente da universidade pública, bem como a maneira que se dá o processo de escolha por esta carreira e as dificuldades enfrentadas, de cunho material e cultural. Juntamente a isto,</w:t>
      </w:r>
      <w:r w:rsidR="00654EF1" w:rsidRPr="00654EF1">
        <w:t xml:space="preserve"> </w:t>
      </w:r>
      <w:r w:rsidR="00654EF1" w:rsidRPr="00654EF1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de forma especifica, objetivamos também:</w:t>
      </w:r>
    </w:p>
    <w:p w14:paraId="2D5295AD" w14:textId="77777777" w:rsidR="00CA322E" w:rsidRPr="00CA322E" w:rsidRDefault="00CA322E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444D687" w14:textId="77777777" w:rsidR="00CA322E" w:rsidRPr="00CA322E" w:rsidRDefault="00CA322E" w:rsidP="00092BB9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Analisar o contexto familiar, escolar, de vida e as condições materiais de manutenção na vida acadêmica desses estudantes.</w:t>
      </w:r>
    </w:p>
    <w:p w14:paraId="6FE6DA39" w14:textId="136B561C" w:rsidR="00CA322E" w:rsidRPr="00CA322E" w:rsidRDefault="00CA322E" w:rsidP="00092BB9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Levantar/Analisar a situação do financiamento de pesquisa acadêmica pública no Brasil e como isso interfere na inserção dos estudantes de baixa renda, bem como no processo de escolha </w:t>
      </w:r>
      <w:r w:rsidR="00791AF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da carreira </w:t>
      </w:r>
      <w:r w:rsidR="008502A7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científica</w:t>
      </w:r>
      <w:r w:rsidR="0086357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.</w:t>
      </w:r>
    </w:p>
    <w:p w14:paraId="1353839B" w14:textId="798FB443" w:rsidR="00CA322E" w:rsidRDefault="008D4B3C" w:rsidP="0086357C">
      <w:pPr>
        <w:pStyle w:val="PargrafodaLista"/>
        <w:numPr>
          <w:ilvl w:val="0"/>
          <w:numId w:val="9"/>
        </w:numPr>
        <w:spacing w:line="360" w:lineRule="auto"/>
        <w:ind w:left="714" w:hanging="357"/>
        <w:jc w:val="both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r w:rsidRPr="008D4B3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Identificar os principais desafios enfrentados pelos estudantes aspirantes a acadêmicos</w:t>
      </w:r>
      <w:r w:rsidR="00EA778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/as</w:t>
      </w:r>
      <w:r w:rsidRPr="008D4B3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, tendo em vista as limitações individuais e o cenário mais amplo sobre a situação do país com relação à educação.</w:t>
      </w:r>
    </w:p>
    <w:p w14:paraId="190356CB" w14:textId="77777777" w:rsidR="006F2462" w:rsidRPr="008D4B3C" w:rsidRDefault="006F2462" w:rsidP="006F2462">
      <w:pPr>
        <w:pStyle w:val="PargrafodaLista"/>
        <w:spacing w:line="360" w:lineRule="auto"/>
        <w:ind w:left="714"/>
        <w:jc w:val="both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</w:p>
    <w:p w14:paraId="6171D95E" w14:textId="2567152F" w:rsidR="00CA322E" w:rsidRPr="006F2462" w:rsidRDefault="00CA322E" w:rsidP="006F2462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02124"/>
          <w:sz w:val="32"/>
          <w:szCs w:val="32"/>
          <w:lang w:eastAsia="pt-BR"/>
        </w:rPr>
      </w:pPr>
      <w:r w:rsidRPr="006F2462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pt-BR"/>
        </w:rPr>
        <w:t>Metodologia</w:t>
      </w:r>
    </w:p>
    <w:p w14:paraId="67ACC50F" w14:textId="77777777" w:rsidR="00CA322E" w:rsidRPr="00CA322E" w:rsidRDefault="00CA322E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10CF73" w14:textId="618366A2" w:rsidR="00CA322E" w:rsidRPr="00CA322E" w:rsidRDefault="008D4B3C" w:rsidP="00092BB9">
      <w:pPr>
        <w:spacing w:after="0" w:line="360" w:lineRule="auto"/>
        <w:ind w:left="-283"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B3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A metodologia que será empregada baseia-se em pesquisa e revisão bibliográfica de trabalhos sobre esse tema, busca por dados e diagnósticos de como se encontra o financiamento da pesquisa no Brasil e entrevistas para traçar um perfil e histórico dos estudantes que querem ser pesquisadore</w:t>
      </w:r>
      <w:r w:rsidR="001F0C9D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s/as.</w:t>
      </w:r>
    </w:p>
    <w:p w14:paraId="21F36A69" w14:textId="6E1D8418" w:rsidR="00CA322E" w:rsidRPr="00CA322E" w:rsidRDefault="008D4B3C" w:rsidP="00092BB9">
      <w:pPr>
        <w:spacing w:after="0" w:line="360" w:lineRule="auto"/>
        <w:ind w:left="-283"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4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princípio, haverá a busca e seleção de autores e conceitos importantes para a </w:t>
      </w:r>
      <w:r w:rsidR="001F0C9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construção</w:t>
      </w:r>
      <w:r w:rsidRPr="008D4B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objeto de pesquisa. Esta etapa será importante para sedimentar as bases teóricas que serão o ponto de partida para a análise que será empregada no decorrer dos estudos. Posteriormente, será conduzida contextualização mais detalhada da situação do país com relação ao financiamento público da educação e pesquisa nos últimos anos para que seja possível compreender o quadro mais geral e concreto no qual a discussão proposta se insere.</w:t>
      </w:r>
      <w:r w:rsidR="00151559">
        <w:t xml:space="preserve"> </w:t>
      </w:r>
    </w:p>
    <w:p w14:paraId="00BE01DF" w14:textId="40C14B7B" w:rsidR="00151559" w:rsidRDefault="00151559" w:rsidP="00092BB9">
      <w:pPr>
        <w:spacing w:after="0" w:line="360" w:lineRule="auto"/>
        <w:ind w:left="-283" w:firstLine="70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515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seguida, será feito um levantamento de informações por meio de método qualitativo, com pesquisa empírica, </w:t>
      </w:r>
      <w:r w:rsidR="002E21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através</w:t>
      </w:r>
      <w:r w:rsidRPr="001515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entrevistas com estudantes na situação abordada para determinação dos perfis. Inicialmente pensamos em tomar como universo de pesquisa alunos de instituições públicas em SP e no ABC Paulista, contemplando a USP, Unifesp e a UFABC. Após isso, haverá interpretação dos dados colhidos e análise inserida nas bases teóricas. Por fim, refletiremos sobre como esses dados e informações dos estudantes analisados permitem situar a problemática da inserção de um novo perfil de pessoas na pesquisa acadêmica, </w:t>
      </w:r>
      <w:r w:rsidR="002E217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primordialmente</w:t>
      </w:r>
      <w:r w:rsidRPr="001515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universitários de baixa renda.</w:t>
      </w:r>
    </w:p>
    <w:p w14:paraId="609EEB6E" w14:textId="77777777" w:rsidR="00F145FD" w:rsidRDefault="00F145FD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A7E0C0" w14:textId="72572484" w:rsidR="00F145FD" w:rsidRDefault="00F145FD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20D6FD" w14:textId="4AE46547" w:rsidR="002E2173" w:rsidRDefault="002E2173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0E2591" w14:textId="77777777" w:rsidR="002E2173" w:rsidRDefault="002E2173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ABE2C6" w14:textId="77777777" w:rsidR="00F145FD" w:rsidRDefault="00F145FD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761614" w14:textId="77777777" w:rsidR="00CA322E" w:rsidRPr="00CA322E" w:rsidRDefault="00CA322E" w:rsidP="00092BB9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CA322E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Cronograma de atividades</w:t>
      </w:r>
    </w:p>
    <w:p w14:paraId="1F3A0556" w14:textId="77777777" w:rsidR="00CA322E" w:rsidRPr="00CA322E" w:rsidRDefault="00CA322E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1"/>
        <w:gridCol w:w="1227"/>
      </w:tblGrid>
      <w:tr w:rsidR="00CA322E" w:rsidRPr="00CA322E" w14:paraId="2489D43D" w14:textId="77777777" w:rsidTr="00A3336E">
        <w:trPr>
          <w:trHeight w:val="4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B88B1" w14:textId="77777777" w:rsidR="00CA322E" w:rsidRPr="00CA322E" w:rsidRDefault="00CA322E" w:rsidP="00092B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32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Atividades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7969C" w14:textId="77777777" w:rsidR="00CA322E" w:rsidRPr="00CA322E" w:rsidRDefault="00CA322E" w:rsidP="00092B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32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Período</w:t>
            </w:r>
          </w:p>
        </w:tc>
      </w:tr>
      <w:tr w:rsidR="00CA322E" w:rsidRPr="00CA322E" w14:paraId="2149192F" w14:textId="77777777" w:rsidTr="003F0421">
        <w:trPr>
          <w:trHeight w:val="1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DB69" w14:textId="59329C47" w:rsidR="00CA322E" w:rsidRPr="00CA322E" w:rsidRDefault="00004258" w:rsidP="002E217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Levantamento Bibliográfico.</w:t>
            </w:r>
            <w:r>
              <w:t xml:space="preserve"> </w:t>
            </w:r>
            <w:r w:rsidRPr="0000425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Fichamento e Sistematização de Textos.</w:t>
            </w:r>
            <w:r w:rsidR="00F4410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F44101" w:rsidRPr="00F4410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Fichamentos de autores sobre a questão de classe, raça e gênero e sua relação com o aproveitamento da universidade pelos estudantes vulneráveis</w:t>
            </w:r>
            <w:r w:rsidR="00F4410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; </w:t>
            </w:r>
            <w:r w:rsidR="00F44101" w:rsidRPr="00F4410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Fichamentos sobre acesso, permanência no Ensino Superior, perfis e condições materiais distintas na universidade;</w:t>
            </w:r>
            <w:r w:rsidR="00F4410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F44101" w:rsidRPr="00F4410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Fichamento sobre inserção na carreira e pesquisa acadêmicas;</w:t>
            </w:r>
            <w:r w:rsidR="00F4410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F44101" w:rsidRPr="00F4410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Levantamento sobre os dados de financiamento público da educação e pesquisa nos últimos anos</w:t>
            </w:r>
            <w:r w:rsidR="003F042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FE8E4" w14:textId="77777777" w:rsidR="003F0421" w:rsidRDefault="003F0421" w:rsidP="00092B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09B63F7" w14:textId="77777777" w:rsidR="003F0421" w:rsidRDefault="003F0421" w:rsidP="00092B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34421E66" w14:textId="77777777" w:rsidR="003F0421" w:rsidRDefault="003F0421" w:rsidP="00092B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DB12E46" w14:textId="701B878A" w:rsidR="00CA322E" w:rsidRPr="00CA322E" w:rsidRDefault="003F0421" w:rsidP="003F04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CA322E" w:rsidRPr="00CA322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1º ao 3º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CA322E" w:rsidRPr="00CA322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mês</w:t>
            </w:r>
          </w:p>
        </w:tc>
      </w:tr>
      <w:tr w:rsidR="00CA322E" w:rsidRPr="00CA322E" w14:paraId="1254AAB4" w14:textId="77777777" w:rsidTr="00A3336E">
        <w:trPr>
          <w:trHeight w:val="2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ED2E" w14:textId="7B74B506" w:rsidR="00CA322E" w:rsidRPr="00CA322E" w:rsidRDefault="003F0421" w:rsidP="00092BB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042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Elaboração dos Instrumentos de Pesquisa (Roteiro e Questionário para Entrevistas com os Estudantes). </w:t>
            </w:r>
            <w:r w:rsidR="00CA322E" w:rsidRPr="00CA322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Identificação dos principais componentes que distinguem as classes no ensino superior. Delineamento de perfil geral dos indivíduos estudados. Análise dos dados de financiamento de educação e pesquisa nos últimos anos e inserção na discussão proposta. Elaboração do Relatório Parcial</w:t>
            </w:r>
            <w:r w:rsidR="00A3336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  <w:r w:rsidR="00CA322E" w:rsidRPr="00CA322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2ADAB" w14:textId="77777777" w:rsidR="00CA322E" w:rsidRPr="00CA322E" w:rsidRDefault="00CA322E" w:rsidP="00092BB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4FF4630" w14:textId="77777777" w:rsidR="003F0421" w:rsidRDefault="003F0421" w:rsidP="00092B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73D3630" w14:textId="6B2BA900" w:rsidR="00CA322E" w:rsidRPr="00CA322E" w:rsidRDefault="00CA322E" w:rsidP="00092B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322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4º ao 6º mês</w:t>
            </w:r>
          </w:p>
        </w:tc>
      </w:tr>
      <w:tr w:rsidR="00CA322E" w:rsidRPr="00CA322E" w14:paraId="6E42F5D6" w14:textId="77777777" w:rsidTr="003F0421">
        <w:trPr>
          <w:trHeight w:val="2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57802" w14:textId="76107CB8" w:rsidR="00CA322E" w:rsidRPr="00CA322E" w:rsidRDefault="00A3336E" w:rsidP="00092BB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336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Entrevistas com estudantes das 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3336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universidades públicas que estejam de alguma forma inseridos na pesquisa acadêmica</w:t>
            </w:r>
            <w:r w:rsidR="003F042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  <w:r w:rsidR="003F0421">
              <w:t xml:space="preserve"> </w:t>
            </w:r>
            <w:r w:rsidR="003F0421" w:rsidRPr="003F042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Transcrição e Análise das Entrevistas</w:t>
            </w:r>
            <w:r w:rsidR="003F042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  <w:r w:rsidR="00CA322E" w:rsidRPr="00CA322E">
              <w:rPr>
                <w:rFonts w:ascii="Arial" w:eastAsia="Times New Roman" w:hAnsi="Arial" w:cs="Arial"/>
                <w:color w:val="000000"/>
                <w:sz w:val="14"/>
                <w:szCs w:val="14"/>
                <w:lang w:eastAsia="pt-BR"/>
              </w:rPr>
              <w:t xml:space="preserve"> </w:t>
            </w:r>
            <w:r w:rsidR="00CA322E" w:rsidRPr="00CA322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Análise dos resultados das entrevistas e confronto com as </w:t>
            </w:r>
            <w:r w:rsidR="002E21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hipóteses</w:t>
            </w:r>
            <w:r w:rsidR="00CA322E" w:rsidRPr="00CA322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fichamentos bibliográficos. Síntese dos resultados interligados com as suposições e categorizações feitas pelos autores fichados.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42065" w14:textId="77777777" w:rsidR="003F0421" w:rsidRDefault="003F0421" w:rsidP="00092B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71A01C3B" w14:textId="77777777" w:rsidR="003F0421" w:rsidRDefault="003F0421" w:rsidP="00092B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979BC8C" w14:textId="2E6B9E2E" w:rsidR="00CA322E" w:rsidRPr="00CA322E" w:rsidRDefault="00CA322E" w:rsidP="00092B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322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7º ao 9º mês</w:t>
            </w:r>
          </w:p>
        </w:tc>
      </w:tr>
      <w:tr w:rsidR="00CA322E" w:rsidRPr="00CA322E" w14:paraId="681442DA" w14:textId="77777777" w:rsidTr="00A3336E">
        <w:trPr>
          <w:trHeight w:val="16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E0EAD" w14:textId="59551CF6" w:rsidR="00CA322E" w:rsidRPr="00CA322E" w:rsidRDefault="00CA322E" w:rsidP="00092BB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322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Elaboração do relatório final.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86ECA" w14:textId="77777777" w:rsidR="003F0421" w:rsidRDefault="003F0421" w:rsidP="00092BB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6E5C71B" w14:textId="2667F540" w:rsidR="00CA322E" w:rsidRPr="00CA322E" w:rsidRDefault="00CA322E" w:rsidP="00092B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322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10º ao 12º mês</w:t>
            </w:r>
          </w:p>
        </w:tc>
      </w:tr>
    </w:tbl>
    <w:p w14:paraId="31A98A5E" w14:textId="59E1FDFA" w:rsidR="00092BB9" w:rsidRPr="00325CC2" w:rsidRDefault="00CA322E" w:rsidP="00092B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2C4F9062" w14:textId="30EDE651" w:rsidR="00CA322E" w:rsidRPr="00CA322E" w:rsidRDefault="00CA322E" w:rsidP="00092B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322E">
        <w:rPr>
          <w:rFonts w:ascii="Arial" w:eastAsia="Times New Roman" w:hAnsi="Arial" w:cs="Arial"/>
          <w:color w:val="202124"/>
          <w:sz w:val="32"/>
          <w:szCs w:val="32"/>
          <w:shd w:val="clear" w:color="auto" w:fill="FFFFFF"/>
          <w:lang w:eastAsia="pt-BR"/>
        </w:rPr>
        <w:t> 6. Referências</w:t>
      </w:r>
    </w:p>
    <w:p w14:paraId="37A83436" w14:textId="5FE7165C" w:rsidR="00CA322E" w:rsidRPr="002E2173" w:rsidRDefault="00CA322E" w:rsidP="00092B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17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lastRenderedPageBreak/>
        <w:t xml:space="preserve">ALMEIDA, </w:t>
      </w:r>
      <w:r w:rsidR="005B3B27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W. M</w:t>
      </w:r>
      <w:r w:rsidRPr="002E217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. Estudantes com desvantagens econômicas e educacionais e fruição da universidade. </w:t>
      </w:r>
      <w:r w:rsidRPr="002E2173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>Caderno Crh</w:t>
      </w:r>
      <w:r w:rsidRPr="002E217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, v. 20, p. 35-46, 2007.</w:t>
      </w:r>
    </w:p>
    <w:p w14:paraId="4AE7C3D9" w14:textId="77777777" w:rsidR="00CA322E" w:rsidRPr="002E2173" w:rsidRDefault="00CA322E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513991" w14:textId="65DDE4D4" w:rsidR="00CA322E" w:rsidRPr="002E2173" w:rsidRDefault="00B11B5F" w:rsidP="00092B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1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__________</w:t>
      </w:r>
      <w:r w:rsidR="00CA322E" w:rsidRPr="002E21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. Revisitando “USP para Todos?”: desafios permanentes na inclusão dos estudantes de baixa renda no ensino superior público brasileiro. </w:t>
      </w:r>
      <w:r w:rsidR="00CA322E" w:rsidRPr="002E217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Revista de Ciências Sociais: RCS</w:t>
      </w:r>
      <w:r w:rsidR="00CA322E" w:rsidRPr="002E21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, v. 51, n. 3, p. 21-62, 2020.</w:t>
      </w:r>
    </w:p>
    <w:p w14:paraId="1F1A526F" w14:textId="77777777" w:rsidR="00CA322E" w:rsidRPr="002E2173" w:rsidRDefault="00CA322E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D92F3C" w14:textId="77777777" w:rsidR="00CA322E" w:rsidRPr="002E2173" w:rsidRDefault="00CA322E" w:rsidP="00092B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1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ÁVILA, Rebeca. Estudantes de camadas populares e o ingresso na vida universitária. </w:t>
      </w:r>
      <w:r w:rsidRPr="002E217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Revista Brasileira de Estudos Pedagógicos</w:t>
      </w:r>
      <w:r w:rsidRPr="002E21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, v. 92, n. 232, 2011.</w:t>
      </w:r>
    </w:p>
    <w:p w14:paraId="59F5F281" w14:textId="77777777" w:rsidR="00CA322E" w:rsidRPr="002E2173" w:rsidRDefault="00CA322E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2FC26" w14:textId="75A02E0B" w:rsidR="00B11B5F" w:rsidRPr="002E2173" w:rsidRDefault="00B11B5F" w:rsidP="00B11B5F">
      <w:pPr>
        <w:spacing w:after="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</w:pPr>
      <w:r w:rsidRPr="002E217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BOURDIEU, P. Escritos da educação – Pierre Bourdieu. São Paulo:  Ática, 1999. Organização de Maria Alice Nogueira e Afrânio Mendes Catani.</w:t>
      </w:r>
    </w:p>
    <w:p w14:paraId="1D135FF3" w14:textId="77777777" w:rsidR="00B11B5F" w:rsidRPr="002E2173" w:rsidRDefault="00B11B5F" w:rsidP="00B11B5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65134F" w14:textId="77777777" w:rsidR="00CA322E" w:rsidRPr="002E2173" w:rsidRDefault="00CA322E" w:rsidP="00092B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1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COULON, Alain. O ofício de estudante: a entrada na vida universitária. </w:t>
      </w:r>
      <w:r w:rsidRPr="002E2173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Educação e Pesquisa</w:t>
      </w:r>
      <w:r w:rsidRPr="002E217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, v. 43, p. 1239-1250, 2017.</w:t>
      </w:r>
    </w:p>
    <w:p w14:paraId="7FA28C5F" w14:textId="77777777" w:rsidR="00CA322E" w:rsidRPr="00CA322E" w:rsidRDefault="00CA322E" w:rsidP="00092B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F00E14" w14:textId="77777777" w:rsidR="00CA322E" w:rsidRPr="00707240" w:rsidRDefault="00CA322E" w:rsidP="00092BB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724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FERNANDES, Samuel.</w:t>
      </w:r>
      <w:r w:rsidRPr="00707240">
        <w:rPr>
          <w:rFonts w:ascii="Arial" w:eastAsia="Times New Roman" w:hAnsi="Arial" w:cs="Arial"/>
          <w:i/>
          <w:iCs/>
          <w:color w:val="202124"/>
          <w:sz w:val="24"/>
          <w:szCs w:val="24"/>
          <w:shd w:val="clear" w:color="auto" w:fill="FFFFFF"/>
          <w:lang w:eastAsia="pt-BR"/>
        </w:rPr>
        <w:t xml:space="preserve"> Cortes diminuem bolsas de pesquisa e prejudicam publicações científicas</w:t>
      </w:r>
      <w:r w:rsidRPr="0070724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. </w:t>
      </w:r>
      <w:r w:rsidRPr="00707240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>Folha de São Paulo</w:t>
      </w:r>
      <w:r w:rsidRPr="0070724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. (2022). Disponível em: &lt;</w:t>
      </w:r>
      <w:hyperlink r:id="rId8" w:history="1">
        <w:r w:rsidRPr="00707240">
          <w:rPr>
            <w:rFonts w:ascii="Arial" w:eastAsia="Times New Roman" w:hAnsi="Arial" w:cs="Arial"/>
            <w:color w:val="202124"/>
            <w:sz w:val="24"/>
            <w:szCs w:val="24"/>
            <w:u w:val="single"/>
            <w:shd w:val="clear" w:color="auto" w:fill="FFFFFF"/>
            <w:lang w:eastAsia="pt-BR"/>
          </w:rPr>
          <w:t>https://www1.folha.uol.com.br/ciencia/2022/01/cortes-diminuem-bolsas-de-pesquisa-e-prejudicam-publicacoes-cientificas.shtml</w:t>
        </w:r>
      </w:hyperlink>
      <w:r w:rsidRPr="0070724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&gt; Acesso em: 20. jun. 2022.</w:t>
      </w:r>
    </w:p>
    <w:p w14:paraId="2958C898" w14:textId="77777777" w:rsidR="00CA322E" w:rsidRPr="00707240" w:rsidRDefault="00CA322E" w:rsidP="00092BB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1432F4" w14:textId="77777777" w:rsidR="00CA322E" w:rsidRPr="00707240" w:rsidRDefault="00CA322E" w:rsidP="00092BB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724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MARQUES, Fabrício. </w:t>
      </w:r>
      <w:r w:rsidRPr="00707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Crise na geração de recursos humanos. </w:t>
      </w:r>
      <w:r w:rsidRPr="0070724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Revista Pesquisa FAPESP</w:t>
      </w:r>
      <w:r w:rsidRPr="007072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São Paulo, v. 315, n. 23, p. 28-35, mai. 2022.</w:t>
      </w:r>
    </w:p>
    <w:p w14:paraId="77F39C45" w14:textId="77777777" w:rsidR="00CA322E" w:rsidRPr="00707240" w:rsidRDefault="00CA322E" w:rsidP="00092BB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BEF6E8" w14:textId="77777777" w:rsidR="00CA322E" w:rsidRPr="00707240" w:rsidRDefault="00CA322E" w:rsidP="00092BB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0724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 xml:space="preserve">VILLAS BÔAS, G. Seleção e Partilha: excelência e desigualdades sociais na universidade. </w:t>
      </w:r>
      <w:r w:rsidRPr="00707240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pt-BR"/>
        </w:rPr>
        <w:t>Teoria &amp; Sociedade</w:t>
      </w:r>
      <w:r w:rsidRPr="0070724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BR"/>
        </w:rPr>
        <w:t>, n. 7, p. 95-115, jun. 2001.</w:t>
      </w:r>
    </w:p>
    <w:p w14:paraId="5412F53A" w14:textId="77777777" w:rsidR="00CA322E" w:rsidRPr="00707240" w:rsidRDefault="00CA322E" w:rsidP="00092BB9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0BDCA1" w14:textId="74B33523" w:rsidR="00705251" w:rsidRPr="006A5EBC" w:rsidRDefault="00CA322E" w:rsidP="00707240">
      <w:pPr>
        <w:spacing w:after="0" w:line="360" w:lineRule="auto"/>
      </w:pPr>
      <w:r w:rsidRPr="00707240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ZANLORENSSI, Gabriel</w:t>
      </w:r>
      <w:r w:rsidR="005B3B2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; </w:t>
      </w:r>
      <w:r w:rsidRPr="00707240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GOMES, Lucas. </w:t>
      </w:r>
      <w:r w:rsidRPr="00707240">
        <w:rPr>
          <w:rFonts w:ascii="Arial" w:eastAsia="Times New Roman" w:hAnsi="Arial" w:cs="Arial"/>
          <w:i/>
          <w:iCs/>
          <w:color w:val="202124"/>
          <w:sz w:val="24"/>
          <w:szCs w:val="24"/>
          <w:lang w:eastAsia="pt-BR"/>
        </w:rPr>
        <w:t>Bolsas da Capes e CNPq completam 9 anos sem reajuste</w:t>
      </w:r>
      <w:r w:rsidRPr="00707240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. </w:t>
      </w:r>
      <w:r w:rsidRPr="00707240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Jornal</w:t>
      </w:r>
      <w:r w:rsidRPr="00707240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  <w:r w:rsidRPr="00707240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Nexo</w:t>
      </w:r>
      <w:r w:rsidRPr="00707240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.(2022). Disponível em: &lt;</w:t>
      </w:r>
      <w:hyperlink r:id="rId9" w:history="1">
        <w:r w:rsidRPr="00707240">
          <w:rPr>
            <w:rFonts w:ascii="Arial" w:eastAsia="Times New Roman" w:hAnsi="Arial" w:cs="Arial"/>
            <w:color w:val="202124"/>
            <w:sz w:val="24"/>
            <w:szCs w:val="24"/>
            <w:u w:val="single"/>
            <w:lang w:eastAsia="pt-BR"/>
          </w:rPr>
          <w:t>https://www.nexojornal.com.br/grafico/2022/03/23/Bolsas-da-Capes-e-CNPq-completam-9-anos-sem-reajuste</w:t>
        </w:r>
      </w:hyperlink>
      <w:r w:rsidRPr="00707240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&gt; Acesso em: 20. jun. 2022.</w:t>
      </w:r>
    </w:p>
    <w:sectPr w:rsidR="00705251" w:rsidRPr="006A5EBC" w:rsidSect="00C323DB"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28C88" w14:textId="77777777" w:rsidR="0066666D" w:rsidRDefault="0066666D" w:rsidP="00EA59D8">
      <w:pPr>
        <w:spacing w:after="0" w:line="240" w:lineRule="auto"/>
      </w:pPr>
      <w:r>
        <w:separator/>
      </w:r>
    </w:p>
  </w:endnote>
  <w:endnote w:type="continuationSeparator" w:id="0">
    <w:p w14:paraId="77C553EE" w14:textId="77777777" w:rsidR="0066666D" w:rsidRDefault="0066666D" w:rsidP="00EA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4EAC" w14:textId="77777777" w:rsidR="0066666D" w:rsidRDefault="0066666D" w:rsidP="00EA59D8">
      <w:pPr>
        <w:spacing w:after="0" w:line="240" w:lineRule="auto"/>
      </w:pPr>
      <w:r>
        <w:separator/>
      </w:r>
    </w:p>
  </w:footnote>
  <w:footnote w:type="continuationSeparator" w:id="0">
    <w:p w14:paraId="61ECC417" w14:textId="77777777" w:rsidR="0066666D" w:rsidRDefault="0066666D" w:rsidP="00EA5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512177"/>
      <w:docPartObj>
        <w:docPartGallery w:val="Page Numbers (Top of Page)"/>
        <w:docPartUnique/>
      </w:docPartObj>
    </w:sdtPr>
    <w:sdtEndPr/>
    <w:sdtContent>
      <w:p w14:paraId="2F5AEDEF" w14:textId="77777777" w:rsidR="0042189E" w:rsidRDefault="0042189E">
        <w:pPr>
          <w:pStyle w:val="Cabealho"/>
          <w:jc w:val="right"/>
        </w:pPr>
      </w:p>
      <w:p w14:paraId="0465C6BD" w14:textId="2F642136" w:rsidR="0042189E" w:rsidRDefault="0042189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A0C44B" w14:textId="77777777" w:rsidR="0042189E" w:rsidRDefault="004218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4"/>
      <w:gridCol w:w="6820"/>
    </w:tblGrid>
    <w:tr w:rsidR="00C323DB" w14:paraId="6963BAA0" w14:textId="77777777" w:rsidTr="00D37689">
      <w:tc>
        <w:tcPr>
          <w:tcW w:w="1555" w:type="dxa"/>
        </w:tcPr>
        <w:p w14:paraId="6AA2349D" w14:textId="77777777" w:rsidR="00C323DB" w:rsidRDefault="00C323DB" w:rsidP="00C323DB">
          <w:pPr>
            <w:pStyle w:val="Cabealho"/>
          </w:pPr>
          <w:r w:rsidRPr="00C323DB">
            <w:rPr>
              <w:noProof/>
              <w:sz w:val="32"/>
              <w:szCs w:val="32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1FB89B5" wp14:editId="19DEA8B7">
                <wp:simplePos x="0" y="0"/>
                <wp:positionH relativeFrom="column">
                  <wp:posOffset>-6350</wp:posOffset>
                </wp:positionH>
                <wp:positionV relativeFrom="paragraph">
                  <wp:posOffset>179070</wp:posOffset>
                </wp:positionV>
                <wp:extent cx="932250" cy="720000"/>
                <wp:effectExtent l="0" t="0" r="0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25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939" w:type="dxa"/>
        </w:tcPr>
        <w:p w14:paraId="6BC96863" w14:textId="77777777" w:rsidR="00C323DB" w:rsidRPr="00C323DB" w:rsidRDefault="00C323DB" w:rsidP="00C323DB">
          <w:pPr>
            <w:pStyle w:val="Cabealho"/>
            <w:rPr>
              <w:sz w:val="28"/>
              <w:szCs w:val="28"/>
            </w:rPr>
          </w:pPr>
          <w:r w:rsidRPr="00C323DB">
            <w:rPr>
              <w:sz w:val="28"/>
              <w:szCs w:val="28"/>
            </w:rPr>
            <w:t>Fundação Universidade Federal do ABC</w:t>
          </w:r>
        </w:p>
        <w:p w14:paraId="28B699C0" w14:textId="77777777" w:rsidR="00C323DB" w:rsidRPr="00C323DB" w:rsidRDefault="00C323DB" w:rsidP="00C323DB">
          <w:pPr>
            <w:pStyle w:val="Cabealho"/>
            <w:rPr>
              <w:sz w:val="28"/>
              <w:szCs w:val="28"/>
            </w:rPr>
          </w:pPr>
          <w:r w:rsidRPr="00C323DB">
            <w:rPr>
              <w:sz w:val="28"/>
              <w:szCs w:val="28"/>
            </w:rPr>
            <w:t>Pró reitoria de pesquisa</w:t>
          </w:r>
        </w:p>
        <w:p w14:paraId="003510ED" w14:textId="77777777" w:rsidR="00C323DB" w:rsidRDefault="00C323DB" w:rsidP="00C323DB">
          <w:pPr>
            <w:pStyle w:val="Cabealho"/>
          </w:pPr>
          <w:r>
            <w:t>Av. dos Estados, 5001, Santa Terezinha, Santo André/SP, CEP 09210-580</w:t>
          </w:r>
        </w:p>
        <w:p w14:paraId="0ED71417" w14:textId="77777777" w:rsidR="00C323DB" w:rsidRDefault="00C323DB" w:rsidP="00C323DB">
          <w:pPr>
            <w:pStyle w:val="Cabealho"/>
          </w:pPr>
          <w:r>
            <w:t>Bloco L, 3ºAndar, Fone (11) 3356-7617</w:t>
          </w:r>
        </w:p>
        <w:p w14:paraId="6C2A6E7A" w14:textId="2624A5BE" w:rsidR="00C323DB" w:rsidRDefault="006007EA" w:rsidP="00C323DB">
          <w:pPr>
            <w:pStyle w:val="Cabealho"/>
          </w:pPr>
          <w:r>
            <w:t>iniciacao</w:t>
          </w:r>
          <w:r w:rsidR="00C323DB">
            <w:t>@ufabc.edu.br</w:t>
          </w:r>
        </w:p>
        <w:p w14:paraId="32DD2867" w14:textId="77777777" w:rsidR="00C323DB" w:rsidRDefault="00C323DB" w:rsidP="00C323DB">
          <w:pPr>
            <w:pStyle w:val="Cabealho"/>
          </w:pPr>
        </w:p>
      </w:tc>
    </w:tr>
  </w:tbl>
  <w:p w14:paraId="7B85A224" w14:textId="77777777" w:rsidR="00C323DB" w:rsidRDefault="00C323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154"/>
    <w:multiLevelType w:val="hybridMultilevel"/>
    <w:tmpl w:val="1410F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26F7"/>
    <w:multiLevelType w:val="hybridMultilevel"/>
    <w:tmpl w:val="0FBCE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0F8A"/>
    <w:multiLevelType w:val="hybridMultilevel"/>
    <w:tmpl w:val="98081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E5024"/>
    <w:multiLevelType w:val="hybridMultilevel"/>
    <w:tmpl w:val="55F4C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219B"/>
    <w:multiLevelType w:val="multilevel"/>
    <w:tmpl w:val="B91E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23DB8"/>
    <w:multiLevelType w:val="multilevel"/>
    <w:tmpl w:val="D6B210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C2CA0"/>
    <w:multiLevelType w:val="multilevel"/>
    <w:tmpl w:val="7BF4B3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25362"/>
    <w:multiLevelType w:val="multilevel"/>
    <w:tmpl w:val="299C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E23D98"/>
    <w:multiLevelType w:val="multilevel"/>
    <w:tmpl w:val="69765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F4F42"/>
    <w:multiLevelType w:val="hybridMultilevel"/>
    <w:tmpl w:val="BC2C8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91EAC"/>
    <w:multiLevelType w:val="multilevel"/>
    <w:tmpl w:val="B2224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857644">
    <w:abstractNumId w:val="3"/>
  </w:num>
  <w:num w:numId="2" w16cid:durableId="1376848371">
    <w:abstractNumId w:val="9"/>
  </w:num>
  <w:num w:numId="3" w16cid:durableId="1817256295">
    <w:abstractNumId w:val="1"/>
  </w:num>
  <w:num w:numId="4" w16cid:durableId="1329670903">
    <w:abstractNumId w:val="0"/>
  </w:num>
  <w:num w:numId="5" w16cid:durableId="255023137">
    <w:abstractNumId w:val="2"/>
  </w:num>
  <w:num w:numId="6" w16cid:durableId="321279370">
    <w:abstractNumId w:val="7"/>
  </w:num>
  <w:num w:numId="7" w16cid:durableId="1126969348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991328159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329596598">
    <w:abstractNumId w:val="4"/>
  </w:num>
  <w:num w:numId="10" w16cid:durableId="1220094608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193130577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3F"/>
    <w:rsid w:val="00004258"/>
    <w:rsid w:val="00042B31"/>
    <w:rsid w:val="00066A66"/>
    <w:rsid w:val="00075605"/>
    <w:rsid w:val="000759AD"/>
    <w:rsid w:val="00085BF5"/>
    <w:rsid w:val="00092BB9"/>
    <w:rsid w:val="00120EA3"/>
    <w:rsid w:val="00151559"/>
    <w:rsid w:val="0015233F"/>
    <w:rsid w:val="0015776C"/>
    <w:rsid w:val="001A7A21"/>
    <w:rsid w:val="001D1512"/>
    <w:rsid w:val="001F0C9D"/>
    <w:rsid w:val="00201009"/>
    <w:rsid w:val="00236434"/>
    <w:rsid w:val="00243B80"/>
    <w:rsid w:val="00256338"/>
    <w:rsid w:val="00283DA1"/>
    <w:rsid w:val="002E2173"/>
    <w:rsid w:val="00316F67"/>
    <w:rsid w:val="00325CC2"/>
    <w:rsid w:val="0032784F"/>
    <w:rsid w:val="00327B9F"/>
    <w:rsid w:val="00343084"/>
    <w:rsid w:val="00353BAA"/>
    <w:rsid w:val="0037489B"/>
    <w:rsid w:val="0039441A"/>
    <w:rsid w:val="003D5EB0"/>
    <w:rsid w:val="003F0421"/>
    <w:rsid w:val="00412922"/>
    <w:rsid w:val="0042189E"/>
    <w:rsid w:val="00431EE0"/>
    <w:rsid w:val="00432A3A"/>
    <w:rsid w:val="00497C76"/>
    <w:rsid w:val="0052512A"/>
    <w:rsid w:val="00553A13"/>
    <w:rsid w:val="00557542"/>
    <w:rsid w:val="00571614"/>
    <w:rsid w:val="00585C7A"/>
    <w:rsid w:val="00592DAA"/>
    <w:rsid w:val="005B3B27"/>
    <w:rsid w:val="005B7BE3"/>
    <w:rsid w:val="006007EA"/>
    <w:rsid w:val="00654EF1"/>
    <w:rsid w:val="006555B4"/>
    <w:rsid w:val="00661CC7"/>
    <w:rsid w:val="0066666D"/>
    <w:rsid w:val="006712C6"/>
    <w:rsid w:val="00674048"/>
    <w:rsid w:val="00677799"/>
    <w:rsid w:val="006A5EBC"/>
    <w:rsid w:val="006C13D6"/>
    <w:rsid w:val="006D5DC5"/>
    <w:rsid w:val="006F2462"/>
    <w:rsid w:val="006F5DB8"/>
    <w:rsid w:val="00705251"/>
    <w:rsid w:val="00707240"/>
    <w:rsid w:val="00714AEF"/>
    <w:rsid w:val="00743172"/>
    <w:rsid w:val="007541E9"/>
    <w:rsid w:val="00774E12"/>
    <w:rsid w:val="007917FD"/>
    <w:rsid w:val="00791AFE"/>
    <w:rsid w:val="007A63CC"/>
    <w:rsid w:val="007B43B0"/>
    <w:rsid w:val="007F57B7"/>
    <w:rsid w:val="00831F3F"/>
    <w:rsid w:val="008502A7"/>
    <w:rsid w:val="00852BCC"/>
    <w:rsid w:val="0085653E"/>
    <w:rsid w:val="008622F9"/>
    <w:rsid w:val="0086357C"/>
    <w:rsid w:val="0089738E"/>
    <w:rsid w:val="008A5C29"/>
    <w:rsid w:val="008D4B3C"/>
    <w:rsid w:val="009023B3"/>
    <w:rsid w:val="00902E7C"/>
    <w:rsid w:val="0094382A"/>
    <w:rsid w:val="0099116F"/>
    <w:rsid w:val="00992A1A"/>
    <w:rsid w:val="0099436A"/>
    <w:rsid w:val="009C0E23"/>
    <w:rsid w:val="009D0A82"/>
    <w:rsid w:val="009E124C"/>
    <w:rsid w:val="009F7F6D"/>
    <w:rsid w:val="00A01A8E"/>
    <w:rsid w:val="00A2446B"/>
    <w:rsid w:val="00A26FFC"/>
    <w:rsid w:val="00A3336E"/>
    <w:rsid w:val="00AA5C01"/>
    <w:rsid w:val="00AB61B9"/>
    <w:rsid w:val="00AC27E3"/>
    <w:rsid w:val="00AC3A5C"/>
    <w:rsid w:val="00AD6BC2"/>
    <w:rsid w:val="00AF5264"/>
    <w:rsid w:val="00B11B5F"/>
    <w:rsid w:val="00B221B7"/>
    <w:rsid w:val="00B96366"/>
    <w:rsid w:val="00C10AFC"/>
    <w:rsid w:val="00C24C34"/>
    <w:rsid w:val="00C323DB"/>
    <w:rsid w:val="00C41524"/>
    <w:rsid w:val="00C65186"/>
    <w:rsid w:val="00C74D55"/>
    <w:rsid w:val="00C872A3"/>
    <w:rsid w:val="00C923B9"/>
    <w:rsid w:val="00CA322E"/>
    <w:rsid w:val="00CA6C41"/>
    <w:rsid w:val="00CB0DF9"/>
    <w:rsid w:val="00D13EEB"/>
    <w:rsid w:val="00D87DED"/>
    <w:rsid w:val="00D929C2"/>
    <w:rsid w:val="00D973D4"/>
    <w:rsid w:val="00DE5C8B"/>
    <w:rsid w:val="00DE6E25"/>
    <w:rsid w:val="00E07D5A"/>
    <w:rsid w:val="00E56349"/>
    <w:rsid w:val="00E85BA3"/>
    <w:rsid w:val="00E93BF9"/>
    <w:rsid w:val="00EA1987"/>
    <w:rsid w:val="00EA59D8"/>
    <w:rsid w:val="00EA6300"/>
    <w:rsid w:val="00EA778C"/>
    <w:rsid w:val="00EF4DDA"/>
    <w:rsid w:val="00F10A07"/>
    <w:rsid w:val="00F145FD"/>
    <w:rsid w:val="00F172E5"/>
    <w:rsid w:val="00F21A4C"/>
    <w:rsid w:val="00F44101"/>
    <w:rsid w:val="00F47F19"/>
    <w:rsid w:val="00F63E25"/>
    <w:rsid w:val="00FA2B30"/>
    <w:rsid w:val="00FA346D"/>
    <w:rsid w:val="00FC2867"/>
    <w:rsid w:val="00FE1201"/>
    <w:rsid w:val="03B9D360"/>
    <w:rsid w:val="0B9EBDCE"/>
    <w:rsid w:val="0FAACA2A"/>
    <w:rsid w:val="1784A09C"/>
    <w:rsid w:val="1B24CCF8"/>
    <w:rsid w:val="2E83EF7C"/>
    <w:rsid w:val="3B3EC9C9"/>
    <w:rsid w:val="40BF011D"/>
    <w:rsid w:val="776A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BF294"/>
  <w15:docId w15:val="{374AA91C-11DA-42D5-A059-60C38329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5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9D8"/>
  </w:style>
  <w:style w:type="paragraph" w:styleId="Rodap">
    <w:name w:val="footer"/>
    <w:basedOn w:val="Normal"/>
    <w:link w:val="RodapChar"/>
    <w:uiPriority w:val="99"/>
    <w:unhideWhenUsed/>
    <w:rsid w:val="00EA5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9D8"/>
  </w:style>
  <w:style w:type="paragraph" w:styleId="Textodebalo">
    <w:name w:val="Balloon Text"/>
    <w:basedOn w:val="Normal"/>
    <w:link w:val="TextodebaloChar"/>
    <w:uiPriority w:val="99"/>
    <w:semiHidden/>
    <w:unhideWhenUsed/>
    <w:rsid w:val="00862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2F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3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B0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0DF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97C76"/>
    <w:pPr>
      <w:spacing w:after="100"/>
    </w:pPr>
  </w:style>
  <w:style w:type="character" w:styleId="Hyperlink">
    <w:name w:val="Hyperlink"/>
    <w:basedOn w:val="Fontepargpadro"/>
    <w:uiPriority w:val="99"/>
    <w:unhideWhenUsed/>
    <w:rsid w:val="00497C7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85C7A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705251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748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489B"/>
    <w:pPr>
      <w:spacing w:after="0" w:line="240" w:lineRule="auto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489B"/>
    <w:rPr>
      <w:rFonts w:ascii="Arial" w:eastAsia="Arial" w:hAnsi="Arial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folha.uol.com.br/ciencia/2022/01/cortes-diminuem-bolsas-de-pesquisa-e-prejudicam-publicacoes-cientificas.s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exojornal.com.br/grafico/2022/03/23/Bolsas-da-Capes-e-CNPq-completam-9-anos-sem-reajust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61D11-EF82-47B4-B893-5D59DE71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2179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cp:lastPrinted>2022-06-27T20:42:00Z</cp:lastPrinted>
  <dcterms:created xsi:type="dcterms:W3CDTF">2022-06-30T22:16:00Z</dcterms:created>
  <dcterms:modified xsi:type="dcterms:W3CDTF">2022-07-01T01:02:00Z</dcterms:modified>
</cp:coreProperties>
</file>