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05C6" w14:textId="77777777" w:rsidR="00B357C9" w:rsidRDefault="00B357C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3D9D57F" w14:textId="77777777" w:rsidR="00B357C9" w:rsidRDefault="00B357C9"/>
    <w:p w14:paraId="36E04AC5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1350B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CB9CB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06F92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5112D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0BCB8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4C2B9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F11EB" w14:textId="77777777" w:rsidR="00B357C9" w:rsidRDefault="00B35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F2EA1" w14:textId="77777777" w:rsidR="00B357C9" w:rsidRDefault="00B357C9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EC8A30" w14:textId="562AD683" w:rsidR="00B357C9" w:rsidRDefault="005F1A8B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Efeitos do bilinguismo sobre o acesso lexical na língua 1 em bilíngues português- inglês: uma investigação da relação entre as habilidades de controle inibitório, experiência linguística 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proficiência na língua 2</w:t>
      </w:r>
    </w:p>
    <w:p w14:paraId="257E3A04" w14:textId="77777777" w:rsidR="00B357C9" w:rsidRDefault="00B357C9"/>
    <w:p w14:paraId="7684788D" w14:textId="77777777" w:rsidR="00B357C9" w:rsidRDefault="005F1A8B">
      <w:pPr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Projeto de Iniciação Científica submetid</w:t>
      </w:r>
      <w:r>
        <w:rPr>
          <w:rFonts w:ascii="Times New Roman" w:eastAsia="Times New Roman" w:hAnsi="Times New Roman" w:cs="Times New Roman"/>
        </w:rPr>
        <w:t>o para avaliação no Edital: Nº 4/2022 - PROPES (11.01.07)</w:t>
      </w:r>
    </w:p>
    <w:p w14:paraId="5311B5E7" w14:textId="77777777" w:rsidR="00B357C9" w:rsidRDefault="00B357C9">
      <w:pPr>
        <w:ind w:left="4678"/>
      </w:pPr>
    </w:p>
    <w:p w14:paraId="697C4258" w14:textId="77777777" w:rsidR="00B357C9" w:rsidRDefault="00B357C9"/>
    <w:p w14:paraId="5F0A2B98" w14:textId="77777777" w:rsidR="00B357C9" w:rsidRDefault="00B357C9"/>
    <w:p w14:paraId="33406250" w14:textId="77777777" w:rsidR="00B357C9" w:rsidRDefault="00B357C9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48086CB5" w14:textId="77777777" w:rsidR="00B357C9" w:rsidRDefault="00B357C9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063F26D6" w14:textId="77777777" w:rsidR="00B357C9" w:rsidRDefault="00B357C9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3FC1935E" w14:textId="77777777" w:rsidR="00B357C9" w:rsidRDefault="005F1A8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Santo André 2022</w:t>
      </w:r>
    </w:p>
    <w:p w14:paraId="39AF43ED" w14:textId="77777777" w:rsidR="0050496A" w:rsidRDefault="005049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3F5CC3" w14:textId="447438AE" w:rsidR="00B357C9" w:rsidRDefault="005F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Resumo</w:t>
      </w:r>
    </w:p>
    <w:p w14:paraId="19D64FA0" w14:textId="77777777" w:rsidR="00B357C9" w:rsidRDefault="005F1A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crescimento exponencial do bilinguismo, apoiado no contexto de globalização, somado a possíveis implicações cognitivas e correlatas neurais, tornou o estudo do bilinguismo um tema cada vez mais relevante em estudos psicolinguísticos,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neurolinguísticos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neurociência da linguagem, por isso, torna-se necessário o estudo detalhado desse fenômeno. Porém, tal tema apresenta implicações, como a necessidade de atestar o grau de proficiência do indivíduo estudado, além d</w:t>
      </w:r>
      <w:r>
        <w:rPr>
          <w:rFonts w:ascii="Times New Roman" w:eastAsia="Times New Roman" w:hAnsi="Times New Roman" w:cs="Times New Roman"/>
          <w:sz w:val="24"/>
          <w:szCs w:val="24"/>
        </w:rPr>
        <w:t>e suas implicações cognitivas. O present</w:t>
      </w:r>
      <w:r>
        <w:rPr>
          <w:rFonts w:ascii="Times New Roman" w:eastAsia="Times New Roman" w:hAnsi="Times New Roman" w:cs="Times New Roman"/>
          <w:sz w:val="24"/>
          <w:szCs w:val="24"/>
        </w:rPr>
        <w:t>e estudo dá continuidade ao projeto “Adaptação de teste de nomeação multilíngue (MINT) para língua portuguesa no contexto do bilinguismo português-inglês” que teve como objetivo adaptar o teste de vocabulário MINT para falantes nativos de português brasile</w:t>
      </w:r>
      <w:r>
        <w:rPr>
          <w:rFonts w:ascii="Times New Roman" w:eastAsia="Times New Roman" w:hAnsi="Times New Roman" w:cs="Times New Roman"/>
          <w:sz w:val="24"/>
          <w:szCs w:val="24"/>
        </w:rPr>
        <w:t>iro, a fim de que possa ser usado em estudos sobre bilinguismo e multilinguismo. O teste foi adaptado para aplicação de falantes de Português-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Inglês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aplicado preliminarmente em bilíngues. Neste projeto, daremos continuidade à aplicação em bilíngues e inv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estigaremos o acesso lexical nessa população em comparação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monolingues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Os participantes (30 bilíngues adultos) realizarão o MINT e testes de fluência verbal nas duas línguas. Um grupo de monolíngues (n=30, língua materna português) será usado como contr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ole. Os participantes bilingues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monolingues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realizarão o teste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investigar as funções executivas. Os bilíngues responderão a um questionário de experiência linguística e de proficiência. Serão avaliadas diferenças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monolingues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bilingu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nos testes de vocabulário e como estas diferenças se relacionam com as medidas de proficiência, experiência linguística e funções executivas. Espera-se replicar em nosso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meio,  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achados de diferenças no acesso lexical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monolingues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bilingues ( b</w:t>
      </w:r>
      <w:r>
        <w:rPr>
          <w:rFonts w:ascii="Times New Roman" w:eastAsia="Times New Roman" w:hAnsi="Times New Roman" w:cs="Times New Roman"/>
          <w:sz w:val="24"/>
          <w:szCs w:val="24"/>
        </w:rPr>
        <w:t>ilíngues seriam um pouco mais lentos que monolíngues e sujeitos a interferências interlinguísticas. Por outro lado, espera-se que bilingues mais proficientes e com melhores funções executivas tenham menor interferência entre as línguas. As funções executiv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serão avaliadas pelo teste de Simon (versão computadorizada). </w:t>
      </w:r>
    </w:p>
    <w:p w14:paraId="4DB97C1A" w14:textId="77777777" w:rsidR="00B357C9" w:rsidRDefault="005F1A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Palavras-chave do projeto: </w:t>
      </w:r>
      <w:r>
        <w:rPr>
          <w:rFonts w:ascii="Times New Roman" w:eastAsia="Times New Roman" w:hAnsi="Times New Roman" w:cs="Times New Roman"/>
          <w:sz w:val="24"/>
          <w:szCs w:val="24"/>
        </w:rPr>
        <w:t>Cognição; Bilinguismo; Psicolinguística; Neurolinguística</w:t>
      </w:r>
    </w:p>
    <w:p w14:paraId="5FDAC485" w14:textId="77777777" w:rsidR="00B357C9" w:rsidRDefault="005F1A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Área do conhecimento do projeto: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Bilinguismo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Multilinguismo e Neurociência</w:t>
      </w:r>
    </w:p>
    <w:p w14:paraId="66B214E1" w14:textId="77777777" w:rsidR="00B357C9" w:rsidRDefault="00B357C9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58D7F186" w14:textId="77777777" w:rsidR="00B357C9" w:rsidRDefault="00B357C9">
      <w:pPr>
        <w:jc w:val="both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55FF28B8" w14:textId="77777777" w:rsidR="0050496A" w:rsidRDefault="0050496A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br w:type="page"/>
      </w:r>
    </w:p>
    <w:p w14:paraId="6F599032" w14:textId="13CDB756" w:rsidR="00B357C9" w:rsidRDefault="005F1A8B">
      <w:pPr>
        <w:jc w:val="both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Sumário</w:t>
      </w:r>
    </w:p>
    <w:sdt>
      <w:sdtPr>
        <w:id w:val="39409865"/>
        <w:docPartObj>
          <w:docPartGallery w:val="Table of Contents"/>
          <w:docPartUnique/>
        </w:docPartObj>
      </w:sdtPr>
      <w:sdtEndPr/>
      <w:sdtContent>
        <w:p w14:paraId="59FDCB4B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hyperlink>
          <w:hyperlink w:anchor="_gjdgx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</w:instrText>
          </w:r>
          <w:r>
            <w:instrText xml:space="preserve">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Introdução e Justificativa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mbria" w:eastAsia="Cambria" w:hAnsi="Cambria" w:cs="Cambria"/>
            </w:rPr>
            <w:t>5</w:t>
          </w:r>
        </w:p>
        <w:p w14:paraId="786CE345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hyperlink>
          <w:hyperlink w:anchor="_1fob9te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Objetivos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mbria" w:eastAsia="Cambria" w:hAnsi="Cambria" w:cs="Cambria"/>
            </w:rPr>
            <w:t>6</w:t>
          </w:r>
        </w:p>
        <w:p w14:paraId="0457C4E8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hyperlink w:anchor="_3znysh7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Metodologia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mbria" w:eastAsia="Cambria" w:hAnsi="Cambria" w:cs="Cambria"/>
            </w:rPr>
            <w:t>6</w:t>
          </w:r>
        </w:p>
        <w:p w14:paraId="3629AF0E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>
              <w:rPr>
                <w:color w:val="000000"/>
              </w:rPr>
              <w:t>4.</w:t>
            </w:r>
          </w:hyperlink>
          <w:hyperlink w:anchor="_2et92p0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Aspectos éticos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mbria" w:eastAsia="Cambria" w:hAnsi="Cambria" w:cs="Cambria"/>
            </w:rPr>
            <w:t>8</w:t>
          </w:r>
        </w:p>
        <w:p w14:paraId="782D7D74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hyperlink>
          <w:hyperlink w:anchor="_tyjcwt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Cronograma de atividades</w:t>
          </w:r>
          <w:r>
            <w:rPr>
              <w:color w:val="000000"/>
            </w:rPr>
            <w:tab/>
          </w:r>
          <w:r>
            <w:fldChar w:fldCharType="end"/>
          </w:r>
          <w:r>
            <w:rPr>
              <w:rFonts w:ascii="Cambria" w:eastAsia="Cambria" w:hAnsi="Cambria" w:cs="Cambria"/>
            </w:rPr>
            <w:t>8</w:t>
          </w:r>
        </w:p>
        <w:p w14:paraId="0432D563" w14:textId="38CA09D0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dy6vkm">
            <w:r>
              <w:rPr>
                <w:color w:val="000000"/>
              </w:rPr>
              <w:t>6.</w:t>
            </w:r>
          </w:hyperlink>
          <w:hyperlink w:anchor="_3dy6vkm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  <w:t>9</w:t>
          </w:r>
        </w:p>
        <w:p w14:paraId="2D30EF63" w14:textId="77777777" w:rsidR="00B357C9" w:rsidRDefault="005F1A8B">
          <w:pPr>
            <w:spacing w:line="360" w:lineRule="auto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end"/>
          </w:r>
        </w:p>
      </w:sdtContent>
    </w:sdt>
    <w:p w14:paraId="495C7A30" w14:textId="77777777" w:rsidR="00B357C9" w:rsidRDefault="005F1A8B">
      <w:r>
        <w:br w:type="page"/>
      </w:r>
    </w:p>
    <w:p w14:paraId="7BC85960" w14:textId="77777777" w:rsidR="00B357C9" w:rsidRDefault="005F1A8B">
      <w:pPr>
        <w:pStyle w:val="Ttulo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Introdução e Justificativa</w:t>
      </w:r>
    </w:p>
    <w:p w14:paraId="5019C530" w14:textId="792C8271" w:rsidR="00B357C9" w:rsidRDefault="005F1A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bilinguismo é uma prática crescente no século XXI. As redes digitais trouxeram, junto com a globalização, a presença de um segundo idioma no cotidiano. No Brasil, o bilinguismo apresenta uma tendência de crescimento, em São Paulo por exemplo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a procura 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elas escolas bilíngues cresce consideravelmente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Abebi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2015),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isso mostra o interesse da população de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alfabetizar seus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filhos em dois idiomas. </w:t>
      </w:r>
    </w:p>
    <w:p w14:paraId="07AEB276" w14:textId="6134B8C6" w:rsidR="00B357C9" w:rsidRDefault="005F1A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Além disso, para a neurociência há evidências de que o bilinguismo tem grandes impactos cognitivos no indivídu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o, por exemplo: há uma significativa ligação entre a alternância entre idiomas de indivíduos bilíngues e a capacidade de alternar tarefas. (Prior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Gollan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TH.</w:t>
      </w:r>
      <w:r>
        <w:rPr>
          <w:rFonts w:ascii="Times New Roman" w:eastAsia="Times New Roman" w:hAnsi="Times New Roman" w:cs="Times New Roman"/>
          <w:sz w:val="24"/>
          <w:szCs w:val="24"/>
        </w:rPr>
        <w:t>, 2011).  Somado a isso,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cérebro de um indivíduo bilíngue tem uma melhor adaptação para resolve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 conflitos cognitivos em tarefas cognitivas de domínio geral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highlight w:val="white"/>
        </w:rPr>
        <w:t xml:space="preserve">ABUTALEBI 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8"/>
        </w:rPr>
        <w:t>., 2011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e comparando com </w:t>
      </w:r>
      <w:r w:rsidR="0050496A">
        <w:rPr>
          <w:rFonts w:ascii="Times New Roman" w:eastAsia="Times New Roman" w:hAnsi="Times New Roman" w:cs="Times New Roman"/>
          <w:sz w:val="24"/>
          <w:szCs w:val="24"/>
          <w:highlight w:val="white"/>
        </w:rPr>
        <w:t>monolíngue,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indivíduos bilíngues geralmente apresentam maior volume de massa cinzenta, principalmente em regiões perceptuais/motoras, também possuem 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ior integridade da matéria branca e maior conectividade funcional entre regiões de matéria cinzenta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Grundy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Anderson; Bialystok, 2017).</w:t>
      </w:r>
    </w:p>
    <w:p w14:paraId="5400FB2F" w14:textId="30EF2036" w:rsidR="00B357C9" w:rsidRDefault="005F1A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outro lado, como obstáculo no estudo do bilinguismo, está a necessidade de atestar seu grau de proficiência e a det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erminação da relação de dominância entre línguas para cada pessoa. Para isso é possível a realização de uma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autoavaliação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que o indivíduo é responsável por atribuir seu nível em relação a segunda língua em fatores como escrita, escuta, leitura e fala,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partir de questionários ou escalas (LI; SEPANSKI; ZHAO, 2006). Porém a eficiência da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autoavaliação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 se mostrado limitada, apresentando fatores como: a imprecisão do autojulgamento podendo ser superestimada em jovens e subestimada em idosos e a variaç</w:t>
      </w:r>
      <w:r>
        <w:rPr>
          <w:rFonts w:ascii="Times New Roman" w:eastAsia="Times New Roman" w:hAnsi="Times New Roman" w:cs="Times New Roman"/>
          <w:sz w:val="24"/>
          <w:szCs w:val="24"/>
        </w:rPr>
        <w:t>ão de acurácia para cada idioma avaliado. (DELGADO et al., 1999; GOLLAN et al., 2011, TOMOSCHUK; FERREIRA; GOLLAN, 2018).</w:t>
      </w:r>
    </w:p>
    <w:p w14:paraId="44B11B42" w14:textId="5A736B6B" w:rsidR="00B357C9" w:rsidRDefault="005F1A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Como alternativa para o problema da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autoavaliação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necessário o desenvolvimento de testes padronizados para a classificação de profi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ciência. Para a padronização, é necessário que o teste consiga mensurar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de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uniforme, o nível de proficiência e que possa ser usado em análises experimentais em diferentes línguas e contextos. Para isso, destaca-se o Teste de Nomeação Multilíngue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z w:val="24"/>
          <w:szCs w:val="24"/>
        </w:rPr>
        <w:t>ltilingual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– MINT) desenvolvido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(2011) para aplicação em bilíngues. O teste é formado por 68 figuras cuja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ordem de apresentação reflete o nível de crescimento 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dificuldade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imagens devem ser nomeadas em sequência para L1</w:t>
      </w:r>
      <w:r>
        <w:rPr>
          <w:rFonts w:ascii="Times New Roman" w:eastAsia="Times New Roman" w:hAnsi="Times New Roman" w:cs="Times New Roman"/>
          <w:sz w:val="24"/>
          <w:szCs w:val="24"/>
        </w:rPr>
        <w:t>(língua nativa) e L2 (segunda língua) e a aplicação desse teste foi validada em diferentes estudos com jovens e idosos além de ter sido aplicado em contextos de avaliação de doenças degenerativas (GOLLAN et al., 2011; IVANOVA; SALMON; GOLLAN, 2013). Apesar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disso, o teste foi validado em poucos idiomas e entre os não validados está o português brasileiro.</w:t>
      </w:r>
    </w:p>
    <w:p w14:paraId="596F7D01" w14:textId="4FE9BC9B" w:rsidR="00B357C9" w:rsidRDefault="005F1A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rdsgedfei9v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Assim, vemos que o uso do MINT pode beneficiar em estudos que medem as implicações do bilinguismo na cognição. Neste estudo, faremos uma investigação da 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lação entre as habilidades de controle inibitório, experiência linguística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e proficiência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língua 2.</w:t>
      </w:r>
    </w:p>
    <w:p w14:paraId="251B7AE3" w14:textId="77777777" w:rsidR="00B357C9" w:rsidRDefault="00B357C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d6y5yaeyuov6" w:colFirst="0" w:colLast="0"/>
      <w:bookmarkEnd w:id="3"/>
    </w:p>
    <w:p w14:paraId="2A46230B" w14:textId="77777777" w:rsidR="00B357C9" w:rsidRDefault="00B357C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z7kr4onefjcg" w:colFirst="0" w:colLast="0"/>
      <w:bookmarkEnd w:id="4"/>
    </w:p>
    <w:p w14:paraId="5FBB28E6" w14:textId="77777777" w:rsidR="00B357C9" w:rsidRDefault="00B3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CD978" w14:textId="77777777" w:rsidR="00B357C9" w:rsidRDefault="00B357C9">
      <w:pPr>
        <w:spacing w:line="360" w:lineRule="auto"/>
        <w:ind w:left="708"/>
        <w:jc w:val="both"/>
        <w:rPr>
          <w:rFonts w:ascii="Times New Roman" w:eastAsia="Times New Roman" w:hAnsi="Times New Roman" w:cs="Times New Roman"/>
        </w:rPr>
      </w:pPr>
    </w:p>
    <w:p w14:paraId="2FCFA93C" w14:textId="77777777" w:rsidR="00B357C9" w:rsidRDefault="005F1A8B">
      <w:pPr>
        <w:pStyle w:val="Ttulo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bookmarkStart w:id="5" w:name="_1fob9te" w:colFirst="0" w:colLast="0"/>
      <w:bookmarkEnd w:id="5"/>
      <w:r>
        <w:rPr>
          <w:rFonts w:ascii="Times New Roman" w:eastAsia="Times New Roman" w:hAnsi="Times New Roman" w:cs="Times New Roman"/>
        </w:rPr>
        <w:t>Objetivos</w:t>
      </w:r>
    </w:p>
    <w:p w14:paraId="4C9C3811" w14:textId="57A4C9FB" w:rsidR="00B357C9" w:rsidRDefault="005F1A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estudo tem como intuito adaptar a aplicação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r>
        <w:rPr>
          <w:rFonts w:ascii="Times New Roman" w:eastAsia="Times New Roman" w:hAnsi="Times New Roman" w:cs="Times New Roman"/>
          <w:sz w:val="24"/>
          <w:szCs w:val="24"/>
        </w:rPr>
        <w:t>Teste de Nomeação Multilíngue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Multilingual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- MINT)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(2011)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bilíngues </w:t>
      </w:r>
      <w:r>
        <w:rPr>
          <w:rFonts w:ascii="Times New Roman" w:eastAsia="Times New Roman" w:hAnsi="Times New Roman" w:cs="Times New Roman"/>
          <w:sz w:val="24"/>
          <w:szCs w:val="24"/>
        </w:rPr>
        <w:t>Português-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Inglês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residentes do Brasil. Além disso, testar os efeitos do bilinguismo sobre o acesso lexical na língua 1 em bilíngues português- inglês, previamente testados com o MINT.</w:t>
      </w:r>
    </w:p>
    <w:p w14:paraId="11F3AD62" w14:textId="125027B0" w:rsidR="00044495" w:rsidRDefault="00044495" w:rsidP="000444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Complementarmente,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pretendemos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investigar a relação entre as variáveis de proficiência, experiência linguística e o desempenho no MINT como indicadores de sua aplicabilidade. </w:t>
      </w:r>
    </w:p>
    <w:p w14:paraId="4C4F3EC6" w14:textId="77777777" w:rsidR="00044495" w:rsidRDefault="00044495" w:rsidP="000444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Pretende-se, ainda, investigar o acesso lexical na população-alvo bilíngue e compará-la a monolíngues. Para isto, os dois grupos, bilíngues e monolíngues, serão submetidos a questionários de experiência linguística e de proficiência, assim como comparados em relação ao desempenho nos testes de vocabulário. Diante disso, espera-se investigar de que forma as diferenças observadas estão relacionadas às medidas de proficiência, experiência linguística e funções executivas, que serão avaliadas por meio da tarefa de Simon através do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Psytoolkit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(STOET, 2010; STOET, 2017).</w:t>
      </w:r>
    </w:p>
    <w:p w14:paraId="201FB2C7" w14:textId="77777777" w:rsidR="00B357C9" w:rsidRDefault="00B3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A4485" w14:textId="77777777" w:rsidR="00B357C9" w:rsidRDefault="00B357C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3A66A" w14:textId="77777777" w:rsidR="00B357C9" w:rsidRDefault="005F1A8B">
      <w:pPr>
        <w:pStyle w:val="Ttulo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bookmarkStart w:id="6" w:name="_3znysh7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Metodologia</w:t>
      </w:r>
    </w:p>
    <w:p w14:paraId="21D41357" w14:textId="329DC68C" w:rsidR="00B357C9" w:rsidRDefault="005F1A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estudo se divide em duas fases: fase de adap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tação e teste de aplicabilidade do MINT. Primeiramente,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 xml:space="preserve">em projeto de IC ainda em andamento (2021-2022) está </w:t>
      </w:r>
      <w:proofErr w:type="gramStart"/>
      <w:r w:rsidR="0050496A">
        <w:rPr>
          <w:rFonts w:ascii="Times New Roman" w:eastAsia="Times New Roman" w:hAnsi="Times New Roman" w:cs="Times New Roman"/>
          <w:sz w:val="24"/>
          <w:szCs w:val="24"/>
        </w:rPr>
        <w:t xml:space="preserve">sendo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fase de adaptação do teste MINT, a partir da avaliação psicolinguística dos estímulos do teste original, realizada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pelo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Grupo de Estudos em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 xml:space="preserve"> XXX</w:t>
      </w:r>
      <w: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serão recrutados 40 adultos jovens fluentes em português, totalizando 120 indivíduos com escolaridade mínima de 11 anos (ensino médio completo). Para testar a aplicação do MINT em bilíngues Português-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Inglês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deverá 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feita a avaliação psicolinguística dos estímulos do teste nos 40 participantes cuja língua materna é o Português. Os estímulos serão adaptados conforme aspectos como: Complexidade visual das figuras (quanto o estímulo é simples ou complexo em relação ao c</w:t>
      </w:r>
      <w:r>
        <w:rPr>
          <w:rFonts w:ascii="Times New Roman" w:eastAsia="Times New Roman" w:hAnsi="Times New Roman" w:cs="Times New Roman"/>
          <w:sz w:val="24"/>
          <w:szCs w:val="24"/>
        </w:rPr>
        <w:t>onceito), concordância de nomeação (quais são os vocábulos usados para nomear esse estímulo em português), familiaridade (se o estímulo é mais ou menos familiar) e idade de aquisição (com que idade os indivíduos consideram que aprenderam aquela palavra).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utros aspectos que serão incluídos na adaptação são frequência (corpus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Linguateca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AC/DC) e a extensão dos estímulos (número de letras e sílabas). Para a avaliação será utilizada a escala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sete pontos (em que 1 corresponde a “nenhuma identificaç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ão” e 7 a “identificação completa”) (ROBINSON, 2014). </w:t>
      </w:r>
    </w:p>
    <w:p w14:paraId="5FF6BA7C" w14:textId="54A5540F" w:rsidR="00B357C9" w:rsidRDefault="005F1A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isso, a segunda fase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, a que se refere este projeto,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o teste de aplicabilidade do instrumento e reunirá 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indivíduos bilíngues que tenham como idioma nativo o português e como segundo idioma o inglês. Os indivíduos serão c</w:t>
      </w:r>
      <w:r>
        <w:rPr>
          <w:rFonts w:ascii="Times New Roman" w:eastAsia="Times New Roman" w:hAnsi="Times New Roman" w:cs="Times New Roman"/>
          <w:sz w:val="24"/>
          <w:szCs w:val="24"/>
        </w:rPr>
        <w:t>aracterizados quanto a proficiência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leipzig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autoavaliação) e experiência linguística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Posteriormente, os participantes farão o MINT em inglês e em português. A avaliação será feita de forma remota (com ferramentas como 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zoom) e utilizar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á formulários google e a ferramenta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psytoolkit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 teste, 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indivíduos que tenham o português e inglês como L1 (língua materna) e L2 (Segunda língua), respectivamente, deverão nomear as figuras padronizadas do teste MINT. Assim, a aplicação do teste avali</w:t>
      </w:r>
      <w:r>
        <w:rPr>
          <w:rFonts w:ascii="Times New Roman" w:eastAsia="Times New Roman" w:hAnsi="Times New Roman" w:cs="Times New Roman"/>
          <w:sz w:val="24"/>
          <w:szCs w:val="24"/>
        </w:rPr>
        <w:t>ará a acurácia das respostas na nomeação em L1 e L2, e o tipo de erro cometido pelos participantes: fonológico, semântico ou por desconhecimento da palavra. Na fase de coleta, particularmente, será feita uma divisão quanto à ordem de nomeação. Assim sendo,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dos voluntários nomearão primeiramente imagens em português e, em seguida,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  inglês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De outra parte, o segundo grupo de 20 voluntários seguirá pelo caminho oposto. </w:t>
      </w:r>
    </w:p>
    <w:p w14:paraId="175D04A3" w14:textId="77777777" w:rsidR="00B357C9" w:rsidRDefault="00B3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78FAB" w14:textId="77777777" w:rsidR="00B357C9" w:rsidRDefault="005F1A8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 paralelo ao teste MINT serão realizados os seguintes testes: Questionário de Experiência e Proficiência Linguística (The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Experience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Proficiency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Questionnaire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LEAP-Q) na versão traduzida para o Português (SCHOOL; FONTES, 2015) e o Question</w:t>
      </w:r>
      <w:r>
        <w:rPr>
          <w:rFonts w:ascii="Times New Roman" w:eastAsia="Times New Roman" w:hAnsi="Times New Roman" w:cs="Times New Roman"/>
          <w:sz w:val="24"/>
          <w:szCs w:val="24"/>
        </w:rPr>
        <w:t>ário Histórico-Linguístico (LHQ). O LEAP-Q se trata de um teste que permite a autoavaliação de proficiência de bilíngues entre 14 e 80 anos, composto por um questionário geral com nove perguntas, seguido por sete perguntas adicionais para cada língua avali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ada. As perguntas, que requerem estimação de grau ou força, são respondidas por meio de uma Escala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11 pontos (0-10) em que 0 corresponde a “nenhuma identificação” e 10 a “identificação completa”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MARIAN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BLUMENFELD; KAUSHANSKY, 2019). O LHQ é 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questionário que permite detalhar o histórico linguístico e a proficiência de bilíngues e multilíngues composto por 27 itens que verificam histórico linguístico, proficiência, domínio, contexto e uso de linguagem (LI et al., 2019). </w:t>
      </w:r>
    </w:p>
    <w:p w14:paraId="799F84A2" w14:textId="7ED02A91" w:rsidR="00B357C9" w:rsidRDefault="005F1A8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Seguidamente, ser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</w:t>
      </w:r>
      <w:r>
        <w:rPr>
          <w:rFonts w:ascii="Times New Roman" w:eastAsia="Times New Roman" w:hAnsi="Times New Roman" w:cs="Times New Roman"/>
          <w:sz w:val="24"/>
          <w:szCs w:val="24"/>
        </w:rPr>
        <w:t>lizado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teste</w:t>
      </w:r>
      <w:r w:rsidR="0004449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fluência verbal e o teste de Simon. No teste de Simon o participante será exposto a uma cruz de fixação direcionando sua atenção ao centro da tela. Após isto aparecerá uma figura (círculo) que pode possuir tanto a cor azul quanto a cor 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rde, na qual o indivíduo terá que responder pelo teclado utilizando a tecla à esquerda (letra A) caso seja azul ou a tecla a direita (letra L) caso seja verde, sendo que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haverão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tanto estímulos congruentes (figura e tecla na mesma direção) quanto incongrue</w:t>
      </w:r>
      <w:r>
        <w:rPr>
          <w:rFonts w:ascii="Times New Roman" w:eastAsia="Times New Roman" w:hAnsi="Times New Roman" w:cs="Times New Roman"/>
          <w:sz w:val="24"/>
          <w:szCs w:val="24"/>
        </w:rPr>
        <w:t>ntes (figura e tecla em direções opostas) como podemos observar na imagem a seguir.</w:t>
      </w:r>
    </w:p>
    <w:p w14:paraId="77B0422B" w14:textId="77777777" w:rsidR="00B357C9" w:rsidRDefault="005F1A8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C07BB6A" wp14:editId="6FAD9E28">
            <wp:extent cx="5399730" cy="3467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6D9F" w14:textId="77777777" w:rsidR="00B357C9" w:rsidRDefault="00B357C9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54C4C" w14:textId="77777777" w:rsidR="00B357C9" w:rsidRDefault="00B3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CC9CA" w14:textId="77777777" w:rsidR="00B357C9" w:rsidRDefault="005F1A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coleta dos dados será feita em plataforma online através do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Psytoolkit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(STOET, 2010; STOET, 2017). A medição do nível de proficiência e acurácia serão extraídos do questionário de caracterização e frequência de uso da língua (LHQ) e dos testes de av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aliação do nível de proficiência nas três línguas (Leipzig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vocabulary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Quanto ao tempo de reação e acurácia, serão coletados por meio da ferramenta de análise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psytoolkit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onde utilizaremos a mediana do tempo de reação e o número total de acertos em c</w:t>
      </w:r>
      <w:r>
        <w:rPr>
          <w:rFonts w:ascii="Times New Roman" w:eastAsia="Times New Roman" w:hAnsi="Times New Roman" w:cs="Times New Roman"/>
          <w:sz w:val="24"/>
          <w:szCs w:val="24"/>
        </w:rPr>
        <w:t>ada condição.</w:t>
      </w:r>
    </w:p>
    <w:p w14:paraId="62461D7A" w14:textId="77777777" w:rsidR="00B357C9" w:rsidRDefault="00B357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E5BC05" w14:textId="77777777" w:rsidR="00B357C9" w:rsidRDefault="00B357C9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AD878" w14:textId="77777777" w:rsidR="00B357C9" w:rsidRDefault="00B357C9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F4676" w14:textId="77777777" w:rsidR="00B357C9" w:rsidRDefault="005F1A8B">
      <w:pPr>
        <w:pStyle w:val="Ttulo1"/>
        <w:numPr>
          <w:ilvl w:val="0"/>
          <w:numId w:val="1"/>
        </w:numPr>
      </w:pPr>
      <w:bookmarkStart w:id="7" w:name="_2et92p0" w:colFirst="0" w:colLast="0"/>
      <w:bookmarkEnd w:id="7"/>
      <w:r>
        <w:t>Viabilidade</w:t>
      </w:r>
    </w:p>
    <w:p w14:paraId="3B3F1906" w14:textId="77777777" w:rsidR="00B357C9" w:rsidRDefault="00B357C9"/>
    <w:p w14:paraId="7EAFD444" w14:textId="1296212F" w:rsidR="00B357C9" w:rsidRDefault="005F1A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presente estudo </w:t>
      </w:r>
      <w:r w:rsidR="0050496A">
        <w:rPr>
          <w:rFonts w:ascii="Times New Roman" w:eastAsia="Times New Roman" w:hAnsi="Times New Roman" w:cs="Times New Roman"/>
          <w:sz w:val="24"/>
          <w:szCs w:val="24"/>
        </w:rPr>
        <w:t>já foi aprovado pelo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Comitê de Ética em Pesquisa no período que antecede o início da vigência do Edital de Iniciação Científica 01/2021, sem que o tempo necessário para aprovação interfira no desenvolvimento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atividades. Além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disso, devido à pandemia de COVID-19, as etapas de coleta do projeto serão realizadas online e sem comprometimento dos resultados desejados, e pode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finalizado dentro do período de doze meses, determinado pela Pró-reitora de Pesquis</w:t>
      </w:r>
      <w:r>
        <w:rPr>
          <w:rFonts w:ascii="Times New Roman" w:eastAsia="Times New Roman" w:hAnsi="Times New Roman" w:cs="Times New Roman"/>
          <w:sz w:val="24"/>
          <w:szCs w:val="24"/>
        </w:rPr>
        <w:t>a da Universidade Federal do ABC.</w:t>
      </w:r>
    </w:p>
    <w:p w14:paraId="3A6F33C8" w14:textId="77777777" w:rsidR="00B357C9" w:rsidRDefault="005F1A8B">
      <w:pPr>
        <w:pStyle w:val="Ttulo1"/>
        <w:numPr>
          <w:ilvl w:val="0"/>
          <w:numId w:val="1"/>
        </w:numPr>
      </w:pPr>
      <w:r>
        <w:t xml:space="preserve"> Aspectos éticos</w:t>
      </w:r>
    </w:p>
    <w:p w14:paraId="57225BE4" w14:textId="77777777" w:rsidR="00B357C9" w:rsidRDefault="005F1A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desenvolvimento do projeto, inicialmente este será submetido ao comitê de Ética em pesquisa e aos participantes, sendo feito a assinatura de termo de consentimento por parte dos voluntários para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requisitos e padrões éticos sejam cumpridos.</w:t>
      </w:r>
    </w:p>
    <w:p w14:paraId="5C2C2AAB" w14:textId="77777777" w:rsidR="00B357C9" w:rsidRDefault="00B357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DD118" w14:textId="77777777" w:rsidR="00B357C9" w:rsidRDefault="00B357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B3993" w14:textId="77777777" w:rsidR="00B357C9" w:rsidRDefault="00B357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6431" w14:textId="77777777" w:rsidR="00B357C9" w:rsidRDefault="005F1A8B">
      <w:pPr>
        <w:pStyle w:val="Ttulo1"/>
        <w:ind w:left="360"/>
        <w:rPr>
          <w:rFonts w:ascii="Times New Roman" w:eastAsia="Times New Roman" w:hAnsi="Times New Roman" w:cs="Times New Roman"/>
        </w:rPr>
      </w:pPr>
      <w:bookmarkStart w:id="8" w:name="_tyjcwt" w:colFirst="0" w:colLast="0"/>
      <w:bookmarkEnd w:id="8"/>
      <w:r>
        <w:rPr>
          <w:rFonts w:ascii="Times New Roman" w:eastAsia="Times New Roman" w:hAnsi="Times New Roman" w:cs="Times New Roman"/>
        </w:rPr>
        <w:t>6. Cronograma de atividades</w:t>
      </w:r>
    </w:p>
    <w:p w14:paraId="61FC7096" w14:textId="77777777" w:rsidR="00B357C9" w:rsidRDefault="00B357C9">
      <w:pPr>
        <w:pStyle w:val="Ttulo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C668C" w14:textId="77777777" w:rsidR="00B357C9" w:rsidRDefault="005F1A8B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Avaliação da aplicabilidade do teste</w:t>
      </w:r>
    </w:p>
    <w:p w14:paraId="1216C82D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Preenchimento de questionário de experiência linguística.</w:t>
      </w:r>
    </w:p>
    <w:p w14:paraId="0F0A2C7C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 de proficiência.</w:t>
      </w:r>
    </w:p>
    <w:p w14:paraId="14594520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Autoavaliação da proficiência </w:t>
      </w:r>
    </w:p>
    <w:p w14:paraId="3FBD9951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Realização do MINT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Inglês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Português.</w:t>
      </w:r>
    </w:p>
    <w:p w14:paraId="67AF9735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Realização do teste de fluência verba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5648C3D7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Realização do teste de Simon</w:t>
      </w:r>
    </w:p>
    <w:p w14:paraId="408DE50C" w14:textId="77777777" w:rsidR="00B357C9" w:rsidRDefault="005F1A8B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Análise dos dados</w:t>
      </w:r>
    </w:p>
    <w:p w14:paraId="1E98E450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Compilação dos resultados dos testes de nomeação.</w:t>
      </w:r>
    </w:p>
    <w:p w14:paraId="6A7B9A91" w14:textId="77777777" w:rsidR="00B357C9" w:rsidRDefault="005F1A8B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Interpretação dos resultados observados.</w:t>
      </w:r>
    </w:p>
    <w:p w14:paraId="22E58DC9" w14:textId="77777777" w:rsidR="00B357C9" w:rsidRDefault="005F1A8B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Elaboração do relatório final e apresentação.</w:t>
      </w:r>
    </w:p>
    <w:p w14:paraId="5B7D1B14" w14:textId="77777777" w:rsidR="00B357C9" w:rsidRDefault="005F1A8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"/>
        <w:tblW w:w="88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8"/>
        <w:gridCol w:w="548"/>
        <w:gridCol w:w="548"/>
        <w:gridCol w:w="548"/>
        <w:gridCol w:w="549"/>
        <w:gridCol w:w="549"/>
        <w:gridCol w:w="549"/>
        <w:gridCol w:w="549"/>
        <w:gridCol w:w="535"/>
        <w:gridCol w:w="549"/>
        <w:gridCol w:w="549"/>
        <w:gridCol w:w="549"/>
        <w:gridCol w:w="549"/>
        <w:gridCol w:w="549"/>
      </w:tblGrid>
      <w:tr w:rsidR="00B357C9" w14:paraId="6C47D741" w14:textId="77777777">
        <w:trPr>
          <w:trHeight w:val="755"/>
        </w:trPr>
        <w:tc>
          <w:tcPr>
            <w:tcW w:w="17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BDE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Etapa</w:t>
            </w:r>
          </w:p>
        </w:tc>
        <w:tc>
          <w:tcPr>
            <w:tcW w:w="7120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5FD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Mês</w:t>
            </w:r>
          </w:p>
        </w:tc>
      </w:tr>
      <w:tr w:rsidR="00B357C9" w14:paraId="18DFCE95" w14:textId="77777777">
        <w:trPr>
          <w:trHeight w:val="470"/>
        </w:trPr>
        <w:tc>
          <w:tcPr>
            <w:tcW w:w="17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C723" w14:textId="77777777" w:rsidR="00B357C9" w:rsidRDefault="00B3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3A31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</w:t>
            </w:r>
            <w:proofErr w:type="spellEnd"/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57A5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39B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D73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3F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231C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CBD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4C8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B05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5A9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FEB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89B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15C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B357C9" w14:paraId="5313D216" w14:textId="77777777">
        <w:trPr>
          <w:trHeight w:val="78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DD7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Revisão da literatura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953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6C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073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E8A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2B6D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EFD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8DB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465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7AA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4CF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294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325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5FB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B357C9" w14:paraId="11E71C11" w14:textId="77777777">
        <w:trPr>
          <w:trHeight w:val="105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7155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Participação no grupo de estudos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8D7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E1ED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16D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21F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2367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E701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013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158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388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F3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96A3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BAA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EDBC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B357C9" w14:paraId="7697634C" w14:textId="77777777">
        <w:trPr>
          <w:trHeight w:val="105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78B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Submissão ao Comitê de Ética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E0D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56F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5124" w14:textId="77777777" w:rsidR="00B357C9" w:rsidRDefault="00B357C9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C53F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C5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D66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13B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914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07F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766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1CB1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92E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C71C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57C9" w14:paraId="106E2E9D" w14:textId="77777777">
        <w:trPr>
          <w:trHeight w:val="78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4AA1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Avaliação psicolinguística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CB3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F1AC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3FC2" w14:textId="77777777" w:rsidR="00B357C9" w:rsidRDefault="00B357C9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BB03" w14:textId="77777777" w:rsidR="00B357C9" w:rsidRDefault="00B357C9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2B2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081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A962" w14:textId="77777777" w:rsidR="00B357C9" w:rsidRDefault="005F1A8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E991" w14:textId="77777777" w:rsidR="00B357C9" w:rsidRDefault="005F1A8B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5F21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4DC7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AE8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AD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02E7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57C9" w14:paraId="21385600" w14:textId="77777777">
        <w:trPr>
          <w:trHeight w:val="78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69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Avaliação da aplicabilidade do Teste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78C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BF3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8675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ED6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4DE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98E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4ED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049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EC1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58DC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E675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FE20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19D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57C9" w14:paraId="073A5D2B" w14:textId="77777777">
        <w:trPr>
          <w:trHeight w:val="78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125F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Análise de dados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E3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CDA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CC00" w14:textId="77777777" w:rsidR="00B357C9" w:rsidRDefault="00B357C9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DC49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D6E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40F7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2BA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A365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51F4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C5A6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3A2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97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F8D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57C9" w14:paraId="1DE84A3F" w14:textId="77777777">
        <w:trPr>
          <w:trHeight w:val="1055"/>
        </w:trPr>
        <w:tc>
          <w:tcPr>
            <w:tcW w:w="1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FC0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Elaboração do relatório final e apresentação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AEB2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E32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AFE0" w14:textId="77777777" w:rsidR="00B357C9" w:rsidRDefault="00B357C9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A9E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C4C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455D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B4F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73DA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E33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8C0B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07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E5FF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B68" w14:textId="77777777" w:rsidR="00B357C9" w:rsidRDefault="005F1A8B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37525D4" w14:textId="77777777" w:rsidR="00B357C9" w:rsidRDefault="00B357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393923" w14:textId="77777777" w:rsidR="00B357C9" w:rsidRDefault="00B357C9"/>
    <w:p w14:paraId="5E51EF1F" w14:textId="77777777" w:rsidR="00B357C9" w:rsidRDefault="00B357C9"/>
    <w:p w14:paraId="084F5866" w14:textId="77777777" w:rsidR="00B357C9" w:rsidRDefault="00B357C9"/>
    <w:p w14:paraId="66FEF640" w14:textId="77777777" w:rsidR="00B357C9" w:rsidRDefault="00B357C9"/>
    <w:p w14:paraId="5E39F41A" w14:textId="77777777" w:rsidR="00B357C9" w:rsidRDefault="00B357C9"/>
    <w:p w14:paraId="70567723" w14:textId="77777777" w:rsidR="00B357C9" w:rsidRDefault="00B357C9"/>
    <w:p w14:paraId="402576EC" w14:textId="77777777" w:rsidR="00B357C9" w:rsidRDefault="005F1A8B">
      <w:pPr>
        <w:pStyle w:val="Ttulo1"/>
        <w:ind w:left="360"/>
        <w:rPr>
          <w:u w:val="single"/>
        </w:rPr>
      </w:pPr>
      <w:bookmarkStart w:id="9" w:name="_3dy6vkm" w:colFirst="0" w:colLast="0"/>
      <w:bookmarkEnd w:id="9"/>
      <w:r>
        <w:rPr>
          <w:u w:val="single"/>
        </w:rPr>
        <w:t>7. Referências</w:t>
      </w:r>
    </w:p>
    <w:p w14:paraId="7850034A" w14:textId="77777777" w:rsidR="00B357C9" w:rsidRDefault="00B357C9">
      <w:pPr>
        <w:jc w:val="both"/>
      </w:pPr>
    </w:p>
    <w:p w14:paraId="309B19A2" w14:textId="77777777" w:rsidR="00B357C9" w:rsidRDefault="005F1A8B">
      <w:pPr>
        <w:spacing w:after="0" w:line="39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ABEBI. </w:t>
      </w:r>
      <w:r>
        <w:rPr>
          <w:rFonts w:ascii="Times New Roman" w:eastAsia="Times New Roman" w:hAnsi="Times New Roman" w:cs="Times New Roman"/>
          <w:b/>
        </w:rPr>
        <w:t>Bilinguismo e Educação Bilíngue – discutindo conceitos | ABEBI</w:t>
      </w:r>
      <w:r>
        <w:rPr>
          <w:rFonts w:ascii="Times New Roman" w:eastAsia="Times New Roman" w:hAnsi="Times New Roman" w:cs="Times New Roman"/>
        </w:rPr>
        <w:t>. Abebi.com.br. Disponível em: &lt;http://abebi.com.br/bilinguismo-e-educacao-bilingue-discutindo-conceitos/&gt;. Acesso em: 30 May 2021.</w:t>
      </w:r>
    </w:p>
    <w:p w14:paraId="4933171F" w14:textId="77777777" w:rsidR="00B357C9" w:rsidRDefault="005F1A8B">
      <w:pPr>
        <w:spacing w:after="0" w:line="39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ABUTALEBI,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Jubin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Bilingualism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Tunes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Anterior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Cingul</w:t>
      </w:r>
      <w:r>
        <w:rPr>
          <w:rFonts w:ascii="Times New Roman" w:eastAsia="Times New Roman" w:hAnsi="Times New Roman" w:cs="Times New Roman"/>
          <w:highlight w:val="white"/>
        </w:rPr>
        <w:t>ate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Cortex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Conflict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Monitoring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Cerebral </w:t>
      </w:r>
      <w:proofErr w:type="spellStart"/>
      <w:r>
        <w:rPr>
          <w:rFonts w:ascii="Times New Roman" w:eastAsia="Times New Roman" w:hAnsi="Times New Roman" w:cs="Times New Roman"/>
        </w:rPr>
        <w:t>Cortex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, v. 22, n. 9, p. 2076–2086, 2011.</w:t>
      </w:r>
    </w:p>
    <w:p w14:paraId="480ACDBD" w14:textId="77777777" w:rsidR="00B357C9" w:rsidRDefault="005F1A8B">
      <w:pPr>
        <w:spacing w:after="0" w:line="39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839E74" w14:textId="77777777" w:rsidR="00B357C9" w:rsidRPr="00AA305F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50496A">
        <w:rPr>
          <w:rFonts w:ascii="Times New Roman" w:eastAsia="Times New Roman" w:hAnsi="Times New Roman" w:cs="Times New Roman"/>
          <w:lang w:val="en-US"/>
        </w:rPr>
        <w:t xml:space="preserve">DELGADO, Pedro; GUERRERO, Gabriela; GOGGIN, Judith P.; </w:t>
      </w:r>
      <w:r w:rsidRPr="0050496A">
        <w:rPr>
          <w:rFonts w:ascii="Times New Roman" w:eastAsia="Times New Roman" w:hAnsi="Times New Roman" w:cs="Times New Roman"/>
          <w:i/>
          <w:lang w:val="en-US"/>
        </w:rPr>
        <w:t>et al</w:t>
      </w:r>
      <w:r w:rsidRPr="0050496A">
        <w:rPr>
          <w:rFonts w:ascii="Times New Roman" w:eastAsia="Times New Roman" w:hAnsi="Times New Roman" w:cs="Times New Roman"/>
          <w:lang w:val="en-US"/>
        </w:rPr>
        <w:t xml:space="preserve">. Self-Assessment of Linguistic Skills by Bilingual Hispanics. </w:t>
      </w:r>
      <w:r w:rsidRPr="00AA305F">
        <w:rPr>
          <w:rFonts w:ascii="Times New Roman" w:eastAsia="Times New Roman" w:hAnsi="Times New Roman" w:cs="Times New Roman"/>
          <w:b/>
          <w:lang w:val="en-US"/>
        </w:rPr>
        <w:t>Hispanic Journal of Behavioral Sciences</w:t>
      </w:r>
      <w:r w:rsidRPr="00AA305F">
        <w:rPr>
          <w:rFonts w:ascii="Times New Roman" w:eastAsia="Times New Roman" w:hAnsi="Times New Roman" w:cs="Times New Roman"/>
          <w:lang w:val="en-US"/>
        </w:rPr>
        <w:t>, v. 2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1, n. 1, p. 31–46, 1999.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Disponível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: &lt;https://journals.sagepub.com/doi/abs/10.1177/0739986399211003&gt;.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Acesso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>: 30 May 2021.</w:t>
      </w:r>
    </w:p>
    <w:p w14:paraId="1162BD55" w14:textId="77777777" w:rsidR="00B357C9" w:rsidRPr="00AA305F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4061CA8" w14:textId="77777777" w:rsidR="00B357C9" w:rsidRDefault="005F1A8B">
      <w:pPr>
        <w:spacing w:after="0" w:line="392" w:lineRule="auto"/>
        <w:rPr>
          <w:rFonts w:ascii="Times New Roman" w:eastAsia="Times New Roman" w:hAnsi="Times New Roman" w:cs="Times New Roman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GOLLAN, TAMAR H.; WEISSBERGER, GALI H.; RUNNQVIST, ELIN; </w:t>
      </w:r>
      <w:r w:rsidRPr="00AA305F">
        <w:rPr>
          <w:rFonts w:ascii="Times New Roman" w:eastAsia="Times New Roman" w:hAnsi="Times New Roman" w:cs="Times New Roman"/>
          <w:i/>
          <w:lang w:val="en-US"/>
        </w:rPr>
        <w:t>et al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. </w:t>
      </w:r>
      <w:r w:rsidRPr="0050496A">
        <w:rPr>
          <w:rFonts w:ascii="Times New Roman" w:eastAsia="Times New Roman" w:hAnsi="Times New Roman" w:cs="Times New Roman"/>
          <w:lang w:val="en-US"/>
        </w:rPr>
        <w:t xml:space="preserve">Self-ratings of spoken language dominance: A Multilingual Naming Test (MINT) and preliminary norms for young and aging Spanish–English bilinguals. </w:t>
      </w:r>
      <w:proofErr w:type="spellStart"/>
      <w:r>
        <w:rPr>
          <w:rFonts w:ascii="Times New Roman" w:eastAsia="Times New Roman" w:hAnsi="Times New Roman" w:cs="Times New Roman"/>
          <w:b/>
        </w:rPr>
        <w:t>Bilingualism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Language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Cognition</w:t>
      </w:r>
      <w:proofErr w:type="spellEnd"/>
      <w:r>
        <w:rPr>
          <w:rFonts w:ascii="Times New Roman" w:eastAsia="Times New Roman" w:hAnsi="Times New Roman" w:cs="Times New Roman"/>
        </w:rPr>
        <w:t>, v. 15, n. 3, p. 594–615, 2011. Disponível em: &lt;https://pubmed.ncbi.nl</w:t>
      </w:r>
      <w:r>
        <w:rPr>
          <w:rFonts w:ascii="Times New Roman" w:eastAsia="Times New Roman" w:hAnsi="Times New Roman" w:cs="Times New Roman"/>
        </w:rPr>
        <w:t>m.nih.gov/25364296/&gt;. Acesso em: 30 May 2021.</w:t>
      </w:r>
    </w:p>
    <w:p w14:paraId="4986040A" w14:textId="77777777" w:rsidR="00B357C9" w:rsidRDefault="00B357C9">
      <w:pPr>
        <w:spacing w:after="0" w:line="392" w:lineRule="auto"/>
        <w:rPr>
          <w:rFonts w:ascii="Times New Roman" w:eastAsia="Times New Roman" w:hAnsi="Times New Roman" w:cs="Times New Roman"/>
        </w:rPr>
      </w:pPr>
    </w:p>
    <w:p w14:paraId="3555D783" w14:textId="77777777" w:rsidR="00B357C9" w:rsidRPr="00AA305F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GRUNDY, John G.; ANDERSON, John </w:t>
      </w:r>
      <w:proofErr w:type="gramStart"/>
      <w:r w:rsidRPr="00AA305F">
        <w:rPr>
          <w:rFonts w:ascii="Times New Roman" w:eastAsia="Times New Roman" w:hAnsi="Times New Roman" w:cs="Times New Roman"/>
          <w:lang w:val="en-US"/>
        </w:rPr>
        <w:t>A.E. ;</w:t>
      </w:r>
      <w:proofErr w:type="gramEnd"/>
      <w:r w:rsidRPr="00AA305F">
        <w:rPr>
          <w:rFonts w:ascii="Times New Roman" w:eastAsia="Times New Roman" w:hAnsi="Times New Roman" w:cs="Times New Roman"/>
          <w:lang w:val="en-US"/>
        </w:rPr>
        <w:t xml:space="preserve"> BIALYSTOK, Ellen. Neural correlates of cognitive processing in monolinguals and bilinguals. </w:t>
      </w:r>
      <w:r w:rsidRPr="00AA305F">
        <w:rPr>
          <w:rFonts w:ascii="Times New Roman" w:eastAsia="Times New Roman" w:hAnsi="Times New Roman" w:cs="Times New Roman"/>
          <w:b/>
          <w:lang w:val="en-US"/>
        </w:rPr>
        <w:t>Annals of the New York Academy of Sciences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, v. 1396, n. 1, p. 183–201, 2017.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isponível em: &lt;https://www.ncbi.nlm.nih.gov/</w:t>
      </w:r>
      <w:proofErr w:type="spellStart"/>
      <w:r>
        <w:rPr>
          <w:rFonts w:ascii="Times New Roman" w:eastAsia="Times New Roman" w:hAnsi="Times New Roman" w:cs="Times New Roman"/>
        </w:rPr>
        <w:t>pmc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articles</w:t>
      </w:r>
      <w:proofErr w:type="spellEnd"/>
      <w:r>
        <w:rPr>
          <w:rFonts w:ascii="Times New Roman" w:eastAsia="Times New Roman" w:hAnsi="Times New Roman" w:cs="Times New Roman"/>
        </w:rPr>
        <w:t xml:space="preserve">/PMC5446278/&gt;.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Acesso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>: 30 May 2021.</w:t>
      </w:r>
    </w:p>
    <w:p w14:paraId="39399B4D" w14:textId="77777777" w:rsidR="00B357C9" w:rsidRPr="00AA305F" w:rsidRDefault="00B357C9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</w:p>
    <w:p w14:paraId="7207A339" w14:textId="77777777" w:rsidR="00B357C9" w:rsidRPr="0050496A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IVANOVA, Iva; SALMON, David </w:t>
      </w:r>
      <w:proofErr w:type="gramStart"/>
      <w:r w:rsidRPr="00AA305F">
        <w:rPr>
          <w:rFonts w:ascii="Times New Roman" w:eastAsia="Times New Roman" w:hAnsi="Times New Roman" w:cs="Times New Roman"/>
          <w:lang w:val="en-US"/>
        </w:rPr>
        <w:t>P. ;</w:t>
      </w:r>
      <w:proofErr w:type="gramEnd"/>
      <w:r w:rsidRPr="00AA305F">
        <w:rPr>
          <w:rFonts w:ascii="Times New Roman" w:eastAsia="Times New Roman" w:hAnsi="Times New Roman" w:cs="Times New Roman"/>
          <w:lang w:val="en-US"/>
        </w:rPr>
        <w:t xml:space="preserve"> GOLLAN, Tamar H. The Multilingual Naming Test in Alzheimer’s Disease: Clues to the Origin of Naming Impairments. </w:t>
      </w:r>
      <w:r w:rsidRPr="00AA305F">
        <w:rPr>
          <w:rFonts w:ascii="Times New Roman" w:eastAsia="Times New Roman" w:hAnsi="Times New Roman" w:cs="Times New Roman"/>
          <w:b/>
          <w:lang w:val="en-US"/>
        </w:rPr>
        <w:t>Journal of the</w:t>
      </w:r>
      <w:r w:rsidRPr="00AA305F">
        <w:rPr>
          <w:rFonts w:ascii="Times New Roman" w:eastAsia="Times New Roman" w:hAnsi="Times New Roman" w:cs="Times New Roman"/>
          <w:b/>
          <w:lang w:val="en-US"/>
        </w:rPr>
        <w:t xml:space="preserve"> International Neuropsychological Society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, v. 19, n. 3, p. 272–283, 2013.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Disponível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: &lt;https://pubmed.ncbi.nlm.nih.gov/23298442/&gt;. </w:t>
      </w:r>
      <w:proofErr w:type="spellStart"/>
      <w:r w:rsidRPr="0050496A">
        <w:rPr>
          <w:rFonts w:ascii="Times New Roman" w:eastAsia="Times New Roman" w:hAnsi="Times New Roman" w:cs="Times New Roman"/>
          <w:lang w:val="en-US"/>
        </w:rPr>
        <w:t>Acesso</w:t>
      </w:r>
      <w:proofErr w:type="spellEnd"/>
      <w:r w:rsidRPr="0050496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0496A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50496A">
        <w:rPr>
          <w:rFonts w:ascii="Times New Roman" w:eastAsia="Times New Roman" w:hAnsi="Times New Roman" w:cs="Times New Roman"/>
          <w:lang w:val="en-US"/>
        </w:rPr>
        <w:t>: 30 May 2021.</w:t>
      </w:r>
    </w:p>
    <w:p w14:paraId="2A0DC223" w14:textId="77777777" w:rsidR="00B357C9" w:rsidRPr="0050496A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50496A">
        <w:rPr>
          <w:rFonts w:ascii="Times New Roman" w:eastAsia="Times New Roman" w:hAnsi="Times New Roman" w:cs="Times New Roman"/>
          <w:lang w:val="en-US"/>
        </w:rPr>
        <w:t xml:space="preserve">  </w:t>
      </w:r>
    </w:p>
    <w:p w14:paraId="6CDD7913" w14:textId="77777777" w:rsidR="00B357C9" w:rsidRPr="0050496A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50496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77ACF3B" w14:textId="77777777" w:rsidR="00B357C9" w:rsidRPr="00AA305F" w:rsidRDefault="005F1A8B">
      <w:pPr>
        <w:rPr>
          <w:rFonts w:ascii="Times New Roman" w:eastAsia="Times New Roman" w:hAnsi="Times New Roman" w:cs="Times New Roman"/>
          <w:lang w:val="en-US"/>
        </w:rPr>
      </w:pPr>
      <w:r w:rsidRPr="0050496A">
        <w:rPr>
          <w:rFonts w:ascii="Times New Roman" w:eastAsia="Times New Roman" w:hAnsi="Times New Roman" w:cs="Times New Roman"/>
          <w:lang w:val="en-US"/>
        </w:rPr>
        <w:t>LI, P. et al. Language History Questionnaire (LHQ3): An enhanced tool for assessing multiling</w:t>
      </w:r>
      <w:r w:rsidRPr="0050496A">
        <w:rPr>
          <w:rFonts w:ascii="Times New Roman" w:eastAsia="Times New Roman" w:hAnsi="Times New Roman" w:cs="Times New Roman"/>
          <w:lang w:val="en-US"/>
        </w:rPr>
        <w:t xml:space="preserve">ual experience. </w:t>
      </w:r>
      <w:r w:rsidRPr="00AA305F">
        <w:rPr>
          <w:rFonts w:ascii="Times New Roman" w:eastAsia="Times New Roman" w:hAnsi="Times New Roman" w:cs="Times New Roman"/>
          <w:b/>
          <w:lang w:val="en-US"/>
        </w:rPr>
        <w:t>Bilingualism: Language and Cognition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, v.23, n. 5, p. 938–944, 22 abr. 2019. </w:t>
      </w:r>
    </w:p>
    <w:p w14:paraId="0D6CD1B2" w14:textId="77777777" w:rsidR="00B357C9" w:rsidRPr="00AA305F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2B5432D" w14:textId="77777777" w:rsidR="00B357C9" w:rsidRPr="00AA305F" w:rsidRDefault="005F1A8B">
      <w:pPr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LI, P.; SEPANSKI, S.; ZHAO, X. Language history questionnaire: A Web-based interface for bilingual research. </w:t>
      </w:r>
      <w:r w:rsidRPr="00AA305F">
        <w:rPr>
          <w:rFonts w:ascii="Times New Roman" w:eastAsia="Times New Roman" w:hAnsi="Times New Roman" w:cs="Times New Roman"/>
          <w:b/>
          <w:lang w:val="en-US"/>
        </w:rPr>
        <w:t>Behavior Research Methods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, v. 38, n. 2, p. 202–210,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maio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2006.</w:t>
      </w:r>
    </w:p>
    <w:p w14:paraId="1EDEE0F4" w14:textId="77777777" w:rsidR="00B357C9" w:rsidRPr="00AA305F" w:rsidRDefault="00B357C9">
      <w:pPr>
        <w:rPr>
          <w:rFonts w:ascii="Times New Roman" w:eastAsia="Times New Roman" w:hAnsi="Times New Roman" w:cs="Times New Roman"/>
          <w:lang w:val="en-US"/>
        </w:rPr>
      </w:pPr>
    </w:p>
    <w:p w14:paraId="6768AEAE" w14:textId="77777777" w:rsidR="00B357C9" w:rsidRDefault="005F1A8B">
      <w:pPr>
        <w:spacing w:after="0" w:line="392" w:lineRule="auto"/>
        <w:rPr>
          <w:rFonts w:ascii="Times New Roman" w:eastAsia="Times New Roman" w:hAnsi="Times New Roman" w:cs="Times New Roman"/>
        </w:rPr>
      </w:pPr>
      <w:r w:rsidRPr="00AA305F">
        <w:rPr>
          <w:rFonts w:ascii="Times New Roman" w:eastAsia="Times New Roman" w:hAnsi="Times New Roman" w:cs="Times New Roman"/>
          <w:lang w:val="en-US"/>
        </w:rPr>
        <w:lastRenderedPageBreak/>
        <w:t xml:space="preserve">MARIAN,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Viorica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; BLUMENFELD,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Henrike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A305F">
        <w:rPr>
          <w:rFonts w:ascii="Times New Roman" w:eastAsia="Times New Roman" w:hAnsi="Times New Roman" w:cs="Times New Roman"/>
          <w:lang w:val="en-US"/>
        </w:rPr>
        <w:t>K. ;</w:t>
      </w:r>
      <w:proofErr w:type="gramEnd"/>
      <w:r w:rsidRPr="00AA305F">
        <w:rPr>
          <w:rFonts w:ascii="Times New Roman" w:eastAsia="Times New Roman" w:hAnsi="Times New Roman" w:cs="Times New Roman"/>
          <w:lang w:val="en-US"/>
        </w:rPr>
        <w:t xml:space="preserve"> KAUSHANSKAYA, Margarita. The Language Experience and Proficiency Questionnaire (LEAP-Q): Assessing Language Profiles in Bilinguals and Multilinguals. </w:t>
      </w:r>
      <w:r w:rsidRPr="00AA305F">
        <w:rPr>
          <w:rFonts w:ascii="Times New Roman" w:eastAsia="Times New Roman" w:hAnsi="Times New Roman" w:cs="Times New Roman"/>
          <w:b/>
          <w:lang w:val="en-US"/>
        </w:rPr>
        <w:t>Journal of Speech, Language, and Hearing Research</w:t>
      </w:r>
      <w:r w:rsidRPr="00AA305F">
        <w:rPr>
          <w:rFonts w:ascii="Times New Roman" w:eastAsia="Times New Roman" w:hAnsi="Times New Roman" w:cs="Times New Roman"/>
          <w:lang w:val="en-US"/>
        </w:rPr>
        <w:t>, v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. 50, n. 4, p. 940–967, 2007. </w:t>
      </w:r>
      <w:r>
        <w:rPr>
          <w:rFonts w:ascii="Times New Roman" w:eastAsia="Times New Roman" w:hAnsi="Times New Roman" w:cs="Times New Roman"/>
        </w:rPr>
        <w:t>Disponível em: &lt;https://pubmed.ncbi.nlm.nih.gov/17675598/&gt;. Acesso em: 30 May 2021.</w:t>
      </w:r>
    </w:p>
    <w:p w14:paraId="36023256" w14:textId="77777777" w:rsidR="00B357C9" w:rsidRDefault="00B357C9">
      <w:pPr>
        <w:spacing w:after="0" w:line="392" w:lineRule="auto"/>
        <w:rPr>
          <w:rFonts w:ascii="Times New Roman" w:eastAsia="Times New Roman" w:hAnsi="Times New Roman" w:cs="Times New Roman"/>
        </w:rPr>
      </w:pPr>
    </w:p>
    <w:p w14:paraId="0D51E104" w14:textId="77777777" w:rsidR="00B357C9" w:rsidRPr="00AA305F" w:rsidRDefault="005F1A8B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PRIOR, </w:t>
      </w:r>
      <w:proofErr w:type="spellStart"/>
      <w:proofErr w:type="gramStart"/>
      <w:r w:rsidRPr="00AA305F">
        <w:rPr>
          <w:rFonts w:ascii="Times New Roman" w:eastAsia="Times New Roman" w:hAnsi="Times New Roman" w:cs="Times New Roman"/>
          <w:lang w:val="en-US"/>
        </w:rPr>
        <w:t>Anat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;</w:t>
      </w:r>
      <w:proofErr w:type="gramEnd"/>
      <w:r w:rsidRPr="00AA305F">
        <w:rPr>
          <w:rFonts w:ascii="Times New Roman" w:eastAsia="Times New Roman" w:hAnsi="Times New Roman" w:cs="Times New Roman"/>
          <w:lang w:val="en-US"/>
        </w:rPr>
        <w:t xml:space="preserve"> GOLLAN, Tamar H. Good Language-Switchers are Good Task-Switchers: Evidence from Spanish–English and Mandarin–English Bilinguals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. </w:t>
      </w:r>
      <w:r w:rsidRPr="00AA305F">
        <w:rPr>
          <w:rFonts w:ascii="Times New Roman" w:eastAsia="Times New Roman" w:hAnsi="Times New Roman" w:cs="Times New Roman"/>
          <w:b/>
          <w:lang w:val="en-US"/>
        </w:rPr>
        <w:t>Journal of the International Neuropsychological Society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, v. 17, n. 4, p. 682–691, 2011.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Disponível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: &lt;https://pubmed.ncbi.nlm.nih.gov/22882810/&gt;.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Acesso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A305F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AA305F">
        <w:rPr>
          <w:rFonts w:ascii="Times New Roman" w:eastAsia="Times New Roman" w:hAnsi="Times New Roman" w:cs="Times New Roman"/>
          <w:lang w:val="en-US"/>
        </w:rPr>
        <w:t>: 30 May 2021.</w:t>
      </w:r>
    </w:p>
    <w:p w14:paraId="19320CC7" w14:textId="77777777" w:rsidR="00B357C9" w:rsidRPr="00AA305F" w:rsidRDefault="00B357C9">
      <w:pPr>
        <w:spacing w:after="0" w:line="392" w:lineRule="auto"/>
        <w:rPr>
          <w:rFonts w:ascii="Times New Roman" w:eastAsia="Times New Roman" w:hAnsi="Times New Roman" w:cs="Times New Roman"/>
          <w:lang w:val="en-US"/>
        </w:rPr>
      </w:pPr>
    </w:p>
    <w:p w14:paraId="3020FC38" w14:textId="77777777" w:rsidR="00B357C9" w:rsidRPr="00AA305F" w:rsidRDefault="005F1A8B">
      <w:pPr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ROBINSON, J. Likert Scale. </w:t>
      </w:r>
      <w:r w:rsidRPr="00AA305F">
        <w:rPr>
          <w:rFonts w:ascii="Times New Roman" w:eastAsia="Times New Roman" w:hAnsi="Times New Roman" w:cs="Times New Roman"/>
          <w:b/>
          <w:lang w:val="en-US"/>
        </w:rPr>
        <w:t>Encyclopedia of Quality of Life and Well-Being Research</w:t>
      </w:r>
      <w:r w:rsidRPr="00AA305F">
        <w:rPr>
          <w:rFonts w:ascii="Times New Roman" w:eastAsia="Times New Roman" w:hAnsi="Times New Roman" w:cs="Times New Roman"/>
          <w:lang w:val="en-US"/>
        </w:rPr>
        <w:t>, p. 3620–3621, 2014.</w:t>
      </w:r>
    </w:p>
    <w:p w14:paraId="7C78C695" w14:textId="77777777" w:rsidR="00B357C9" w:rsidRPr="00AA305F" w:rsidRDefault="005F1A8B">
      <w:pPr>
        <w:rPr>
          <w:rFonts w:ascii="Times New Roman" w:eastAsia="Times New Roman" w:hAnsi="Times New Roman" w:cs="Times New Roman"/>
          <w:lang w:val="en-US"/>
        </w:rPr>
      </w:pPr>
      <w:r w:rsidRPr="00AA305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06744F4" w14:textId="77777777" w:rsidR="00B357C9" w:rsidRDefault="005F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SCHOLL, A. P.; FONTES, A. B. A. </w:t>
      </w:r>
      <w:proofErr w:type="spellStart"/>
      <w:r>
        <w:rPr>
          <w:rFonts w:ascii="Times New Roman" w:eastAsia="Times New Roman" w:hAnsi="Times New Roman" w:cs="Times New Roman"/>
        </w:rPr>
        <w:t>da</w:t>
      </w:r>
      <w:proofErr w:type="spellEnd"/>
      <w:r>
        <w:rPr>
          <w:rFonts w:ascii="Times New Roman" w:eastAsia="Times New Roman" w:hAnsi="Times New Roman" w:cs="Times New Roman"/>
        </w:rPr>
        <w:t xml:space="preserve"> L. (tradução). Questionário de Experiência Linguística e Proficiência – QELP, 2015.</w:t>
      </w:r>
    </w:p>
    <w:p w14:paraId="54CD242C" w14:textId="77777777" w:rsidR="00B357C9" w:rsidRDefault="005F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CF19C86" w14:textId="77777777" w:rsidR="00B357C9" w:rsidRDefault="005F1A8B">
      <w:pPr>
        <w:rPr>
          <w:rFonts w:ascii="Times New Roman" w:eastAsia="Times New Roman" w:hAnsi="Times New Roman" w:cs="Times New Roman"/>
        </w:rPr>
      </w:pPr>
      <w:r w:rsidRPr="00AA305F">
        <w:rPr>
          <w:rFonts w:ascii="Times New Roman" w:eastAsia="Times New Roman" w:hAnsi="Times New Roman" w:cs="Times New Roman"/>
          <w:lang w:val="en-US"/>
        </w:rPr>
        <w:t>TOMOSCHUK, B.; FERREIRA, V. S.; GOLLAN, T. H. When a sev</w:t>
      </w:r>
      <w:r w:rsidRPr="00AA305F">
        <w:rPr>
          <w:rFonts w:ascii="Times New Roman" w:eastAsia="Times New Roman" w:hAnsi="Times New Roman" w:cs="Times New Roman"/>
          <w:lang w:val="en-US"/>
        </w:rPr>
        <w:t xml:space="preserve">en is not a seven: Self-ratings of bilingual language proficiency differ between and within language populations. </w:t>
      </w:r>
      <w:proofErr w:type="spellStart"/>
      <w:r>
        <w:rPr>
          <w:rFonts w:ascii="Times New Roman" w:eastAsia="Times New Roman" w:hAnsi="Times New Roman" w:cs="Times New Roman"/>
          <w:b/>
        </w:rPr>
        <w:t>Bilingualism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Language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Cognition</w:t>
      </w:r>
      <w:proofErr w:type="spellEnd"/>
      <w:r>
        <w:rPr>
          <w:rFonts w:ascii="Times New Roman" w:eastAsia="Times New Roman" w:hAnsi="Times New Roman" w:cs="Times New Roman"/>
        </w:rPr>
        <w:t xml:space="preserve">, v. 22, n. 3, p. 516–536, 13 jun. 2018. </w:t>
      </w:r>
    </w:p>
    <w:p w14:paraId="3C0EBA24" w14:textId="77777777" w:rsidR="00B357C9" w:rsidRDefault="00B357C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357C9">
      <w:foot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8D13" w14:textId="77777777" w:rsidR="005F1A8B" w:rsidRDefault="005F1A8B">
      <w:pPr>
        <w:spacing w:after="0" w:line="240" w:lineRule="auto"/>
      </w:pPr>
      <w:r>
        <w:separator/>
      </w:r>
    </w:p>
  </w:endnote>
  <w:endnote w:type="continuationSeparator" w:id="0">
    <w:p w14:paraId="1F787D19" w14:textId="77777777" w:rsidR="005F1A8B" w:rsidRDefault="005F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14FE" w14:textId="77777777" w:rsidR="00B357C9" w:rsidRDefault="005F1A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305F">
      <w:rPr>
        <w:noProof/>
        <w:color w:val="000000"/>
      </w:rPr>
      <w:t>2</w:t>
    </w:r>
    <w:r>
      <w:rPr>
        <w:color w:val="000000"/>
      </w:rPr>
      <w:fldChar w:fldCharType="end"/>
    </w:r>
  </w:p>
  <w:p w14:paraId="2DF93157" w14:textId="77777777" w:rsidR="00B357C9" w:rsidRDefault="00B357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9B18" w14:textId="77777777" w:rsidR="005F1A8B" w:rsidRDefault="005F1A8B">
      <w:pPr>
        <w:spacing w:after="0" w:line="240" w:lineRule="auto"/>
      </w:pPr>
      <w:r>
        <w:separator/>
      </w:r>
    </w:p>
  </w:footnote>
  <w:footnote w:type="continuationSeparator" w:id="0">
    <w:p w14:paraId="2BC1DF6A" w14:textId="77777777" w:rsidR="005F1A8B" w:rsidRDefault="005F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6C3D" w14:textId="77777777" w:rsidR="00B357C9" w:rsidRDefault="00B357C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862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84"/>
      <w:gridCol w:w="6939"/>
    </w:tblGrid>
    <w:tr w:rsidR="00B357C9" w14:paraId="710DC4D0" w14:textId="77777777">
      <w:tc>
        <w:tcPr>
          <w:tcW w:w="1684" w:type="dxa"/>
        </w:tcPr>
        <w:p w14:paraId="123B3F52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FD82FAD" wp14:editId="43A9C694">
                <wp:simplePos x="0" y="0"/>
                <wp:positionH relativeFrom="column">
                  <wp:posOffset>-6345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</w:tcPr>
        <w:p w14:paraId="05F8FA7E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Fundação Universidade Federal do ABC</w:t>
          </w:r>
        </w:p>
        <w:p w14:paraId="3BAE751D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Pró reitoria de pesquisa</w:t>
          </w:r>
        </w:p>
        <w:p w14:paraId="2ECF9BFF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Av. dos Estados, 5001, Santa Terezinha, Santo André/SP, CEP 09210-580</w:t>
          </w:r>
        </w:p>
        <w:p w14:paraId="6DA063E5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Bloco L, 3ºAndar, Fone (11) 3356-7617</w:t>
          </w:r>
        </w:p>
        <w:p w14:paraId="3D25355D" w14:textId="77777777" w:rsidR="00B357C9" w:rsidRDefault="005F1A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iniciacao@ufabc.edu.br</w:t>
          </w:r>
        </w:p>
        <w:p w14:paraId="577CFD49" w14:textId="77777777" w:rsidR="00B357C9" w:rsidRDefault="00B35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384463F6" w14:textId="77777777" w:rsidR="00B357C9" w:rsidRDefault="00B357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03DA"/>
    <w:multiLevelType w:val="multilevel"/>
    <w:tmpl w:val="D496FDD4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3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1" w15:restartNumberingAfterBreak="0">
    <w:nsid w:val="30270DFA"/>
    <w:multiLevelType w:val="multilevel"/>
    <w:tmpl w:val="9F3E75D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396636">
    <w:abstractNumId w:val="0"/>
  </w:num>
  <w:num w:numId="2" w16cid:durableId="58696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7C9"/>
    <w:rsid w:val="00044495"/>
    <w:rsid w:val="0050496A"/>
    <w:rsid w:val="005F1A8B"/>
    <w:rsid w:val="007A669A"/>
    <w:rsid w:val="00AA305F"/>
    <w:rsid w:val="00B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EDF1"/>
  <w15:docId w15:val="{7086B89A-D489-422F-A64D-D4AED8CD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2685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TERESA CARTHERY GOULART</cp:lastModifiedBy>
  <cp:revision>3</cp:revision>
  <dcterms:created xsi:type="dcterms:W3CDTF">2022-07-01T14:09:00Z</dcterms:created>
  <dcterms:modified xsi:type="dcterms:W3CDTF">2022-07-01T14:17:00Z</dcterms:modified>
</cp:coreProperties>
</file>