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rPr>
          <w:cantSplit/>
        </w:trPr>
        <w:tc>
          <w:tcPr>
            <w:tcW w:type="dxa" w:w="9972"/>
            <w:shd w:fill="FFF2E9"/>
            <w:tcBorders>
              <w:top w:val="nil"/>
              <w:left w:val="nil"/>
              <w:bottom w:val="nil"/>
              <w:right w:val="nil"/>
            </w:tcBorders>
            <w:tcMar>
              <w:top w:w="480" w:type="dxa"/>
              <w:start w:w="430" w:type="dxa"/>
              <w:bottom w:w="480" w:type="dxa"/>
              <w:end w:w="430" w:type="dxa"/>
            </w:tcMar>
          </w:tcPr>
          <w:p>
            <w:pPr>
              <w:jc w:val="left"/>
            </w:pPr>
            <w:r>
              <w:rPr>
                <w:rFonts w:ascii="Inter" w:hAnsi="Inter" w:eastAsia="Inter"/>
                <w:b/>
                <w:color w:val="A94F20"/>
                <w:sz w:val="24"/>
              </w:rPr>
              <w:t>APRICOTI</w:t>
            </w:r>
          </w:p>
          <w:p>
            <w:pPr>
              <w:pStyle w:val="Title"/>
              <w:spacing w:after="200"/>
            </w:pPr>
            <w:r>
              <w:rPr>
                <w:rFonts w:ascii="Inter" w:hAnsi="Inter" w:eastAsia="Inter"/>
                <w:sz w:val="18"/>
              </w:rPr>
              <w:t>Landing Page Copy Scope</w:t>
            </w:r>
          </w:p>
          <w:p>
            <w:pPr>
              <w:pStyle w:val="Subtitle"/>
              <w:spacing w:after="440"/>
            </w:pPr>
            <w:r>
              <w:rPr>
                <w:rFonts w:ascii="Inter" w:hAnsi="Inter" w:eastAsia="Inter"/>
                <w:sz w:val="18"/>
              </w:rPr>
              <w:t>A practical messaging, copy and claims framework for Apricoti’s public website.</w:t>
            </w:r>
          </w:p>
          <w:p>
            <w:pPr>
              <w:pStyle w:val="Eyebrow"/>
            </w:pPr>
            <w:r>
              <w:rPr>
                <w:rFonts w:ascii="Inter" w:hAnsi="Inter" w:eastAsia="Inter"/>
                <w:sz w:val="18"/>
              </w:rPr>
              <w:t>Working brand line</w:t>
            </w:r>
          </w:p>
          <w:p>
            <w:pPr>
              <w:pStyle w:val="Lead"/>
              <w:spacing w:after="480"/>
            </w:pPr>
            <w:r>
              <w:rPr>
                <w:rFonts w:ascii="Inter" w:hAnsi="Inter" w:eastAsia="Inter"/>
                <w:sz w:val="18"/>
              </w:rPr>
              <w:t>Combatting loneliness one call at a time</w:t>
            </w:r>
          </w:p>
          <w:p>
            <w:pPr>
              <w:pStyle w:val="SmallNote"/>
            </w:pPr>
            <w:r>
              <w:rPr>
                <w:rFonts w:ascii="Inter" w:hAnsi="Inter" w:eastAsia="Inter"/>
                <w:sz w:val="18"/>
              </w:rPr>
              <w:t>Prepared from the founder’s starter copy and current product scope</w:t>
            </w:r>
          </w:p>
          <w:p>
            <w:pPr>
              <w:pStyle w:val="SmallNote"/>
            </w:pPr>
            <w:r>
              <w:rPr>
                <w:rFonts w:ascii="Inter" w:hAnsi="Inter" w:eastAsia="Inter"/>
                <w:sz w:val="18"/>
              </w:rPr>
              <w:t>20 July 2026</w:t>
            </w:r>
          </w:p>
        </w:tc>
      </w:tr>
    </w:tbl>
    <w:p/>
    <w:tbl>
      <w:tblPr>
        <w:tblW w:type="auto" w:w="0"/>
        <w:jc w:val="center"/>
        <w:tblLayout w:type="autofit"/>
        <w:tblLook w:firstColumn="1" w:firstRow="1" w:lastColumn="0" w:lastRow="0" w:noHBand="0" w:noVBand="1" w:val="04A0"/>
      </w:tblPr>
      <w:tblGrid>
        <w:gridCol w:w="9972"/>
      </w:tblGrid>
      <w:tr>
        <w:trPr>
          <w:cantSplit/>
        </w:trPr>
        <w:tc>
          <w:tcPr>
            <w:tcW w:type="dxa" w:w="9972"/>
            <w:shd w:fill="F7F5F2"/>
            <w:tcBorders>
              <w:top w:val="single" w:sz="7" w:color="DED8D2"/>
              <w:left w:val="single" w:sz="7" w:color="DED8D2"/>
              <w:bottom w:val="single" w:sz="7" w:color="DED8D2"/>
              <w:right w:val="single" w:sz="7" w:color="DED8D2"/>
            </w:tcBorders>
            <w:tcMar>
              <w:top w:w="140" w:type="dxa"/>
              <w:start w:w="180" w:type="dxa"/>
              <w:bottom w:w="140" w:type="dxa"/>
              <w:end w:w="180" w:type="dxa"/>
            </w:tcMar>
          </w:tcPr>
          <w:p>
            <w:pPr>
              <w:spacing w:after="80"/>
            </w:pPr>
            <w:r>
              <w:rPr>
                <w:rFonts w:ascii="Inter" w:hAnsi="Inter" w:eastAsia="Inter"/>
                <w:b/>
                <w:color w:val="222222"/>
                <w:sz w:val="18"/>
              </w:rPr>
              <w:t>Purpose of this document</w:t>
            </w:r>
          </w:p>
          <w:p>
            <w:pPr>
              <w:spacing w:after="0"/>
            </w:pPr>
            <w:r>
              <w:rPr>
                <w:rFonts w:ascii="Inter" w:hAnsi="Inter" w:eastAsia="Inter"/>
                <w:sz w:val="18"/>
              </w:rPr>
              <w:t>This is an implementation-ready copy scope, not a final visual design. It gives the landing page a clear story, recommended wording, section order, asset direction and a claims register so the future website can be built without rediscovering the messaging from scratch.</w:t>
            </w:r>
          </w:p>
        </w:tc>
      </w:tr>
    </w:tbl>
    <w:p>
      <w:pPr>
        <w:spacing w:after="20"/>
      </w:pPr>
    </w:p>
    <w:p>
      <w:r>
        <w:br w:type="page"/>
      </w:r>
    </w:p>
    <w:p>
      <w:pPr>
        <w:pStyle w:val="Heading1"/>
        <w:keepNext/>
      </w:pPr>
      <w:r>
        <w:t>Contents</w:t>
      </w:r>
    </w:p>
    <w:p>
      <w:pPr>
        <w:spacing w:after="80"/>
      </w:pPr>
      <w:r>
        <w:rPr>
          <w:i w:val="0"/>
          <w:sz w:val="22"/>
        </w:rPr>
        <w:t>1. Executive recommendation</w:t>
      </w:r>
    </w:p>
    <w:p>
      <w:pPr>
        <w:spacing w:after="80"/>
      </w:pPr>
      <w:r>
        <w:rPr>
          <w:i w:val="0"/>
          <w:sz w:val="22"/>
        </w:rPr>
        <w:t>2. Brand foundations</w:t>
      </w:r>
    </w:p>
    <w:p>
      <w:pPr>
        <w:spacing w:after="80"/>
      </w:pPr>
      <w:r>
        <w:rPr>
          <w:i w:val="0"/>
          <w:sz w:val="22"/>
        </w:rPr>
        <w:t>3. Audience and message hierarchy</w:t>
      </w:r>
    </w:p>
    <w:p>
      <w:pPr>
        <w:spacing w:after="80"/>
      </w:pPr>
      <w:r>
        <w:rPr>
          <w:i w:val="0"/>
          <w:sz w:val="22"/>
        </w:rPr>
        <w:t>4. Voice and tone</w:t>
      </w:r>
    </w:p>
    <w:p>
      <w:pPr>
        <w:spacing w:after="80"/>
      </w:pPr>
      <w:r>
        <w:rPr>
          <w:i w:val="0"/>
          <w:sz w:val="22"/>
        </w:rPr>
        <w:t>5. Recommended landing-page structure and copy</w:t>
      </w:r>
    </w:p>
    <w:p>
      <w:pPr>
        <w:spacing w:after="80"/>
      </w:pPr>
      <w:r>
        <w:rPr>
          <w:i w:val="0"/>
          <w:sz w:val="22"/>
        </w:rPr>
        <w:t>6. Alternative hero directions</w:t>
      </w:r>
    </w:p>
    <w:p>
      <w:pPr>
        <w:spacing w:after="80"/>
      </w:pPr>
      <w:r>
        <w:rPr>
          <w:i w:val="0"/>
          <w:sz w:val="22"/>
        </w:rPr>
        <w:t>7. Frequently asked questions</w:t>
      </w:r>
    </w:p>
    <w:p>
      <w:pPr>
        <w:spacing w:after="80"/>
      </w:pPr>
      <w:r>
        <w:rPr>
          <w:i w:val="0"/>
          <w:sz w:val="22"/>
        </w:rPr>
        <w:t>8. Asset map</w:t>
      </w:r>
    </w:p>
    <w:p>
      <w:pPr>
        <w:spacing w:after="80"/>
      </w:pPr>
      <w:r>
        <w:rPr>
          <w:i w:val="0"/>
          <w:sz w:val="22"/>
        </w:rPr>
        <w:t>9. Mobile copy hierarchy</w:t>
      </w:r>
    </w:p>
    <w:p>
      <w:pPr>
        <w:spacing w:after="80"/>
      </w:pPr>
      <w:r>
        <w:rPr>
          <w:i w:val="0"/>
          <w:sz w:val="22"/>
        </w:rPr>
        <w:t>10. Evidence and claims register</w:t>
      </w:r>
    </w:p>
    <w:p>
      <w:pPr>
        <w:spacing w:after="80"/>
      </w:pPr>
      <w:r>
        <w:rPr>
          <w:i w:val="0"/>
          <w:sz w:val="22"/>
        </w:rPr>
        <w:t>11. SEO and social copy</w:t>
      </w:r>
    </w:p>
    <w:p>
      <w:pPr>
        <w:spacing w:after="80"/>
      </w:pPr>
      <w:r>
        <w:rPr>
          <w:i w:val="0"/>
          <w:sz w:val="22"/>
        </w:rPr>
        <w:t>12. Variables to confirm before launch</w:t>
      </w:r>
    </w:p>
    <w:p>
      <w:pPr>
        <w:spacing w:after="80"/>
      </w:pPr>
      <w:r>
        <w:rPr>
          <w:i w:val="0"/>
          <w:sz w:val="22"/>
        </w:rPr>
        <w:t>13. Recommended next steps</w:t>
      </w:r>
    </w:p>
    <w:tbl>
      <w:tblPr>
        <w:tblW w:type="auto" w:w="0"/>
        <w:jc w:val="center"/>
        <w:tblLayout w:type="autofit"/>
        <w:tblLook w:firstColumn="1" w:firstRow="1" w:lastColumn="0" w:lastRow="0" w:noHBand="0" w:noVBand="1" w:val="04A0"/>
      </w:tblPr>
      <w:tblGrid>
        <w:gridCol w:w="9972"/>
      </w:tblGrid>
      <w:tr>
        <w:trPr>
          <w:cantSplit/>
        </w:trPr>
        <w:tc>
          <w:tcPr>
            <w:tcW w:type="dxa" w:w="9972"/>
            <w:shd w:fill="FFF2E9"/>
            <w:tcBorders>
              <w:top w:val="single" w:sz="7" w:color="DED8D2"/>
              <w:left w:val="single" w:sz="7" w:color="DED8D2"/>
              <w:bottom w:val="single" w:sz="7" w:color="DED8D2"/>
              <w:right w:val="single" w:sz="7" w:color="DED8D2"/>
            </w:tcBorders>
            <w:tcMar>
              <w:top w:w="140" w:type="dxa"/>
              <w:start w:w="180" w:type="dxa"/>
              <w:bottom w:w="140" w:type="dxa"/>
              <w:end w:w="180" w:type="dxa"/>
            </w:tcMar>
          </w:tcPr>
          <w:p>
            <w:pPr>
              <w:spacing w:after="80"/>
            </w:pPr>
            <w:r>
              <w:rPr>
                <w:rFonts w:ascii="Inter" w:hAnsi="Inter" w:eastAsia="Inter"/>
                <w:b/>
                <w:color w:val="A94F20"/>
                <w:sz w:val="18"/>
              </w:rPr>
              <w:t>Copy principle</w:t>
            </w:r>
          </w:p>
          <w:p>
            <w:pPr>
              <w:spacing w:after="0"/>
            </w:pPr>
            <w:r>
              <w:rPr>
                <w:rFonts w:ascii="Inter" w:hAnsi="Inter" w:eastAsia="Inter"/>
                <w:sz w:val="18"/>
              </w:rPr>
              <w:t>Lead with the positive value of regular conversation and personal choice. Use the public-health evidence as supporting context, not as fear-led pressure in the hero.</w:t>
            </w:r>
          </w:p>
        </w:tc>
      </w:tr>
    </w:tbl>
    <w:p>
      <w:pPr>
        <w:spacing w:after="20"/>
      </w:pPr>
    </w:p>
    <w:p>
      <w:pPr>
        <w:pStyle w:val="Heading1"/>
        <w:keepNext/>
      </w:pPr>
      <w:r>
        <w:t>1. Executive recommendation</w:t>
      </w:r>
    </w:p>
    <w:p>
      <w:pPr>
        <w:pStyle w:val="Lead"/>
        <w:spacing w:after="160"/>
      </w:pPr>
      <w:r>
        <w:rPr>
          <w:i w:val="0"/>
        </w:rPr>
        <w:t>Apricoti should present itself as a modern marketplace for regular, friendly video conversations: a positive addition to someone’s week, organised simply by the person themselves or by a family member or trusted Coordinator.</w:t>
      </w:r>
    </w:p>
    <w:p>
      <w:pPr>
        <w:spacing w:after="140"/>
      </w:pPr>
      <w:r>
        <w:rPr>
          <w:i w:val="0"/>
        </w:rPr>
        <w:t>The strongest website story is not “loneliness kills” or “you are too busy”. Those ideas can create urgency, but they also risk sounding frightening, guilt-driven or patronising. The homepage should first make the service feel desirable, dignified and easy to understand. Evidence about loneliness should sit lower on the page or on a dedicated mission page.</w:t>
      </w:r>
    </w:p>
    <w:tbl>
      <w:tblPr>
        <w:tblW w:type="auto" w:w="0"/>
        <w:jc w:val="center"/>
        <w:tblLook w:firstColumn="1" w:firstRow="1" w:lastColumn="0" w:lastRow="0" w:noHBand="0" w:noVBand="1" w:val="04A0"/>
      </w:tblPr>
      <w:tblGrid>
        <w:gridCol w:w="9972"/>
      </w:tblGrid>
      <w:tr>
        <w:trPr>
          <w:cantSplit/>
        </w:trPr>
        <w:tc>
          <w:tcPr>
            <w:tcW w:type="dxa" w:w="9972"/>
            <w:shd w:fill="FFFFFF"/>
            <w:tcBorders>
              <w:top w:val="single" w:sz="8" w:color="DED8D2"/>
              <w:left w:val="single" w:sz="8" w:color="DED8D2"/>
              <w:bottom w:val="single" w:sz="8" w:color="DED8D2"/>
              <w:right w:val="single" w:sz="8" w:color="DED8D2"/>
            </w:tcBorders>
            <w:tcMar>
              <w:top w:w="160" w:type="dxa"/>
              <w:start w:w="180" w:type="dxa"/>
              <w:bottom w:w="160" w:type="dxa"/>
              <w:end w:w="180" w:type="dxa"/>
            </w:tcMar>
          </w:tcPr>
          <w:p>
            <w:r>
              <w:rPr>
                <w:rFonts w:ascii="Inter" w:hAnsi="Inter" w:eastAsia="Inter"/>
                <w:b/>
                <w:color w:val="A94F20"/>
                <w:sz w:val="17"/>
              </w:rPr>
              <w:t>RECOMMENDED HOMEPAGE HERO</w:t>
            </w:r>
          </w:p>
          <w:p>
            <w:pPr>
              <w:spacing w:after="120"/>
            </w:pPr>
            <w:r>
              <w:rPr>
                <w:rFonts w:ascii="Inter" w:hAnsi="Inter" w:eastAsia="Inter"/>
                <w:b/>
                <w:color w:val="222222"/>
                <w:sz w:val="32"/>
              </w:rPr>
              <w:t>Regular conversation. Genuine connection.</w:t>
            </w:r>
          </w:p>
          <w:p>
            <w:pPr>
              <w:spacing w:after="100"/>
            </w:pPr>
            <w:r>
              <w:rPr>
                <w:rFonts w:ascii="Inter" w:hAnsi="Inter" w:eastAsia="Inter"/>
                <w:sz w:val="18"/>
              </w:rPr>
              <w:t>Apricoti helps you arrange friendly video conversations for someone you care about, with a Companion they choose.</w:t>
            </w:r>
          </w:p>
          <w:p>
            <w:pPr>
              <w:spacing w:after="40"/>
            </w:pPr>
            <w:r>
              <w:rPr>
                <w:rFonts w:ascii="Inter" w:hAnsi="Inter" w:eastAsia="Inter"/>
                <w:b/>
                <w:color w:val="A94F20"/>
                <w:sz w:val="18"/>
              </w:rPr>
              <w:t>Primary: Find a Companion     Secondary: Become a Companion</w:t>
            </w:r>
          </w:p>
          <w:p>
            <w:pPr>
              <w:spacing w:after="0"/>
            </w:pPr>
            <w:r>
              <w:rPr>
                <w:rFonts w:ascii="Inter" w:hAnsi="Inter" w:eastAsia="Inter"/>
                <w:i/>
                <w:color w:val="666666"/>
                <w:sz w:val="18"/>
              </w:rPr>
              <w:t>Reassurance line: Start with one conversation. Continue only when it feels right.</w:t>
            </w:r>
          </w:p>
        </w:tc>
      </w:tr>
    </w:tbl>
    <w:p>
      <w:pPr>
        <w:spacing w:after="20"/>
      </w:pPr>
    </w:p>
    <w:p>
      <w:pPr>
        <w:pStyle w:val="Heading3"/>
        <w:keepNext/>
        <w:spacing w:after="100"/>
      </w:pPr>
      <w:r>
        <w:rPr>
          <w:i w:val="0"/>
        </w:rPr>
        <w:t>Recommended positioning sentence</w:t>
      </w:r>
    </w:p>
    <w:p>
      <w:pPr>
        <w:spacing w:after="100"/>
      </w:pPr>
      <w:r>
        <w:rPr>
          <w:i w:val="0"/>
        </w:rPr>
        <w:t>Apricoti is a platform for regular, friendly video conversations between Members and Companions, built around choice, shared interests and continuity.</w:t>
      </w:r>
    </w:p>
    <w:p>
      <w:pPr>
        <w:pStyle w:val="Heading3"/>
        <w:keepNext/>
        <w:spacing w:after="100"/>
      </w:pPr>
      <w:r>
        <w:rPr>
          <w:i w:val="0"/>
        </w:rPr>
        <w:t>Recommended role of the current tagline</w:t>
      </w:r>
    </w:p>
    <w:p>
      <w:pPr>
        <w:spacing w:after="100"/>
      </w:pPr>
      <w:r>
        <w:rPr>
          <w:i w:val="0"/>
        </w:rPr>
        <w:t>Keep “Combatting loneliness one call at a time” as a mission line, footer statement or campaign line. It is clear and memorable, but it is more problem-led than the recommended hero. The hero should sell the experience; the tagline should explain the mission.</w:t>
      </w:r>
    </w:p>
    <w:p>
      <w:pPr>
        <w:pStyle w:val="Heading3"/>
        <w:keepNext/>
        <w:spacing w:after="100"/>
      </w:pPr>
      <w:r>
        <w:rPr>
          <w:i w:val="0"/>
        </w:rPr>
        <w:t>Key messaging changes from the starter copy</w:t>
      </w:r>
    </w:p>
    <w:p>
      <w:pPr>
        <w:pStyle w:val="ListBullet"/>
        <w:spacing w:after="40"/>
      </w:pPr>
      <w:r>
        <w:t>Replace “Loneliness kills” in the main hero with a calmer statement about connection, choice and regularity.</w:t>
      </w:r>
    </w:p>
    <w:p>
      <w:pPr>
        <w:pStyle w:val="ListBullet"/>
        <w:spacing w:after="40"/>
      </w:pPr>
      <w:r>
        <w:t>Replace “fill the gaps when you cannot be there” with “add another regular point of connection” so Apricoti does not sound like a substitute for family.</w:t>
      </w:r>
    </w:p>
    <w:p>
      <w:pPr>
        <w:pStyle w:val="ListBullet"/>
        <w:spacing w:after="40"/>
      </w:pPr>
      <w:r>
        <w:t>Replace “earn some extra cash” with “earn flexibly through meaningful conversation” to protect the seriousness and quality of the Companion role.</w:t>
      </w:r>
    </w:p>
    <w:p>
      <w:pPr>
        <w:pStyle w:val="ListBullet"/>
        <w:spacing w:after="40"/>
      </w:pPr>
      <w:r>
        <w:t>Avoid causal medical language unless directly supported and carefully qualified. Use “is associated with” rather than “causes” for health risks.</w:t>
      </w:r>
    </w:p>
    <w:p>
      <w:pPr>
        <w:pStyle w:val="ListBullet"/>
        <w:spacing w:after="40"/>
      </w:pPr>
      <w:r>
        <w:t>Explain the service fee as transparent platform administration shown before payment, rather than relying on the word “small” without context.</w:t>
      </w:r>
    </w:p>
    <w:p>
      <w:pPr>
        <w:pStyle w:val="Heading1"/>
        <w:keepNext/>
      </w:pPr>
      <w:r>
        <w:t>2. Brand foundations</w:t>
      </w:r>
    </w:p>
    <w:p>
      <w:pPr>
        <w:pStyle w:val="Heading2"/>
        <w:keepNext/>
      </w:pPr>
      <w:r>
        <w:t>2.1 Name</w:t>
      </w:r>
    </w:p>
    <w:p>
      <w:pPr>
        <w:spacing w:after="100"/>
      </w:pPr>
      <w:r>
        <w:rPr>
          <w:i w:val="0"/>
        </w:rPr>
        <w:t>Apricoti</w:t>
      </w:r>
    </w:p>
    <w:p>
      <w:pPr>
        <w:pStyle w:val="SmallNote"/>
        <w:spacing w:after="100"/>
      </w:pPr>
      <w:r>
        <w:rPr>
          <w:i w:val="0"/>
        </w:rPr>
        <w:t>The name feels warm, distinctive and slightly playful without being childish. It also aligns naturally with the existing apricot visual palette. Before launch, confirm pronunciation, trademark availability, company-name availability and the final domain.</w:t>
      </w:r>
    </w:p>
    <w:p>
      <w:pPr>
        <w:pStyle w:val="Heading2"/>
        <w:keepNext/>
      </w:pPr>
      <w:r>
        <w:t>2.2 Brand promise</w:t>
      </w:r>
    </w:p>
    <w:p>
      <w:pPr>
        <w:spacing w:after="100"/>
      </w:pPr>
      <w:r>
        <w:rPr>
          <w:i w:val="0"/>
        </w:rPr>
        <w:t>A regular conversation with someone chosen for their personality, interests and availability.</w:t>
      </w:r>
    </w:p>
    <w:p>
      <w:pPr>
        <w:pStyle w:val="Heading2"/>
        <w:keepNext/>
      </w:pPr>
      <w:r>
        <w:t>2.3 Mission</w:t>
      </w:r>
    </w:p>
    <w:p>
      <w:pPr>
        <w:spacing w:after="100"/>
      </w:pPr>
      <w:r>
        <w:rPr>
          <w:i w:val="0"/>
        </w:rPr>
        <w:t>To make meaningful social connection easier to arrange, while creating flexible, socially positive earning opportunities for Companions.</w:t>
      </w:r>
    </w:p>
    <w:p>
      <w:pPr>
        <w:pStyle w:val="Heading2"/>
        <w:keepNext/>
      </w:pPr>
      <w:r>
        <w:t>2.4 What Apricoti is</w:t>
      </w:r>
    </w:p>
    <w:p>
      <w:pPr>
        <w:pStyle w:val="ListBullet"/>
        <w:spacing w:after="40"/>
      </w:pPr>
      <w:r>
        <w:t>A marketplace for scheduled social conversations.</w:t>
      </w:r>
    </w:p>
    <w:p>
      <w:pPr>
        <w:pStyle w:val="ListBullet"/>
        <w:spacing w:after="40"/>
      </w:pPr>
      <w:r>
        <w:t>A way for Members to choose a Companion based on profile, interests, availability and price.</w:t>
      </w:r>
    </w:p>
    <w:p>
      <w:pPr>
        <w:pStyle w:val="ListBullet"/>
        <w:spacing w:after="40"/>
      </w:pPr>
      <w:r>
        <w:t>A practical tool for family members or trusted people arranging conversations on someone else’s behalf, with permission.</w:t>
      </w:r>
    </w:p>
    <w:p>
      <w:pPr>
        <w:pStyle w:val="ListBullet"/>
        <w:spacing w:after="40"/>
      </w:pPr>
      <w:r>
        <w:t>A flexible paid opportunity for Companions who are reliable, curious and respectful.</w:t>
      </w:r>
    </w:p>
    <w:p>
      <w:pPr>
        <w:pStyle w:val="Heading2"/>
        <w:keepNext/>
      </w:pPr>
      <w:r>
        <w:t>2.5 What Apricoti is not</w:t>
      </w:r>
    </w:p>
    <w:p>
      <w:pPr>
        <w:pStyle w:val="ListBullet"/>
        <w:spacing w:after="40"/>
      </w:pPr>
      <w:r>
        <w:t>Healthcare, therapy, counselling or crisis support.</w:t>
      </w:r>
    </w:p>
    <w:p>
      <w:pPr>
        <w:pStyle w:val="ListBullet"/>
        <w:spacing w:after="40"/>
      </w:pPr>
      <w:r>
        <w:t>Personal care, medical monitoring or a replacement for professional services.</w:t>
      </w:r>
    </w:p>
    <w:p>
      <w:pPr>
        <w:pStyle w:val="ListBullet"/>
        <w:spacing w:after="40"/>
      </w:pPr>
      <w:r>
        <w:t>A replacement for family, friends or existing relationships.</w:t>
      </w:r>
    </w:p>
    <w:p>
      <w:pPr>
        <w:pStyle w:val="ListBullet"/>
        <w:spacing w:after="40"/>
      </w:pPr>
      <w:r>
        <w:t>A promise to cure loneliness or prevent illness.</w:t>
      </w:r>
    </w:p>
    <w:tbl>
      <w:tblPr>
        <w:tblW w:type="auto" w:w="0"/>
        <w:jc w:val="center"/>
        <w:tblLayout w:type="autofit"/>
        <w:tblLook w:firstColumn="1" w:firstRow="1" w:lastColumn="0" w:lastRow="0" w:noHBand="0" w:noVBand="1" w:val="04A0"/>
      </w:tblPr>
      <w:tblGrid>
        <w:gridCol w:w="9972"/>
      </w:tblGrid>
      <w:tr>
        <w:trPr>
          <w:cantSplit/>
        </w:trPr>
        <w:tc>
          <w:tcPr>
            <w:tcW w:type="dxa" w:w="9972"/>
            <w:shd w:fill="F7F5F2"/>
            <w:tcBorders>
              <w:top w:val="single" w:sz="7" w:color="DED8D2"/>
              <w:left w:val="single" w:sz="7" w:color="DED8D2"/>
              <w:bottom w:val="single" w:sz="7" w:color="DED8D2"/>
              <w:right w:val="single" w:sz="7" w:color="DED8D2"/>
            </w:tcBorders>
            <w:tcMar>
              <w:top w:w="140" w:type="dxa"/>
              <w:start w:w="180" w:type="dxa"/>
              <w:bottom w:w="140" w:type="dxa"/>
              <w:end w:w="180" w:type="dxa"/>
            </w:tcMar>
          </w:tcPr>
          <w:p>
            <w:pPr>
              <w:spacing w:after="80"/>
            </w:pPr>
            <w:r>
              <w:rPr>
                <w:rFonts w:ascii="Inter" w:hAnsi="Inter" w:eastAsia="Inter"/>
                <w:b/>
                <w:color w:val="222222"/>
                <w:sz w:val="18"/>
              </w:rPr>
              <w:t>Service-boundary line</w:t>
            </w:r>
          </w:p>
          <w:p>
            <w:pPr>
              <w:spacing w:after="0"/>
            </w:pPr>
            <w:r>
              <w:rPr>
                <w:rFonts w:ascii="Inter" w:hAnsi="Inter" w:eastAsia="Inter"/>
                <w:sz w:val="18"/>
              </w:rPr>
              <w:t>Apricoti provides social companionship through scheduled conversations. It is not a healthcare, counselling, care or emergency service.</w:t>
            </w:r>
          </w:p>
        </w:tc>
      </w:tr>
    </w:tbl>
    <w:p>
      <w:pPr>
        <w:spacing w:after="20"/>
      </w:pPr>
    </w:p>
    <w:p>
      <w:pPr>
        <w:pStyle w:val="Heading1"/>
        <w:keepNext/>
      </w:pPr>
      <w:r>
        <w:t>3. Audience and message hierarchy</w:t>
      </w:r>
    </w:p>
    <w:p>
      <w:pPr>
        <w:pStyle w:val="Lead"/>
        <w:spacing w:after="100"/>
      </w:pPr>
      <w:r>
        <w:rPr>
          <w:i w:val="0"/>
        </w:rPr>
        <w:t>The public homepage should primarily speak to the person arranging and paying for conversations, while preserving the Member’s agency and making the Companion opportunity visible.</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FFF2E9"/>
            <w:tcMar>
              <w:top w:w="90" w:type="dxa"/>
              <w:start w:w="110" w:type="dxa"/>
              <w:bottom w:w="90" w:type="dxa"/>
              <w:end w:w="110" w:type="dxa"/>
            </w:tcMar>
            <w:vAlign w:val="top"/>
          </w:tcPr>
          <w:p>
            <w:r>
              <w:rPr>
                <w:rFonts w:ascii="Inter" w:hAnsi="Inter" w:eastAsia="Inter"/>
                <w:sz w:val="18"/>
              </w:rPr>
              <w:t>Audience</w:t>
            </w:r>
          </w:p>
        </w:tc>
        <w:tc>
          <w:tcPr>
            <w:tcW w:type="dxa" w:w="3324"/>
            <w:shd w:fill="FFF2E9"/>
            <w:tcMar>
              <w:top w:w="90" w:type="dxa"/>
              <w:start w:w="110" w:type="dxa"/>
              <w:bottom w:w="90" w:type="dxa"/>
              <w:end w:w="110" w:type="dxa"/>
            </w:tcMar>
            <w:vAlign w:val="top"/>
          </w:tcPr>
          <w:p>
            <w:r>
              <w:rPr>
                <w:rFonts w:ascii="Inter" w:hAnsi="Inter" w:eastAsia="Inter"/>
                <w:sz w:val="18"/>
              </w:rPr>
              <w:t>Core question</w:t>
            </w:r>
          </w:p>
        </w:tc>
        <w:tc>
          <w:tcPr>
            <w:tcW w:type="dxa" w:w="3324"/>
            <w:shd w:fill="FFF2E9"/>
            <w:tcMar>
              <w:top w:w="90" w:type="dxa"/>
              <w:start w:w="110" w:type="dxa"/>
              <w:bottom w:w="90" w:type="dxa"/>
              <w:end w:w="110" w:type="dxa"/>
            </w:tcMar>
            <w:vAlign w:val="top"/>
          </w:tcPr>
          <w:p>
            <w:r>
              <w:rPr>
                <w:rFonts w:ascii="Inter" w:hAnsi="Inter" w:eastAsia="Inter"/>
                <w:sz w:val="18"/>
              </w:rPr>
              <w:t>Message priority</w:t>
            </w:r>
          </w:p>
        </w:tc>
      </w:tr>
      <w:tr>
        <w:trPr>
          <w:cantSplit/>
        </w:trPr>
        <w:tc>
          <w:tcPr>
            <w:tcW w:type="dxa" w:w="3324"/>
            <w:tcMar>
              <w:top w:w="90" w:type="dxa"/>
              <w:start w:w="110" w:type="dxa"/>
              <w:bottom w:w="90" w:type="dxa"/>
              <w:end w:w="110" w:type="dxa"/>
            </w:tcMar>
            <w:vAlign w:val="top"/>
          </w:tcPr>
          <w:p>
            <w:r>
              <w:rPr>
                <w:rFonts w:ascii="Inter" w:hAnsi="Inter" w:eastAsia="Inter"/>
                <w:sz w:val="18"/>
              </w:rPr>
              <w:t>Primary: family member or trusted Coordinator</w:t>
            </w:r>
          </w:p>
        </w:tc>
        <w:tc>
          <w:tcPr>
            <w:tcW w:type="dxa" w:w="3324"/>
            <w:tcMar>
              <w:top w:w="90" w:type="dxa"/>
              <w:start w:w="110" w:type="dxa"/>
              <w:bottom w:w="90" w:type="dxa"/>
              <w:end w:w="110" w:type="dxa"/>
            </w:tcMar>
            <w:vAlign w:val="top"/>
          </w:tcPr>
          <w:p>
            <w:r>
              <w:rPr>
                <w:rFonts w:ascii="Inter" w:hAnsi="Inter" w:eastAsia="Inter"/>
                <w:sz w:val="18"/>
              </w:rPr>
              <w:t>“I care about someone who would enjoy more regular conversation. Can I arrange this simply and respectfully?”</w:t>
            </w:r>
          </w:p>
        </w:tc>
        <w:tc>
          <w:tcPr>
            <w:tcW w:type="dxa" w:w="3324"/>
            <w:tcMar>
              <w:top w:w="90" w:type="dxa"/>
              <w:start w:w="110" w:type="dxa"/>
              <w:bottom w:w="90" w:type="dxa"/>
              <w:end w:w="110" w:type="dxa"/>
            </w:tcMar>
            <w:vAlign w:val="top"/>
          </w:tcPr>
          <w:p>
            <w:r>
              <w:rPr>
                <w:rFonts w:ascii="Inter" w:hAnsi="Inter" w:eastAsia="Inter"/>
                <w:sz w:val="18"/>
              </w:rPr>
              <w:t>Reassurance, transparency, choice, visibility of upcoming conversations, simple payment.</w:t>
            </w:r>
          </w:p>
        </w:tc>
      </w:tr>
      <w:tr>
        <w:trPr>
          <w:cantSplit/>
        </w:trPr>
        <w:tc>
          <w:tcPr>
            <w:tcW w:type="dxa" w:w="3324"/>
            <w:tcMar>
              <w:top w:w="90" w:type="dxa"/>
              <w:start w:w="110" w:type="dxa"/>
              <w:bottom w:w="90" w:type="dxa"/>
              <w:end w:w="110" w:type="dxa"/>
            </w:tcMar>
            <w:vAlign w:val="top"/>
          </w:tcPr>
          <w:p>
            <w:r>
              <w:rPr>
                <w:rFonts w:ascii="Inter" w:hAnsi="Inter" w:eastAsia="Inter"/>
                <w:sz w:val="18"/>
              </w:rPr>
              <w:t>Member</w:t>
            </w:r>
          </w:p>
        </w:tc>
        <w:tc>
          <w:tcPr>
            <w:tcW w:type="dxa" w:w="3324"/>
            <w:tcMar>
              <w:top w:w="90" w:type="dxa"/>
              <w:start w:w="110" w:type="dxa"/>
              <w:bottom w:w="90" w:type="dxa"/>
              <w:end w:w="110" w:type="dxa"/>
            </w:tcMar>
            <w:vAlign w:val="top"/>
          </w:tcPr>
          <w:p>
            <w:r>
              <w:rPr>
                <w:rFonts w:ascii="Inter" w:hAnsi="Inter" w:eastAsia="Inter"/>
                <w:sz w:val="18"/>
              </w:rPr>
              <w:t>“Will I have a real choice, and will this feel natural rather than clinical?”</w:t>
            </w:r>
          </w:p>
        </w:tc>
        <w:tc>
          <w:tcPr>
            <w:tcW w:type="dxa" w:w="3324"/>
            <w:tcMar>
              <w:top w:w="90" w:type="dxa"/>
              <w:start w:w="110" w:type="dxa"/>
              <w:bottom w:w="90" w:type="dxa"/>
              <w:end w:w="110" w:type="dxa"/>
            </w:tcMar>
            <w:vAlign w:val="top"/>
          </w:tcPr>
          <w:p>
            <w:r>
              <w:rPr>
                <w:rFonts w:ascii="Inter" w:hAnsi="Inter" w:eastAsia="Inter"/>
                <w:sz w:val="18"/>
              </w:rPr>
              <w:t>Autonomy, shared interests, no pressure, trial first, familiar person over time.</w:t>
            </w:r>
          </w:p>
        </w:tc>
      </w:tr>
      <w:tr>
        <w:trPr>
          <w:cantSplit/>
        </w:trPr>
        <w:tc>
          <w:tcPr>
            <w:tcW w:type="dxa" w:w="3324"/>
            <w:tcMar>
              <w:top w:w="90" w:type="dxa"/>
              <w:start w:w="110" w:type="dxa"/>
              <w:bottom w:w="90" w:type="dxa"/>
              <w:end w:w="110" w:type="dxa"/>
            </w:tcMar>
            <w:vAlign w:val="top"/>
          </w:tcPr>
          <w:p>
            <w:r>
              <w:rPr>
                <w:rFonts w:ascii="Inter" w:hAnsi="Inter" w:eastAsia="Inter"/>
                <w:sz w:val="18"/>
              </w:rPr>
              <w:t>Prospective Companion</w:t>
            </w:r>
          </w:p>
        </w:tc>
        <w:tc>
          <w:tcPr>
            <w:tcW w:type="dxa" w:w="3324"/>
            <w:tcMar>
              <w:top w:w="90" w:type="dxa"/>
              <w:start w:w="110" w:type="dxa"/>
              <w:bottom w:w="90" w:type="dxa"/>
              <w:end w:w="110" w:type="dxa"/>
            </w:tcMar>
            <w:vAlign w:val="top"/>
          </w:tcPr>
          <w:p>
            <w:r>
              <w:rPr>
                <w:rFonts w:ascii="Inter" w:hAnsi="Inter" w:eastAsia="Inter"/>
                <w:sz w:val="18"/>
              </w:rPr>
              <w:t>“Can I earn flexibly while doing something meaningful?”</w:t>
            </w:r>
          </w:p>
        </w:tc>
        <w:tc>
          <w:tcPr>
            <w:tcW w:type="dxa" w:w="3324"/>
            <w:tcMar>
              <w:top w:w="90" w:type="dxa"/>
              <w:start w:w="110" w:type="dxa"/>
              <w:bottom w:w="90" w:type="dxa"/>
              <w:end w:w="110" w:type="dxa"/>
            </w:tcMar>
            <w:vAlign w:val="top"/>
          </w:tcPr>
          <w:p>
            <w:r>
              <w:rPr>
                <w:rFonts w:ascii="Inter" w:hAnsi="Inter" w:eastAsia="Inter"/>
                <w:sz w:val="18"/>
              </w:rPr>
              <w:t>Clear expectations, flexible availability, fair pricing, continuity, boundaries.</w:t>
            </w:r>
          </w:p>
        </w:tc>
      </w:tr>
    </w:tbl>
    <w:p/>
    <w:p>
      <w:pPr>
        <w:pStyle w:val="Heading2"/>
        <w:keepNext/>
      </w:pPr>
      <w:r>
        <w:t>3.1 Message hierarchy</w:t>
      </w:r>
    </w:p>
    <w:p>
      <w:pPr>
        <w:spacing w:after="80"/>
      </w:pPr>
      <w:r>
        <w:rPr>
          <w:i w:val="0"/>
          <w:sz w:val="21"/>
        </w:rPr>
        <w:t>1. Apricoti makes regular friendly conversation easier to arrange.</w:t>
      </w:r>
    </w:p>
    <w:p>
      <w:pPr>
        <w:spacing w:after="80"/>
      </w:pPr>
      <w:r>
        <w:rPr>
          <w:i w:val="0"/>
          <w:sz w:val="21"/>
        </w:rPr>
        <w:t>2. The Member chooses who they speak with, based on transparent profiles and practical fit.</w:t>
      </w:r>
    </w:p>
    <w:p>
      <w:pPr>
        <w:spacing w:after="80"/>
      </w:pPr>
      <w:r>
        <w:rPr>
          <w:i w:val="0"/>
          <w:sz w:val="21"/>
        </w:rPr>
        <w:t>3. A family member or trusted person can help organise and pay, without removing the Member from the choice.</w:t>
      </w:r>
    </w:p>
    <w:p>
      <w:pPr>
        <w:spacing w:after="80"/>
      </w:pPr>
      <w:r>
        <w:rPr>
          <w:i w:val="0"/>
          <w:sz w:val="21"/>
        </w:rPr>
        <w:t>4. Start with one paid trial conversation and continue only when the match feels right.</w:t>
      </w:r>
    </w:p>
    <w:p>
      <w:pPr>
        <w:spacing w:after="80"/>
      </w:pPr>
      <w:r>
        <w:rPr>
          <w:i w:val="0"/>
          <w:sz w:val="21"/>
        </w:rPr>
        <w:t>5. Companions earn flexibly through consistent, respectful social conversation.</w:t>
      </w:r>
    </w:p>
    <w:p>
      <w:pPr>
        <w:spacing w:after="80"/>
      </w:pPr>
      <w:r>
        <w:rPr>
          <w:i w:val="0"/>
          <w:sz w:val="21"/>
        </w:rPr>
        <w:t>6. The service has clear boundaries and is not a care or clinical service.</w:t>
      </w:r>
    </w:p>
    <w:p>
      <w:pPr>
        <w:pStyle w:val="Heading1"/>
        <w:keepNext/>
      </w:pPr>
      <w:r>
        <w:t>4. Voice and tone</w:t>
      </w:r>
    </w:p>
    <w:p>
      <w:pPr>
        <w:pStyle w:val="Lead"/>
        <w:spacing w:after="100"/>
      </w:pPr>
      <w:r>
        <w:rPr>
          <w:i w:val="0"/>
        </w:rPr>
        <w:t>Apricoti should sound warm, practical and quietly optimistic. It should never sound like it is selling fear, replacing a family, or speaking down to older adults.</w:t>
      </w:r>
    </w:p>
    <w:tbl>
      <w:tblPr>
        <w:tblStyle w:val="TableGrid"/>
        <w:tblW w:type="auto" w:w="0"/>
        <w:jc w:val="center"/>
        <w:tblLook w:firstColumn="1" w:firstRow="1" w:lastColumn="0" w:lastRow="0" w:noHBand="0" w:noVBand="1" w:val="04A0"/>
      </w:tblPr>
      <w:tblGrid>
        <w:gridCol w:w="3324"/>
        <w:gridCol w:w="3324"/>
        <w:gridCol w:w="3324"/>
      </w:tblGrid>
      <w:tr>
        <w:trPr>
          <w:tblHeader w:val="true"/>
          <w:tblHeader w:val="true"/>
          <w:tblHeader w:val="true"/>
          <w:cantSplit/>
        </w:trPr>
        <w:tc>
          <w:tcPr>
            <w:tcW w:type="dxa" w:w="3324"/>
            <w:shd w:fill="FFF2E9"/>
          </w:tcPr>
          <w:p>
            <w:r>
              <w:rPr>
                <w:rFonts w:ascii="Inter" w:hAnsi="Inter" w:eastAsia="Inter"/>
                <w:sz w:val="18"/>
              </w:rPr>
              <w:t>Use</w:t>
            </w:r>
          </w:p>
        </w:tc>
        <w:tc>
          <w:tcPr>
            <w:tcW w:type="dxa" w:w="3324"/>
            <w:shd w:fill="FFF2E9"/>
          </w:tcPr>
          <w:p>
            <w:r>
              <w:rPr>
                <w:rFonts w:ascii="Inter" w:hAnsi="Inter" w:eastAsia="Inter"/>
                <w:sz w:val="18"/>
              </w:rPr>
              <w:t>Avoid</w:t>
            </w:r>
          </w:p>
        </w:tc>
        <w:tc>
          <w:tcPr>
            <w:tcW w:type="dxa" w:w="3324"/>
            <w:shd w:fill="FFF2E9"/>
          </w:tcPr>
          <w:p>
            <w:r>
              <w:rPr>
                <w:rFonts w:ascii="Inter" w:hAnsi="Inter" w:eastAsia="Inter"/>
                <w:sz w:val="18"/>
              </w:rPr>
              <w:t>Reason</w:t>
            </w:r>
          </w:p>
        </w:tc>
      </w:tr>
      <w:tr>
        <w:trPr>
          <w:cantSplit/>
        </w:trPr>
        <w:tc>
          <w:tcPr>
            <w:tcW w:type="dxa" w:w="3324"/>
            <w:tcMar>
              <w:top w:w="90" w:type="dxa"/>
              <w:start w:w="110" w:type="dxa"/>
              <w:bottom w:w="90" w:type="dxa"/>
              <w:end w:w="110" w:type="dxa"/>
            </w:tcMar>
          </w:tcPr>
          <w:p>
            <w:r>
              <w:rPr>
                <w:rFonts w:ascii="Inter" w:hAnsi="Inter" w:eastAsia="Inter"/>
                <w:sz w:val="18"/>
              </w:rPr>
              <w:t>Member, Companion, conversation</w:t>
            </w:r>
          </w:p>
        </w:tc>
        <w:tc>
          <w:tcPr>
            <w:tcW w:type="dxa" w:w="3324"/>
            <w:tcMar>
              <w:top w:w="90" w:type="dxa"/>
              <w:start w:w="110" w:type="dxa"/>
              <w:bottom w:w="90" w:type="dxa"/>
              <w:end w:w="110" w:type="dxa"/>
            </w:tcMar>
          </w:tcPr>
          <w:p>
            <w:r>
              <w:rPr>
                <w:rFonts w:ascii="Inter" w:hAnsi="Inter" w:eastAsia="Inter"/>
                <w:sz w:val="18"/>
              </w:rPr>
              <w:t>Patient, carer, session</w:t>
            </w:r>
          </w:p>
        </w:tc>
        <w:tc>
          <w:tcPr>
            <w:tcW w:type="dxa" w:w="3324"/>
            <w:tcMar>
              <w:top w:w="90" w:type="dxa"/>
              <w:start w:w="110" w:type="dxa"/>
              <w:bottom w:w="90" w:type="dxa"/>
              <w:end w:w="110" w:type="dxa"/>
            </w:tcMar>
          </w:tcPr>
          <w:p>
            <w:r>
              <w:rPr>
                <w:rFonts w:ascii="Inter" w:hAnsi="Inter" w:eastAsia="Inter"/>
                <w:sz w:val="18"/>
              </w:rPr>
              <w:t>Keeps the relationship social and equal.</w:t>
            </w:r>
          </w:p>
        </w:tc>
      </w:tr>
      <w:tr>
        <w:trPr>
          <w:cantSplit/>
        </w:trPr>
        <w:tc>
          <w:tcPr>
            <w:tcW w:type="dxa" w:w="3324"/>
            <w:tcMar>
              <w:top w:w="90" w:type="dxa"/>
              <w:start w:w="110" w:type="dxa"/>
              <w:bottom w:w="90" w:type="dxa"/>
              <w:end w:w="110" w:type="dxa"/>
            </w:tcMar>
          </w:tcPr>
          <w:p>
            <w:r>
              <w:rPr>
                <w:rFonts w:ascii="Inter" w:hAnsi="Inter" w:eastAsia="Inter"/>
                <w:sz w:val="18"/>
              </w:rPr>
              <w:t>Someone you care about</w:t>
            </w:r>
          </w:p>
        </w:tc>
        <w:tc>
          <w:tcPr>
            <w:tcW w:type="dxa" w:w="3324"/>
            <w:tcMar>
              <w:top w:w="90" w:type="dxa"/>
              <w:start w:w="110" w:type="dxa"/>
              <w:bottom w:w="90" w:type="dxa"/>
              <w:end w:w="110" w:type="dxa"/>
            </w:tcMar>
          </w:tcPr>
          <w:p>
            <w:r>
              <w:rPr>
                <w:rFonts w:ascii="Inter" w:hAnsi="Inter" w:eastAsia="Inter"/>
                <w:sz w:val="18"/>
              </w:rPr>
              <w:t>Your elderly loved one</w:t>
            </w:r>
          </w:p>
        </w:tc>
        <w:tc>
          <w:tcPr>
            <w:tcW w:type="dxa" w:w="3324"/>
            <w:tcMar>
              <w:top w:w="90" w:type="dxa"/>
              <w:start w:w="110" w:type="dxa"/>
              <w:bottom w:w="90" w:type="dxa"/>
              <w:end w:w="110" w:type="dxa"/>
            </w:tcMar>
          </w:tcPr>
          <w:p>
            <w:r>
              <w:rPr>
                <w:rFonts w:ascii="Inter" w:hAnsi="Inter" w:eastAsia="Inter"/>
                <w:sz w:val="18"/>
              </w:rPr>
              <w:t>Feels respectful and inclusive.</w:t>
            </w:r>
          </w:p>
        </w:tc>
      </w:tr>
      <w:tr>
        <w:trPr>
          <w:cantSplit/>
        </w:trPr>
        <w:tc>
          <w:tcPr>
            <w:tcW w:type="dxa" w:w="3324"/>
            <w:tcMar>
              <w:top w:w="90" w:type="dxa"/>
              <w:start w:w="110" w:type="dxa"/>
              <w:bottom w:w="90" w:type="dxa"/>
              <w:end w:w="110" w:type="dxa"/>
            </w:tcMar>
          </w:tcPr>
          <w:p>
            <w:r>
              <w:rPr>
                <w:rFonts w:ascii="Inter" w:hAnsi="Inter" w:eastAsia="Inter"/>
                <w:sz w:val="18"/>
              </w:rPr>
              <w:t>Another regular point of connection</w:t>
            </w:r>
          </w:p>
        </w:tc>
        <w:tc>
          <w:tcPr>
            <w:tcW w:type="dxa" w:w="3324"/>
            <w:tcMar>
              <w:top w:w="90" w:type="dxa"/>
              <w:start w:w="110" w:type="dxa"/>
              <w:bottom w:w="90" w:type="dxa"/>
              <w:end w:w="110" w:type="dxa"/>
            </w:tcMar>
          </w:tcPr>
          <w:p>
            <w:r>
              <w:rPr>
                <w:rFonts w:ascii="Inter" w:hAnsi="Inter" w:eastAsia="Inter"/>
                <w:sz w:val="18"/>
              </w:rPr>
              <w:t>Fill the gaps when you cannot be there</w:t>
            </w:r>
          </w:p>
        </w:tc>
        <w:tc>
          <w:tcPr>
            <w:tcW w:type="dxa" w:w="3324"/>
            <w:tcMar>
              <w:top w:w="90" w:type="dxa"/>
              <w:start w:w="110" w:type="dxa"/>
              <w:bottom w:w="90" w:type="dxa"/>
              <w:end w:w="110" w:type="dxa"/>
            </w:tcMar>
          </w:tcPr>
          <w:p>
            <w:r>
              <w:rPr>
                <w:rFonts w:ascii="Inter" w:hAnsi="Inter" w:eastAsia="Inter"/>
                <w:sz w:val="18"/>
              </w:rPr>
              <w:t>Avoids guilt and replacement language.</w:t>
            </w:r>
          </w:p>
        </w:tc>
      </w:tr>
      <w:tr>
        <w:trPr>
          <w:cantSplit/>
        </w:trPr>
        <w:tc>
          <w:tcPr>
            <w:tcW w:type="dxa" w:w="3324"/>
            <w:tcMar>
              <w:top w:w="90" w:type="dxa"/>
              <w:start w:w="110" w:type="dxa"/>
              <w:bottom w:w="90" w:type="dxa"/>
              <w:end w:w="110" w:type="dxa"/>
            </w:tcMar>
          </w:tcPr>
          <w:p>
            <w:r>
              <w:rPr>
                <w:rFonts w:ascii="Inter" w:hAnsi="Inter" w:eastAsia="Inter"/>
                <w:sz w:val="18"/>
              </w:rPr>
              <w:t>Earn flexibly through meaningful conversation</w:t>
            </w:r>
          </w:p>
        </w:tc>
        <w:tc>
          <w:tcPr>
            <w:tcW w:type="dxa" w:w="3324"/>
            <w:tcMar>
              <w:top w:w="90" w:type="dxa"/>
              <w:start w:w="110" w:type="dxa"/>
              <w:bottom w:w="90" w:type="dxa"/>
              <w:end w:w="110" w:type="dxa"/>
            </w:tcMar>
          </w:tcPr>
          <w:p>
            <w:r>
              <w:rPr>
                <w:rFonts w:ascii="Inter" w:hAnsi="Inter" w:eastAsia="Inter"/>
                <w:sz w:val="18"/>
              </w:rPr>
              <w:t>Make extra cash by chatting</w:t>
            </w:r>
          </w:p>
        </w:tc>
        <w:tc>
          <w:tcPr>
            <w:tcW w:type="dxa" w:w="3324"/>
            <w:tcMar>
              <w:top w:w="90" w:type="dxa"/>
              <w:start w:w="110" w:type="dxa"/>
              <w:bottom w:w="90" w:type="dxa"/>
              <w:end w:w="110" w:type="dxa"/>
            </w:tcMar>
          </w:tcPr>
          <w:p>
            <w:r>
              <w:rPr>
                <w:rFonts w:ascii="Inter" w:hAnsi="Inter" w:eastAsia="Inter"/>
                <w:sz w:val="18"/>
              </w:rPr>
              <w:t>Protects quality and responsibility.</w:t>
            </w:r>
          </w:p>
        </w:tc>
      </w:tr>
      <w:tr>
        <w:trPr>
          <w:cantSplit/>
        </w:trPr>
        <w:tc>
          <w:tcPr>
            <w:tcW w:type="dxa" w:w="3324"/>
            <w:tcMar>
              <w:top w:w="90" w:type="dxa"/>
              <w:start w:w="110" w:type="dxa"/>
              <w:bottom w:w="90" w:type="dxa"/>
              <w:end w:w="110" w:type="dxa"/>
            </w:tcMar>
          </w:tcPr>
          <w:p>
            <w:r>
              <w:rPr>
                <w:rFonts w:ascii="Inter" w:hAnsi="Inter" w:eastAsia="Inter"/>
                <w:sz w:val="18"/>
              </w:rPr>
              <w:t>Social isolation is associated with health risks</w:t>
            </w:r>
          </w:p>
        </w:tc>
        <w:tc>
          <w:tcPr>
            <w:tcW w:type="dxa" w:w="3324"/>
            <w:tcMar>
              <w:top w:w="90" w:type="dxa"/>
              <w:start w:w="110" w:type="dxa"/>
              <w:bottom w:w="90" w:type="dxa"/>
              <w:end w:w="110" w:type="dxa"/>
            </w:tcMar>
          </w:tcPr>
          <w:p>
            <w:r>
              <w:rPr>
                <w:rFonts w:ascii="Inter" w:hAnsi="Inter" w:eastAsia="Inter"/>
                <w:sz w:val="18"/>
              </w:rPr>
              <w:t>Loneliness causes dementia and death</w:t>
            </w:r>
          </w:p>
        </w:tc>
        <w:tc>
          <w:tcPr>
            <w:tcW w:type="dxa" w:w="3324"/>
            <w:tcMar>
              <w:top w:w="90" w:type="dxa"/>
              <w:start w:w="110" w:type="dxa"/>
              <w:bottom w:w="90" w:type="dxa"/>
              <w:end w:w="110" w:type="dxa"/>
            </w:tcMar>
          </w:tcPr>
          <w:p>
            <w:r>
              <w:rPr>
                <w:rFonts w:ascii="Inter" w:hAnsi="Inter" w:eastAsia="Inter"/>
                <w:sz w:val="18"/>
              </w:rPr>
              <w:t>Avoids overstating causality.</w:t>
            </w:r>
          </w:p>
        </w:tc>
      </w:tr>
      <w:tr>
        <w:trPr>
          <w:cantSplit/>
        </w:trPr>
        <w:tc>
          <w:tcPr>
            <w:tcW w:type="dxa" w:w="3324"/>
            <w:tcMar>
              <w:top w:w="90" w:type="dxa"/>
              <w:start w:w="110" w:type="dxa"/>
              <w:bottom w:w="90" w:type="dxa"/>
              <w:end w:w="110" w:type="dxa"/>
            </w:tcMar>
          </w:tcPr>
          <w:p>
            <w:r>
              <w:rPr>
                <w:rFonts w:ascii="Inter" w:hAnsi="Inter" w:eastAsia="Inter"/>
                <w:sz w:val="18"/>
              </w:rPr>
              <w:t>Start with one conversation</w:t>
            </w:r>
          </w:p>
        </w:tc>
        <w:tc>
          <w:tcPr>
            <w:tcW w:type="dxa" w:w="3324"/>
            <w:tcMar>
              <w:top w:w="90" w:type="dxa"/>
              <w:start w:w="110" w:type="dxa"/>
              <w:bottom w:w="90" w:type="dxa"/>
              <w:end w:w="110" w:type="dxa"/>
            </w:tcMar>
          </w:tcPr>
          <w:p>
            <w:r>
              <w:rPr>
                <w:rFonts w:ascii="Inter" w:hAnsi="Inter" w:eastAsia="Inter"/>
                <w:sz w:val="18"/>
              </w:rPr>
              <w:t>Commit to a plan</w:t>
            </w:r>
          </w:p>
        </w:tc>
        <w:tc>
          <w:tcPr>
            <w:tcW w:type="dxa" w:w="3324"/>
            <w:tcMar>
              <w:top w:w="90" w:type="dxa"/>
              <w:start w:w="110" w:type="dxa"/>
              <w:bottom w:w="90" w:type="dxa"/>
              <w:end w:w="110" w:type="dxa"/>
            </w:tcMar>
          </w:tcPr>
          <w:p>
            <w:r>
              <w:rPr>
                <w:rFonts w:ascii="Inter" w:hAnsi="Inter" w:eastAsia="Inter"/>
                <w:sz w:val="18"/>
              </w:rPr>
              <w:t>Reduces risk and makes the first step clear.</w:t>
            </w:r>
          </w:p>
        </w:tc>
      </w:tr>
    </w:tbl>
    <w:p/>
    <w:p>
      <w:pPr>
        <w:pStyle w:val="Heading2"/>
        <w:keepNext/>
      </w:pPr>
      <w:r>
        <w:t>4.1 Tone checklist</w:t>
      </w:r>
    </w:p>
    <w:p>
      <w:pPr>
        <w:pStyle w:val="ListBullet"/>
        <w:spacing w:after="40"/>
      </w:pPr>
      <w:r>
        <w:t>Human, not clinical.</w:t>
      </w:r>
    </w:p>
    <w:p>
      <w:pPr>
        <w:pStyle w:val="ListBullet"/>
        <w:spacing w:after="40"/>
      </w:pPr>
      <w:r>
        <w:t>Respectful, not patronising.</w:t>
      </w:r>
    </w:p>
    <w:p>
      <w:pPr>
        <w:pStyle w:val="ListBullet"/>
        <w:spacing w:after="40"/>
      </w:pPr>
      <w:r>
        <w:t>Clear, not sentimental.</w:t>
      </w:r>
    </w:p>
    <w:p>
      <w:pPr>
        <w:pStyle w:val="ListBullet"/>
        <w:spacing w:after="40"/>
      </w:pPr>
      <w:r>
        <w:t>Positive, not guilt-driven.</w:t>
      </w:r>
    </w:p>
    <w:p>
      <w:pPr>
        <w:pStyle w:val="ListBullet"/>
        <w:spacing w:after="40"/>
      </w:pPr>
      <w:r>
        <w:t>Modern, not institutional.</w:t>
      </w:r>
    </w:p>
    <w:p>
      <w:pPr>
        <w:pStyle w:val="ListBullet"/>
        <w:spacing w:after="40"/>
      </w:pPr>
      <w:r>
        <w:t>Honest about boundaries and unfinished launch features.</w:t>
      </w:r>
    </w:p>
    <w:p>
      <w:pPr>
        <w:pStyle w:val="Heading1"/>
        <w:keepNext/>
      </w:pPr>
      <w:r>
        <w:t>5. Recommended landing-page structure and copy</w:t>
      </w:r>
    </w:p>
    <w:tbl>
      <w:tblPr>
        <w:tblW w:type="auto" w:w="0"/>
        <w:jc w:val="center"/>
        <w:tblLayout w:type="autofit"/>
        <w:tblLook w:firstColumn="1" w:firstRow="1" w:lastColumn="0" w:lastRow="0" w:noHBand="0" w:noVBand="1" w:val="04A0"/>
      </w:tblPr>
      <w:tblGrid>
        <w:gridCol w:w="9972"/>
      </w:tblGrid>
      <w:tr>
        <w:trPr>
          <w:cantSplit/>
        </w:trPr>
        <w:tc>
          <w:tcPr>
            <w:tcW w:type="dxa" w:w="9972"/>
            <w:shd w:fill="F7F5F2"/>
            <w:tcBorders>
              <w:top w:val="single" w:sz="7" w:color="DED8D2"/>
              <w:left w:val="single" w:sz="7" w:color="DED8D2"/>
              <w:bottom w:val="single" w:sz="7" w:color="DED8D2"/>
              <w:right w:val="single" w:sz="7" w:color="DED8D2"/>
            </w:tcBorders>
            <w:tcMar>
              <w:top w:w="140" w:type="dxa"/>
              <w:start w:w="180" w:type="dxa"/>
              <w:bottom w:w="140" w:type="dxa"/>
              <w:end w:w="180" w:type="dxa"/>
            </w:tcMar>
          </w:tcPr>
          <w:p>
            <w:pPr>
              <w:spacing w:after="80"/>
            </w:pPr>
            <w:r>
              <w:rPr>
                <w:rFonts w:ascii="Inter" w:hAnsi="Inter" w:eastAsia="Inter"/>
                <w:b/>
                <w:color w:val="222222"/>
                <w:sz w:val="18"/>
              </w:rPr>
              <w:t>Recommended sequence</w:t>
            </w:r>
          </w:p>
          <w:p>
            <w:pPr>
              <w:spacing w:after="0"/>
            </w:pPr>
            <w:r>
              <w:rPr>
                <w:rFonts w:ascii="Inter" w:hAnsi="Inter" w:eastAsia="Inter"/>
                <w:sz w:val="18"/>
              </w:rPr>
              <w:t>Navigation → Hero → Reassurance strip → Why connection matters → What Apricoti offers → How it works → For families → For Members → For Companions → Trial → Safety and boundaries → Stories → FAQs → Final CTA → Footer</w:t>
            </w:r>
          </w:p>
        </w:tc>
      </w:tr>
    </w:tbl>
    <w:p>
      <w:pPr>
        <w:spacing w:after="20"/>
      </w:pPr>
    </w:p>
    <w:p>
      <w:pPr>
        <w:pStyle w:val="Heading2"/>
        <w:keepNext/>
      </w:pPr>
      <w:r>
        <w:t>5.1 Navigation</w:t>
      </w:r>
    </w:p>
    <w:p>
      <w:pPr>
        <w:spacing w:after="100"/>
      </w:pPr>
      <w:r>
        <w:rPr>
          <w:i w:val="0"/>
        </w:rPr>
        <w:t>Recommended labels</w:t>
      </w:r>
    </w:p>
    <w:p>
      <w:pPr>
        <w:spacing w:after="100"/>
      </w:pPr>
      <w:r>
        <w:rPr>
          <w:i w:val="0"/>
        </w:rPr>
        <w:t>How it works   |   Find a Companion   |   For families   |   Become a Companion   |   Safety   |   Sign in</w:t>
      </w:r>
    </w:p>
    <w:p>
      <w:pPr>
        <w:pStyle w:val="SmallNote"/>
        <w:spacing w:after="100"/>
      </w:pPr>
      <w:r>
        <w:rPr>
          <w:i w:val="0"/>
        </w:rPr>
        <w:t>Primary navigation CTA: Find a Companion</w:t>
      </w:r>
    </w:p>
    <w:p>
      <w:pPr>
        <w:pStyle w:val="Heading2"/>
        <w:keepNext/>
      </w:pPr>
      <w:r>
        <w:t>5.2 Hero</w:t>
      </w:r>
    </w:p>
    <w:tbl>
      <w:tblPr>
        <w:tblW w:type="auto" w:w="0"/>
        <w:jc w:val="center"/>
        <w:tblLook w:firstColumn="1" w:firstRow="1" w:lastColumn="0" w:lastRow="0" w:noHBand="0" w:noVBand="1" w:val="04A0"/>
      </w:tblPr>
      <w:tblGrid>
        <w:gridCol w:w="9972"/>
      </w:tblGrid>
      <w:tr>
        <w:trPr>
          <w:cantSplit/>
        </w:trPr>
        <w:tc>
          <w:tcPr>
            <w:tcW w:type="dxa" w:w="9972"/>
            <w:shd w:fill="FFFFFF"/>
            <w:tcBorders>
              <w:top w:val="single" w:sz="8" w:color="DED8D2"/>
              <w:left w:val="single" w:sz="8" w:color="DED8D2"/>
              <w:bottom w:val="single" w:sz="8" w:color="DED8D2"/>
              <w:right w:val="single" w:sz="8" w:color="DED8D2"/>
            </w:tcBorders>
            <w:tcMar>
              <w:top w:w="160" w:type="dxa"/>
              <w:start w:w="180" w:type="dxa"/>
              <w:bottom w:w="160" w:type="dxa"/>
              <w:end w:w="180" w:type="dxa"/>
            </w:tcMar>
          </w:tcPr>
          <w:p>
            <w:r>
              <w:rPr>
                <w:rFonts w:ascii="Inter" w:hAnsi="Inter" w:eastAsia="Inter"/>
                <w:b/>
                <w:color w:val="A94F20"/>
                <w:sz w:val="17"/>
              </w:rPr>
              <w:t>RECOMMENDED HERO</w:t>
            </w:r>
          </w:p>
          <w:p>
            <w:pPr>
              <w:spacing w:after="120"/>
            </w:pPr>
            <w:r>
              <w:rPr>
                <w:rFonts w:ascii="Inter" w:hAnsi="Inter" w:eastAsia="Inter"/>
                <w:b/>
                <w:color w:val="222222"/>
                <w:sz w:val="32"/>
              </w:rPr>
              <w:t>Regular conversation. Genuine connection.</w:t>
            </w:r>
          </w:p>
          <w:p>
            <w:pPr>
              <w:spacing w:after="100"/>
            </w:pPr>
            <w:r>
              <w:rPr>
                <w:rFonts w:ascii="Inter" w:hAnsi="Inter" w:eastAsia="Inter"/>
                <w:sz w:val="18"/>
              </w:rPr>
              <w:t>Apricoti helps you arrange friendly video conversations for someone you care about, with a Companion they choose.</w:t>
            </w:r>
          </w:p>
          <w:p>
            <w:pPr>
              <w:spacing w:after="40"/>
            </w:pPr>
            <w:r>
              <w:rPr>
                <w:rFonts w:ascii="Inter" w:hAnsi="Inter" w:eastAsia="Inter"/>
                <w:b/>
                <w:color w:val="A94F20"/>
                <w:sz w:val="18"/>
              </w:rPr>
              <w:t>Find a Companion     |     Become a Companion</w:t>
            </w:r>
          </w:p>
          <w:p>
            <w:pPr>
              <w:spacing w:after="0"/>
            </w:pPr>
            <w:r>
              <w:rPr>
                <w:rFonts w:ascii="Inter" w:hAnsi="Inter" w:eastAsia="Inter"/>
                <w:i/>
                <w:color w:val="666666"/>
                <w:sz w:val="18"/>
              </w:rPr>
              <w:t>Start with one conversation. Continue only when it feels right.</w:t>
            </w:r>
          </w:p>
        </w:tc>
      </w:tr>
    </w:tbl>
    <w:p>
      <w:pPr>
        <w:spacing w:after="20"/>
      </w:pPr>
    </w:p>
    <w:p>
      <w:pPr>
        <w:pStyle w:val="SmallNote"/>
        <w:spacing w:after="100"/>
      </w:pPr>
      <w:r>
        <w:rPr>
          <w:i w:val="0"/>
        </w:rPr>
        <w:t>Asset direction: A warm, contemporary photograph showing an older Member and younger Companion in equal, engaged conversation. A natural environment is preferable to a staged video-call screen. Leave clean negative space for the headline.</w:t>
      </w:r>
    </w:p>
    <w:p>
      <w:pPr>
        <w:pStyle w:val="Heading2"/>
        <w:keepNext/>
      </w:pPr>
      <w:r>
        <w:t>5.3 Reassurance strip</w:t>
      </w:r>
    </w:p>
    <w:p>
      <w:pPr>
        <w:spacing w:after="100"/>
      </w:pPr>
      <w:r>
        <w:rPr>
          <w:i w:val="0"/>
        </w:rPr>
        <w:t>Choose the person   •   Start with a trial   •   Clear prices before booking   •   Regular video conversations</w:t>
      </w:r>
    </w:p>
    <w:p>
      <w:pPr>
        <w:pStyle w:val="SmallNote"/>
        <w:spacing w:after="100"/>
      </w:pPr>
      <w:r>
        <w:rPr>
          <w:i w:val="0"/>
        </w:rPr>
        <w:t>Launch note: only include “secure payments” or stronger safety claims after final production verification.</w:t>
      </w:r>
    </w:p>
    <w:p>
      <w:pPr>
        <w:pStyle w:val="Heading2"/>
        <w:keepNext/>
      </w:pPr>
      <w:r>
        <w:t>5.4 Why connection matters</w:t>
      </w:r>
    </w:p>
    <w:tbl>
      <w:tblPr>
        <w:tblW w:type="auto" w:w="0"/>
        <w:jc w:val="center"/>
        <w:tblLook w:firstColumn="1" w:firstRow="1" w:lastColumn="0" w:lastRow="0" w:noHBand="0" w:noVBand="1" w:val="04A0"/>
      </w:tblPr>
      <w:tblGrid>
        <w:gridCol w:w="9972"/>
      </w:tblGrid>
      <w:tr>
        <w:trPr>
          <w:cantSplit/>
        </w:trPr>
        <w:tc>
          <w:tcPr>
            <w:tcW w:type="dxa" w:w="9972"/>
            <w:shd w:fill="FFFFFF"/>
            <w:tcBorders>
              <w:top w:val="single" w:sz="8" w:color="DED8D2"/>
              <w:left w:val="single" w:sz="8" w:color="DED8D2"/>
              <w:bottom w:val="single" w:sz="8" w:color="DED8D2"/>
              <w:right w:val="single" w:sz="8" w:color="DED8D2"/>
            </w:tcBorders>
            <w:tcMar>
              <w:top w:w="160" w:type="dxa"/>
              <w:start w:w="180" w:type="dxa"/>
              <w:bottom w:w="160" w:type="dxa"/>
              <w:end w:w="180" w:type="dxa"/>
            </w:tcMar>
          </w:tcPr>
          <w:p>
            <w:r>
              <w:rPr>
                <w:rFonts w:ascii="Inter" w:hAnsi="Inter" w:eastAsia="Inter"/>
                <w:b/>
                <w:color w:val="A94F20"/>
                <w:sz w:val="17"/>
              </w:rPr>
              <w:t>CONTEXT SECTION</w:t>
            </w:r>
          </w:p>
          <w:p>
            <w:pPr>
              <w:spacing w:after="120"/>
            </w:pPr>
            <w:r>
              <w:rPr>
                <w:rFonts w:ascii="Inter" w:hAnsi="Inter" w:eastAsia="Inter"/>
                <w:b/>
                <w:color w:val="222222"/>
                <w:sz w:val="32"/>
              </w:rPr>
              <w:t>Connection matters at every age.</w:t>
            </w:r>
          </w:p>
          <w:p>
            <w:pPr>
              <w:spacing w:after="100"/>
            </w:pPr>
            <w:r>
              <w:rPr>
                <w:rFonts w:ascii="Inter" w:hAnsi="Inter" w:eastAsia="Inter"/>
                <w:sz w:val="18"/>
              </w:rPr>
              <w:t>Strong social connection is part of a healthy life. Yet distance, changing routines, mobility, bereavement and busy schedules can make regular contact harder. Apricoti creates another reliable opportunity for conversation, shared interests and something to look forward to.</w:t>
            </w:r>
          </w:p>
          <w:p>
            <w:pPr>
              <w:spacing w:after="0"/>
            </w:pPr>
            <w:r>
              <w:rPr>
                <w:rFonts w:ascii="Inter" w:hAnsi="Inter" w:eastAsia="Inter"/>
                <w:i/>
                <w:color w:val="666666"/>
                <w:sz w:val="18"/>
              </w:rPr>
              <w:t>Optional evidence line: The World Health Organization reports that around one in six people worldwide experiences loneliness. [1]</w:t>
            </w:r>
          </w:p>
        </w:tc>
      </w:tr>
    </w:tbl>
    <w:p>
      <w:pPr>
        <w:spacing w:after="20"/>
      </w:pPr>
    </w:p>
    <w:tbl>
      <w:tblPr>
        <w:tblW w:type="auto" w:w="0"/>
        <w:jc w:val="center"/>
        <w:tblLayout w:type="autofit"/>
        <w:tblLook w:firstColumn="1" w:firstRow="1" w:lastColumn="0" w:lastRow="0" w:noHBand="0" w:noVBand="1" w:val="04A0"/>
      </w:tblPr>
      <w:tblGrid>
        <w:gridCol w:w="9972"/>
      </w:tblGrid>
      <w:tr>
        <w:trPr>
          <w:cantSplit/>
        </w:trPr>
        <w:tc>
          <w:tcPr>
            <w:tcW w:type="dxa" w:w="9972"/>
            <w:shd w:fill="FFF5CC"/>
            <w:tcBorders>
              <w:top w:val="single" w:sz="7" w:color="DED8D2"/>
              <w:left w:val="single" w:sz="7" w:color="DED8D2"/>
              <w:bottom w:val="single" w:sz="7" w:color="DED8D2"/>
              <w:right w:val="single" w:sz="7" w:color="DED8D2"/>
            </w:tcBorders>
            <w:tcMar>
              <w:top w:w="140" w:type="dxa"/>
              <w:start w:w="180" w:type="dxa"/>
              <w:bottom w:w="140" w:type="dxa"/>
              <w:end w:w="180" w:type="dxa"/>
            </w:tcMar>
          </w:tcPr>
          <w:p>
            <w:pPr>
              <w:spacing w:after="80"/>
            </w:pPr>
            <w:r>
              <w:rPr>
                <w:rFonts w:ascii="Inter" w:hAnsi="Inter" w:eastAsia="Inter"/>
                <w:b/>
                <w:color w:val="222222"/>
                <w:sz w:val="18"/>
              </w:rPr>
              <w:t>Recommended use of evidence</w:t>
            </w:r>
          </w:p>
          <w:p>
            <w:pPr>
              <w:spacing w:after="0"/>
            </w:pPr>
            <w:r>
              <w:rPr>
                <w:rFonts w:ascii="Inter" w:hAnsi="Inter" w:eastAsia="Inter"/>
                <w:sz w:val="18"/>
              </w:rPr>
              <w:t>Keep health evidence concise on the homepage. Link to a dedicated “Why connection matters” or “Our mission” page for fuller context and sources.</w:t>
            </w:r>
          </w:p>
        </w:tc>
      </w:tr>
    </w:tbl>
    <w:p>
      <w:pPr>
        <w:spacing w:after="20"/>
      </w:pPr>
    </w:p>
    <w:p>
      <w:pPr>
        <w:pStyle w:val="Heading2"/>
        <w:keepNext/>
      </w:pPr>
      <w:r>
        <w:t>5.5 What Apricoti offers</w:t>
      </w:r>
    </w:p>
    <w:tbl>
      <w:tblPr>
        <w:tblW w:type="auto" w:w="0"/>
        <w:jc w:val="center"/>
        <w:tblLook w:firstColumn="1" w:firstRow="1" w:lastColumn="0" w:lastRow="0" w:noHBand="0" w:noVBand="1" w:val="04A0"/>
      </w:tblPr>
      <w:tblGrid>
        <w:gridCol w:w="9972"/>
      </w:tblGrid>
      <w:tr>
        <w:trPr>
          <w:cantSplit/>
        </w:trPr>
        <w:tc>
          <w:tcPr>
            <w:tcW w:type="dxa" w:w="9972"/>
            <w:shd w:fill="FFFFFF"/>
            <w:tcBorders>
              <w:top w:val="single" w:sz="8" w:color="DED8D2"/>
              <w:left w:val="single" w:sz="8" w:color="DED8D2"/>
              <w:bottom w:val="single" w:sz="8" w:color="DED8D2"/>
              <w:right w:val="single" w:sz="8" w:color="DED8D2"/>
            </w:tcBorders>
            <w:tcMar>
              <w:top w:w="160" w:type="dxa"/>
              <w:start w:w="180" w:type="dxa"/>
              <w:bottom w:w="160" w:type="dxa"/>
              <w:end w:w="180" w:type="dxa"/>
            </w:tcMar>
          </w:tcPr>
          <w:p>
            <w:r>
              <w:rPr>
                <w:rFonts w:ascii="Inter" w:hAnsi="Inter" w:eastAsia="Inter"/>
                <w:b/>
                <w:color w:val="A94F20"/>
                <w:sz w:val="17"/>
              </w:rPr>
              <w:t>CORE VALUE</w:t>
            </w:r>
          </w:p>
          <w:p>
            <w:pPr>
              <w:spacing w:after="120"/>
            </w:pPr>
            <w:r>
              <w:rPr>
                <w:rFonts w:ascii="Inter" w:hAnsi="Inter" w:eastAsia="Inter"/>
                <w:b/>
                <w:color w:val="222222"/>
                <w:sz w:val="32"/>
              </w:rPr>
              <w:t>A familiar conversation, arranged around the person.</w:t>
            </w:r>
          </w:p>
          <w:p>
            <w:pPr>
              <w:spacing w:after="100"/>
            </w:pPr>
            <w:r>
              <w:rPr>
                <w:rFonts w:ascii="Inter" w:hAnsi="Inter" w:eastAsia="Inter"/>
                <w:sz w:val="18"/>
              </w:rPr>
              <w:t>Browse Companion profiles, consider shared interests and availability, and choose who feels like the right fit. Conversations are scheduled in advance, so they can become a positive and familiar part of the week.</w:t>
            </w:r>
          </w:p>
        </w:tc>
      </w:tr>
    </w:tbl>
    <w:p>
      <w:pPr>
        <w:spacing w:after="20"/>
      </w:pPr>
    </w:p>
    <w:p>
      <w:pPr>
        <w:pStyle w:val="Heading3"/>
        <w:keepNext/>
        <w:spacing w:after="100"/>
      </w:pPr>
      <w:r>
        <w:rPr>
          <w:i w:val="0"/>
        </w:rPr>
        <w:t>Benefit card 1</w:t>
      </w:r>
    </w:p>
    <w:p>
      <w:pPr>
        <w:spacing w:after="100"/>
      </w:pPr>
      <w:r>
        <w:rPr>
          <w:i w:val="0"/>
        </w:rPr>
        <w:t>Choice that stays with the Member</w:t>
      </w:r>
    </w:p>
    <w:p>
      <w:pPr>
        <w:spacing w:after="100"/>
      </w:pPr>
      <w:r>
        <w:rPr>
          <w:i w:val="0"/>
        </w:rPr>
        <w:t>Profiles make it easier to choose based on personality, interests, language, availability and price.</w:t>
      </w:r>
    </w:p>
    <w:p>
      <w:pPr>
        <w:pStyle w:val="Heading3"/>
        <w:keepNext/>
        <w:spacing w:after="100"/>
      </w:pPr>
      <w:r>
        <w:rPr>
          <w:i w:val="0"/>
        </w:rPr>
        <w:t>Benefit card 2</w:t>
      </w:r>
    </w:p>
    <w:p>
      <w:pPr>
        <w:spacing w:after="100"/>
      </w:pPr>
      <w:r>
        <w:rPr>
          <w:i w:val="0"/>
        </w:rPr>
        <w:t>Regularity without pressure</w:t>
      </w:r>
    </w:p>
    <w:p>
      <w:pPr>
        <w:spacing w:after="100"/>
      </w:pPr>
      <w:r>
        <w:rPr>
          <w:i w:val="0"/>
        </w:rPr>
        <w:t>Start with one conversation. Continue regularly only when both people feel comfortable with the match.</w:t>
      </w:r>
    </w:p>
    <w:p>
      <w:pPr>
        <w:pStyle w:val="Heading3"/>
        <w:keepNext/>
        <w:spacing w:after="100"/>
      </w:pPr>
      <w:r>
        <w:rPr>
          <w:i w:val="0"/>
        </w:rPr>
        <w:t>Benefit card 3</w:t>
      </w:r>
    </w:p>
    <w:p>
      <w:pPr>
        <w:spacing w:after="100"/>
      </w:pPr>
      <w:r>
        <w:rPr>
          <w:i w:val="0"/>
        </w:rPr>
        <w:t>Simple for families to organise</w:t>
      </w:r>
    </w:p>
    <w:p>
      <w:pPr>
        <w:spacing w:after="100"/>
      </w:pPr>
      <w:r>
        <w:rPr>
          <w:i w:val="0"/>
        </w:rPr>
        <w:t>A family member or trusted person can help arrange and pay for conversations while keeping the Member involved in the choice.</w:t>
      </w:r>
    </w:p>
    <w:p>
      <w:pPr>
        <w:pStyle w:val="Heading2"/>
        <w:keepNext/>
      </w:pPr>
      <w:r>
        <w:t>5.6 How it works</w:t>
      </w:r>
    </w:p>
    <w:p>
      <w:pPr>
        <w:pStyle w:val="Heading3"/>
        <w:keepNext/>
        <w:spacing w:after="100"/>
      </w:pPr>
      <w:r>
        <w:rPr>
          <w:i w:val="0"/>
        </w:rPr>
        <w:t>1. Explore Companions</w:t>
      </w:r>
    </w:p>
    <w:p>
      <w:pPr>
        <w:spacing w:after="100"/>
      </w:pPr>
      <w:r>
        <w:rPr>
          <w:i w:val="0"/>
        </w:rPr>
        <w:t>Browse profiles and consider interests, conversation style, availability, languages and price.</w:t>
      </w:r>
    </w:p>
    <w:p>
      <w:pPr>
        <w:pStyle w:val="Heading3"/>
        <w:keepNext/>
        <w:spacing w:after="100"/>
      </w:pPr>
      <w:r>
        <w:rPr>
          <w:i w:val="0"/>
        </w:rPr>
        <w:t>2. Choose together</w:t>
      </w:r>
    </w:p>
    <w:p>
      <w:pPr>
        <w:spacing w:after="100"/>
      </w:pPr>
      <w:r>
        <w:rPr>
          <w:i w:val="0"/>
        </w:rPr>
        <w:t>Select the Companion who feels most suitable. When someone else is arranging the call, keep the Member involved.</w:t>
      </w:r>
    </w:p>
    <w:p>
      <w:pPr>
        <w:pStyle w:val="Heading3"/>
        <w:keepNext/>
        <w:spacing w:after="100"/>
      </w:pPr>
      <w:r>
        <w:rPr>
          <w:i w:val="0"/>
        </w:rPr>
        <w:t>3. Start with a trial</w:t>
      </w:r>
    </w:p>
    <w:p>
      <w:pPr>
        <w:spacing w:after="100"/>
      </w:pPr>
      <w:r>
        <w:rPr>
          <w:i w:val="0"/>
        </w:rPr>
        <w:t>Book one paid video conversation at a time and see how the match feels.</w:t>
      </w:r>
    </w:p>
    <w:p>
      <w:pPr>
        <w:pStyle w:val="Heading3"/>
        <w:keepNext/>
        <w:spacing w:after="100"/>
      </w:pPr>
      <w:r>
        <w:rPr>
          <w:i w:val="0"/>
        </w:rPr>
        <w:t>4. Make it regular</w:t>
      </w:r>
    </w:p>
    <w:p>
      <w:pPr>
        <w:spacing w:after="100"/>
      </w:pPr>
      <w:r>
        <w:rPr>
          <w:i w:val="0"/>
        </w:rPr>
        <w:t>When both people are happy, arrange future conversations around their availability.</w:t>
      </w:r>
    </w:p>
    <w:p>
      <w:pPr>
        <w:pStyle w:val="Eyebrow"/>
        <w:spacing w:after="100"/>
      </w:pPr>
      <w:r>
        <w:rPr>
          <w:i w:val="0"/>
        </w:rPr>
        <w:t>CTA: Explore Companions</w:t>
      </w:r>
    </w:p>
    <w:p>
      <w:pPr>
        <w:pStyle w:val="Heading2"/>
        <w:keepNext/>
      </w:pPr>
      <w:r>
        <w:t>5.7 For families and trusted Coordinators</w:t>
      </w:r>
    </w:p>
    <w:tbl>
      <w:tblPr>
        <w:tblW w:type="auto" w:w="0"/>
        <w:jc w:val="center"/>
        <w:tblLook w:firstColumn="1" w:firstRow="1" w:lastColumn="0" w:lastRow="0" w:noHBand="0" w:noVBand="1" w:val="04A0"/>
      </w:tblPr>
      <w:tblGrid>
        <w:gridCol w:w="9972"/>
      </w:tblGrid>
      <w:tr>
        <w:trPr>
          <w:cantSplit/>
        </w:trPr>
        <w:tc>
          <w:tcPr>
            <w:tcW w:type="dxa" w:w="9972"/>
            <w:shd w:fill="FFFFFF"/>
            <w:tcBorders>
              <w:top w:val="single" w:sz="8" w:color="DED8D2"/>
              <w:left w:val="single" w:sz="8" w:color="DED8D2"/>
              <w:bottom w:val="single" w:sz="8" w:color="DED8D2"/>
              <w:right w:val="single" w:sz="8" w:color="DED8D2"/>
            </w:tcBorders>
            <w:tcMar>
              <w:top w:w="160" w:type="dxa"/>
              <w:start w:w="180" w:type="dxa"/>
              <w:bottom w:w="160" w:type="dxa"/>
              <w:end w:w="180" w:type="dxa"/>
            </w:tcMar>
          </w:tcPr>
          <w:p>
            <w:r>
              <w:rPr>
                <w:rFonts w:ascii="Inter" w:hAnsi="Inter" w:eastAsia="Inter"/>
                <w:b/>
                <w:color w:val="A94F20"/>
                <w:sz w:val="17"/>
              </w:rPr>
              <w:t>FAMILY SECTION</w:t>
            </w:r>
          </w:p>
          <w:p>
            <w:pPr>
              <w:spacing w:after="120"/>
            </w:pPr>
            <w:r>
              <w:rPr>
                <w:rFonts w:ascii="Inter" w:hAnsi="Inter" w:eastAsia="Inter"/>
                <w:b/>
                <w:color w:val="222222"/>
                <w:sz w:val="32"/>
              </w:rPr>
              <w:t>Stay involved, even when you cannot always be there.</w:t>
            </w:r>
          </w:p>
          <w:p>
            <w:pPr>
              <w:spacing w:after="100"/>
            </w:pPr>
            <w:r>
              <w:rPr>
                <w:rFonts w:ascii="Inter" w:hAnsi="Inter" w:eastAsia="Inter"/>
                <w:sz w:val="18"/>
              </w:rPr>
              <w:t>Work, distance and everyday responsibilities can make it difficult to be present as often as you would like. Apricoti helps you arrange another regular point of connection for someone you care about — not a replacement for family, but a positive addition to their week.</w:t>
            </w:r>
          </w:p>
          <w:p>
            <w:pPr>
              <w:spacing w:after="40"/>
            </w:pPr>
            <w:r>
              <w:rPr>
                <w:rFonts w:ascii="Inter" w:hAnsi="Inter" w:eastAsia="Inter"/>
                <w:b/>
                <w:color w:val="A94F20"/>
                <w:sz w:val="18"/>
              </w:rPr>
              <w:t>Arrange a trial conversation</w:t>
            </w:r>
          </w:p>
          <w:p>
            <w:pPr>
              <w:spacing w:after="0"/>
            </w:pPr>
            <w:r>
              <w:rPr>
                <w:rFonts w:ascii="Inter" w:hAnsi="Inter" w:eastAsia="Inter"/>
                <w:i/>
                <w:color w:val="666666"/>
                <w:sz w:val="18"/>
              </w:rPr>
              <w:t>You can help create a Member profile, explore Companions, arrange conversations and see what is coming up, with the Member’s permission and involvement.</w:t>
            </w:r>
          </w:p>
        </w:tc>
      </w:tr>
    </w:tbl>
    <w:p>
      <w:pPr>
        <w:spacing w:after="20"/>
      </w:pPr>
    </w:p>
    <w:p>
      <w:pPr>
        <w:pStyle w:val="Heading2"/>
        <w:keepNext/>
      </w:pPr>
      <w:r>
        <w:t>5.8 For Members</w:t>
      </w:r>
    </w:p>
    <w:tbl>
      <w:tblPr>
        <w:tblW w:type="auto" w:w="0"/>
        <w:jc w:val="center"/>
        <w:tblLook w:firstColumn="1" w:firstRow="1" w:lastColumn="0" w:lastRow="0" w:noHBand="0" w:noVBand="1" w:val="04A0"/>
      </w:tblPr>
      <w:tblGrid>
        <w:gridCol w:w="9972"/>
      </w:tblGrid>
      <w:tr>
        <w:trPr>
          <w:cantSplit/>
        </w:trPr>
        <w:tc>
          <w:tcPr>
            <w:tcW w:type="dxa" w:w="9972"/>
            <w:shd w:fill="FFFFFF"/>
            <w:tcBorders>
              <w:top w:val="single" w:sz="8" w:color="DED8D2"/>
              <w:left w:val="single" w:sz="8" w:color="DED8D2"/>
              <w:bottom w:val="single" w:sz="8" w:color="DED8D2"/>
              <w:right w:val="single" w:sz="8" w:color="DED8D2"/>
            </w:tcBorders>
            <w:tcMar>
              <w:top w:w="160" w:type="dxa"/>
              <w:start w:w="180" w:type="dxa"/>
              <w:bottom w:w="160" w:type="dxa"/>
              <w:end w:w="180" w:type="dxa"/>
            </w:tcMar>
          </w:tcPr>
          <w:p>
            <w:r>
              <w:rPr>
                <w:rFonts w:ascii="Inter" w:hAnsi="Inter" w:eastAsia="Inter"/>
                <w:b/>
                <w:color w:val="A94F20"/>
                <w:sz w:val="17"/>
              </w:rPr>
              <w:t>MEMBER SECTION</w:t>
            </w:r>
          </w:p>
          <w:p>
            <w:pPr>
              <w:spacing w:after="120"/>
            </w:pPr>
            <w:r>
              <w:rPr>
                <w:rFonts w:ascii="Inter" w:hAnsi="Inter" w:eastAsia="Inter"/>
                <w:b/>
                <w:color w:val="222222"/>
                <w:sz w:val="32"/>
              </w:rPr>
              <w:t>Talk to someone you choose, about the things you enjoy.</w:t>
            </w:r>
          </w:p>
          <w:p>
            <w:pPr>
              <w:spacing w:after="100"/>
            </w:pPr>
            <w:r>
              <w:rPr>
                <w:rFonts w:ascii="Inter" w:hAnsi="Inter" w:eastAsia="Inter"/>
                <w:sz w:val="18"/>
              </w:rPr>
              <w:t>Find a Companion who shares your interests, speaks your language or simply feels easy to talk to. There is no pressure to continue after a trial. The aim is friendly, informal conversation that feels natural to you.</w:t>
            </w:r>
          </w:p>
          <w:p>
            <w:pPr>
              <w:spacing w:after="40"/>
            </w:pPr>
            <w:r>
              <w:rPr>
                <w:rFonts w:ascii="Inter" w:hAnsi="Inter" w:eastAsia="Inter"/>
                <w:b/>
                <w:color w:val="A94F20"/>
                <w:sz w:val="18"/>
              </w:rPr>
              <w:t>Find someone to talk to</w:t>
            </w:r>
          </w:p>
          <w:p>
            <w:pPr>
              <w:spacing w:after="0"/>
            </w:pPr>
            <w:r>
              <w:rPr>
                <w:rFonts w:ascii="Inter" w:hAnsi="Inter" w:eastAsia="Inter"/>
                <w:i/>
                <w:color w:val="666666"/>
                <w:sz w:val="18"/>
              </w:rPr>
              <w:t>You remain at the centre of the choice, even when a family member or trusted person helps arrange the conversation.</w:t>
            </w:r>
          </w:p>
        </w:tc>
      </w:tr>
    </w:tbl>
    <w:p>
      <w:pPr>
        <w:spacing w:after="20"/>
      </w:pPr>
    </w:p>
    <w:p>
      <w:pPr>
        <w:pStyle w:val="Heading2"/>
        <w:keepNext/>
      </w:pPr>
      <w:r>
        <w:t>5.9 For Companions</w:t>
      </w:r>
    </w:p>
    <w:tbl>
      <w:tblPr>
        <w:tblW w:type="auto" w:w="0"/>
        <w:jc w:val="center"/>
        <w:tblLook w:firstColumn="1" w:firstRow="1" w:lastColumn="0" w:lastRow="0" w:noHBand="0" w:noVBand="1" w:val="04A0"/>
      </w:tblPr>
      <w:tblGrid>
        <w:gridCol w:w="9972"/>
      </w:tblGrid>
      <w:tr>
        <w:trPr>
          <w:cantSplit/>
        </w:trPr>
        <w:tc>
          <w:tcPr>
            <w:tcW w:type="dxa" w:w="9972"/>
            <w:shd w:fill="FFFFFF"/>
            <w:tcBorders>
              <w:top w:val="single" w:sz="8" w:color="DED8D2"/>
              <w:left w:val="single" w:sz="8" w:color="DED8D2"/>
              <w:bottom w:val="single" w:sz="8" w:color="DED8D2"/>
              <w:right w:val="single" w:sz="8" w:color="DED8D2"/>
            </w:tcBorders>
            <w:tcMar>
              <w:top w:w="160" w:type="dxa"/>
              <w:start w:w="180" w:type="dxa"/>
              <w:bottom w:w="160" w:type="dxa"/>
              <w:end w:w="180" w:type="dxa"/>
            </w:tcMar>
          </w:tcPr>
          <w:p>
            <w:r>
              <w:rPr>
                <w:rFonts w:ascii="Inter" w:hAnsi="Inter" w:eastAsia="Inter"/>
                <w:b/>
                <w:color w:val="A94F20"/>
                <w:sz w:val="17"/>
              </w:rPr>
              <w:t>COMPANION SECTION</w:t>
            </w:r>
          </w:p>
          <w:p>
            <w:pPr>
              <w:spacing w:after="120"/>
            </w:pPr>
            <w:r>
              <w:rPr>
                <w:rFonts w:ascii="Inter" w:hAnsi="Inter" w:eastAsia="Inter"/>
                <w:b/>
                <w:color w:val="222222"/>
                <w:sz w:val="32"/>
              </w:rPr>
              <w:t>Earn flexibly through meaningful conversation.</w:t>
            </w:r>
          </w:p>
          <w:p>
            <w:pPr>
              <w:spacing w:after="100"/>
            </w:pPr>
            <w:r>
              <w:rPr>
                <w:rFonts w:ascii="Inter" w:hAnsi="Inter" w:eastAsia="Inter"/>
                <w:sz w:val="18"/>
              </w:rPr>
              <w:t>Create a profile that reflects your interests and personality, choose when you are available, and set your price within Apricoti’s platform rules. The best Companions bring curiosity, consistency, respect and a genuine interest in other people.</w:t>
            </w:r>
          </w:p>
          <w:p>
            <w:pPr>
              <w:spacing w:after="40"/>
            </w:pPr>
            <w:r>
              <w:rPr>
                <w:rFonts w:ascii="Inter" w:hAnsi="Inter" w:eastAsia="Inter"/>
                <w:b/>
                <w:color w:val="A94F20"/>
                <w:sz w:val="18"/>
              </w:rPr>
              <w:t>Become a Companion</w:t>
            </w:r>
          </w:p>
          <w:p>
            <w:pPr>
              <w:spacing w:after="0"/>
            </w:pPr>
            <w:r>
              <w:rPr>
                <w:rFonts w:ascii="Inter" w:hAnsi="Inter" w:eastAsia="Inter"/>
                <w:i/>
                <w:color w:val="666666"/>
                <w:sz w:val="18"/>
              </w:rPr>
              <w:t>Companions provide social conversation. They do not provide care, therapy, counselling, medical advice or emergency support.</w:t>
            </w:r>
          </w:p>
        </w:tc>
      </w:tr>
    </w:tbl>
    <w:p>
      <w:pPr>
        <w:spacing w:after="20"/>
      </w:pPr>
    </w:p>
    <w:p>
      <w:pPr>
        <w:pStyle w:val="Heading2"/>
        <w:keepNext/>
      </w:pPr>
      <w:r>
        <w:t>5.10 Trial conversation</w:t>
      </w:r>
    </w:p>
    <w:tbl>
      <w:tblPr>
        <w:tblW w:type="auto" w:w="0"/>
        <w:jc w:val="center"/>
        <w:tblLook w:firstColumn="1" w:firstRow="1" w:lastColumn="0" w:lastRow="0" w:noHBand="0" w:noVBand="1" w:val="04A0"/>
      </w:tblPr>
      <w:tblGrid>
        <w:gridCol w:w="9972"/>
      </w:tblGrid>
      <w:tr>
        <w:trPr>
          <w:cantSplit/>
        </w:trPr>
        <w:tc>
          <w:tcPr>
            <w:tcW w:type="dxa" w:w="9972"/>
            <w:shd w:fill="FFFFFF"/>
            <w:tcBorders>
              <w:top w:val="single" w:sz="8" w:color="DED8D2"/>
              <w:left w:val="single" w:sz="8" w:color="DED8D2"/>
              <w:bottom w:val="single" w:sz="8" w:color="DED8D2"/>
              <w:right w:val="single" w:sz="8" w:color="DED8D2"/>
            </w:tcBorders>
            <w:tcMar>
              <w:top w:w="160" w:type="dxa"/>
              <w:start w:w="180" w:type="dxa"/>
              <w:bottom w:w="160" w:type="dxa"/>
              <w:end w:w="180" w:type="dxa"/>
            </w:tcMar>
          </w:tcPr>
          <w:p>
            <w:r>
              <w:rPr>
                <w:rFonts w:ascii="Inter" w:hAnsi="Inter" w:eastAsia="Inter"/>
                <w:b/>
                <w:color w:val="A94F20"/>
                <w:sz w:val="17"/>
              </w:rPr>
              <w:t>TRIAL</w:t>
            </w:r>
          </w:p>
          <w:p>
            <w:pPr>
              <w:spacing w:after="120"/>
            </w:pPr>
            <w:r>
              <w:rPr>
                <w:rFonts w:ascii="Inter" w:hAnsi="Inter" w:eastAsia="Inter"/>
                <w:b/>
                <w:color w:val="222222"/>
                <w:sz w:val="32"/>
              </w:rPr>
              <w:t>Start with one conversation.</w:t>
            </w:r>
          </w:p>
          <w:p>
            <w:pPr>
              <w:spacing w:after="100"/>
            </w:pPr>
            <w:r>
              <w:rPr>
                <w:rFonts w:ascii="Inter" w:hAnsi="Inter" w:eastAsia="Inter"/>
                <w:sz w:val="18"/>
              </w:rPr>
              <w:t>Each Member can book one paid trial with each Companion. The length and price are shown before payment, so both people can see whether the match feels comfortable before arranging anything regular.</w:t>
            </w:r>
          </w:p>
          <w:p>
            <w:pPr>
              <w:spacing w:after="40"/>
            </w:pPr>
            <w:r>
              <w:rPr>
                <w:rFonts w:ascii="Inter" w:hAnsi="Inter" w:eastAsia="Inter"/>
                <w:b/>
                <w:color w:val="A94F20"/>
                <w:sz w:val="18"/>
              </w:rPr>
              <w:t>Find a Companion</w:t>
            </w:r>
          </w:p>
          <w:p>
            <w:pPr>
              <w:spacing w:after="0"/>
            </w:pPr>
            <w:r>
              <w:rPr>
                <w:rFonts w:ascii="Inter" w:hAnsi="Inter" w:eastAsia="Inter"/>
                <w:i/>
                <w:color w:val="666666"/>
                <w:sz w:val="18"/>
              </w:rPr>
              <w:t>Companion prices vary. Any Apricoti service fee should be shown clearly before payment. Avoid explaining commission mechanics in the main marketing section.</w:t>
            </w:r>
          </w:p>
        </w:tc>
      </w:tr>
    </w:tbl>
    <w:p>
      <w:pPr>
        <w:spacing w:after="20"/>
      </w:pPr>
    </w:p>
    <w:p>
      <w:pPr>
        <w:pStyle w:val="Heading2"/>
        <w:keepNext/>
      </w:pPr>
      <w:r>
        <w:t>5.11 Platform fee and pricing copy</w:t>
      </w:r>
    </w:p>
    <w:p>
      <w:pPr>
        <w:spacing w:after="100"/>
      </w:pPr>
      <w:r>
        <w:rPr>
          <w:i w:val="0"/>
        </w:rPr>
        <w:t>Recommended customer-facing wording</w:t>
      </w:r>
    </w:p>
    <w:p>
      <w:pPr>
        <w:spacing w:after="100"/>
      </w:pPr>
      <w:r>
        <w:rPr>
          <w:i w:val="0"/>
        </w:rPr>
        <w:t>Companions set their own prices within Apricoti’s platform rules. Any service fee is shown clearly before you pay.</w:t>
      </w:r>
    </w:p>
    <w:p>
      <w:pPr>
        <w:spacing w:after="100"/>
      </w:pPr>
      <w:r>
        <w:rPr>
          <w:i w:val="0"/>
        </w:rPr>
        <w:t>Recommended Companion-facing wording</w:t>
      </w:r>
    </w:p>
    <w:p>
      <w:pPr>
        <w:spacing w:after="100"/>
      </w:pPr>
      <w:r>
        <w:rPr>
          <w:i w:val="0"/>
        </w:rPr>
        <w:t>You choose your availability and set your price within the platform’s permitted range. Apricoti’s commission and payment-processing treatment are shown clearly before you publish an offer.</w:t>
      </w:r>
    </w:p>
    <w:tbl>
      <w:tblPr>
        <w:tblW w:type="auto" w:w="0"/>
        <w:jc w:val="center"/>
        <w:tblLayout w:type="autofit"/>
        <w:tblLook w:firstColumn="1" w:firstRow="1" w:lastColumn="0" w:lastRow="0" w:noHBand="0" w:noVBand="1" w:val="04A0"/>
      </w:tblPr>
      <w:tblGrid>
        <w:gridCol w:w="9972"/>
      </w:tblGrid>
      <w:tr>
        <w:trPr>
          <w:cantSplit/>
        </w:trPr>
        <w:tc>
          <w:tcPr>
            <w:tcW w:type="dxa" w:w="9972"/>
            <w:shd w:fill="FFF5CC"/>
            <w:tcBorders>
              <w:top w:val="single" w:sz="7" w:color="DED8D2"/>
              <w:left w:val="single" w:sz="7" w:color="DED8D2"/>
              <w:bottom w:val="single" w:sz="7" w:color="DED8D2"/>
              <w:right w:val="single" w:sz="7" w:color="DED8D2"/>
            </w:tcBorders>
            <w:tcMar>
              <w:top w:w="140" w:type="dxa"/>
              <w:start w:w="180" w:type="dxa"/>
              <w:bottom w:w="140" w:type="dxa"/>
              <w:end w:w="180" w:type="dxa"/>
            </w:tcMar>
          </w:tcPr>
          <w:p>
            <w:pPr>
              <w:spacing w:after="80"/>
            </w:pPr>
            <w:r>
              <w:rPr>
                <w:rFonts w:ascii="Inter" w:hAnsi="Inter" w:eastAsia="Inter"/>
                <w:b/>
                <w:color w:val="222222"/>
                <w:sz w:val="18"/>
              </w:rPr>
              <w:t>Avoid</w:t>
            </w:r>
          </w:p>
          <w:p>
            <w:pPr>
              <w:spacing w:after="0"/>
            </w:pPr>
            <w:r>
              <w:rPr>
                <w:rFonts w:ascii="Inter" w:hAnsi="Inter" w:eastAsia="Inter"/>
                <w:sz w:val="18"/>
              </w:rPr>
              <w:t>“We take a small administrative fee” is vague and may create distrust if the amount is not visible. Publish the exact fee treatment at checkout and in the pricing terms.</w:t>
            </w:r>
          </w:p>
        </w:tc>
      </w:tr>
    </w:tbl>
    <w:p>
      <w:pPr>
        <w:spacing w:after="20"/>
      </w:pPr>
    </w:p>
    <w:p>
      <w:pPr>
        <w:pStyle w:val="Heading2"/>
        <w:keepNext/>
      </w:pPr>
      <w:r>
        <w:t>5.12 Safety and boundaries</w:t>
      </w:r>
    </w:p>
    <w:tbl>
      <w:tblPr>
        <w:tblW w:type="auto" w:w="0"/>
        <w:jc w:val="center"/>
        <w:tblLook w:firstColumn="1" w:firstRow="1" w:lastColumn="0" w:lastRow="0" w:noHBand="0" w:noVBand="1" w:val="04A0"/>
      </w:tblPr>
      <w:tblGrid>
        <w:gridCol w:w="9972"/>
      </w:tblGrid>
      <w:tr>
        <w:trPr>
          <w:cantSplit/>
        </w:trPr>
        <w:tc>
          <w:tcPr>
            <w:tcW w:type="dxa" w:w="9972"/>
            <w:shd w:fill="FFFFFF"/>
            <w:tcBorders>
              <w:top w:val="single" w:sz="8" w:color="DED8D2"/>
              <w:left w:val="single" w:sz="8" w:color="DED8D2"/>
              <w:bottom w:val="single" w:sz="8" w:color="DED8D2"/>
              <w:right w:val="single" w:sz="8" w:color="DED8D2"/>
            </w:tcBorders>
            <w:tcMar>
              <w:top w:w="160" w:type="dxa"/>
              <w:start w:w="180" w:type="dxa"/>
              <w:bottom w:w="160" w:type="dxa"/>
              <w:end w:w="180" w:type="dxa"/>
            </w:tcMar>
          </w:tcPr>
          <w:p>
            <w:r>
              <w:rPr>
                <w:rFonts w:ascii="Inter" w:hAnsi="Inter" w:eastAsia="Inter"/>
                <w:b/>
                <w:color w:val="A94F20"/>
                <w:sz w:val="17"/>
              </w:rPr>
              <w:t>HOMEPAGE SAFETY COPY</w:t>
            </w:r>
          </w:p>
          <w:p>
            <w:pPr>
              <w:spacing w:after="120"/>
            </w:pPr>
            <w:r>
              <w:rPr>
                <w:rFonts w:ascii="Inter" w:hAnsi="Inter" w:eastAsia="Inter"/>
                <w:b/>
                <w:color w:val="222222"/>
                <w:sz w:val="32"/>
              </w:rPr>
              <w:t>Clear roles. Clear boundaries. A simple way to raise a concern.</w:t>
            </w:r>
          </w:p>
          <w:p>
            <w:pPr>
              <w:spacing w:after="100"/>
            </w:pPr>
            <w:r>
              <w:rPr>
                <w:rFonts w:ascii="Inter" w:hAnsi="Inter" w:eastAsia="Inter"/>
                <w:sz w:val="18"/>
              </w:rPr>
              <w:t>Apricoti is designed for social conversation. Booking, payment and call access remain connected to the platform, and either side can report a problem with a conversation. Personal contact details do not need to be shared before booking.</w:t>
            </w:r>
          </w:p>
          <w:p>
            <w:pPr>
              <w:spacing w:after="40"/>
            </w:pPr>
            <w:r>
              <w:rPr>
                <w:rFonts w:ascii="Inter" w:hAnsi="Inter" w:eastAsia="Inter"/>
                <w:b/>
                <w:color w:val="A94F20"/>
                <w:sz w:val="18"/>
              </w:rPr>
              <w:t>Learn about safety</w:t>
            </w:r>
          </w:p>
          <w:p>
            <w:pPr>
              <w:spacing w:after="0"/>
            </w:pPr>
            <w:r>
              <w:rPr>
                <w:rFonts w:ascii="Inter" w:hAnsi="Inter" w:eastAsia="Inter"/>
                <w:i/>
                <w:color w:val="666666"/>
                <w:sz w:val="18"/>
              </w:rPr>
              <w:t>Publish only after production verification of the final call, payment, privacy and reporting flows.</w:t>
            </w:r>
          </w:p>
        </w:tc>
      </w:tr>
    </w:tbl>
    <w:p>
      <w:pPr>
        <w:spacing w:after="20"/>
      </w:pPr>
    </w:p>
    <w:p>
      <w:pPr>
        <w:pStyle w:val="Heading3"/>
        <w:keepNext/>
        <w:spacing w:after="100"/>
      </w:pPr>
      <w:r>
        <w:rPr>
          <w:i w:val="0"/>
        </w:rPr>
        <w:t>Longer safety-page copy</w:t>
      </w:r>
    </w:p>
    <w:p>
      <w:pPr>
        <w:spacing w:after="100"/>
      </w:pPr>
      <w:r>
        <w:rPr>
          <w:i w:val="0"/>
        </w:rPr>
        <w:t>Apricoti helps people arrange social conversations; it does not provide healthcare, therapy, counselling, personal care or emergency support. Members and Companions should keep conversations respectful and within the platform’s boundaries. If a conversation does not take place or someone has a concern, it can be reported through the booking so Apricoti can review what happened. Private complaint details are not automatically shared with the other person.</w:t>
      </w:r>
    </w:p>
    <w:p>
      <w:pPr>
        <w:pStyle w:val="Heading3"/>
        <w:keepNext/>
        <w:spacing w:after="100"/>
      </w:pPr>
      <w:r>
        <w:rPr>
          <w:i w:val="0"/>
        </w:rPr>
        <w:t>Current or near-launch safeguards to verify before publishing</w:t>
      </w:r>
    </w:p>
    <w:p>
      <w:pPr>
        <w:pStyle w:val="ListBullet"/>
        <w:spacing w:after="40"/>
      </w:pPr>
      <w:r>
        <w:t>Booking-specific in-app call access.</w:t>
      </w:r>
    </w:p>
    <w:p>
      <w:pPr>
        <w:pStyle w:val="ListBullet"/>
        <w:spacing w:after="40"/>
      </w:pPr>
      <w:r>
        <w:t>Platform payment and connected Companion accounts.</w:t>
      </w:r>
    </w:p>
    <w:p>
      <w:pPr>
        <w:pStyle w:val="ListBullet"/>
        <w:spacing w:after="40"/>
      </w:pPr>
      <w:r>
        <w:t>Issue reporting and held-payment review process.</w:t>
      </w:r>
    </w:p>
    <w:p>
      <w:pPr>
        <w:pStyle w:val="ListBullet"/>
        <w:spacing w:after="40"/>
      </w:pPr>
      <w:r>
        <w:t>Role-based access for Coordinators, Members and Companions.</w:t>
      </w:r>
    </w:p>
    <w:p>
      <w:pPr>
        <w:pStyle w:val="ListBullet"/>
        <w:spacing w:after="40"/>
      </w:pPr>
      <w:r>
        <w:t>Private contact information not required before booking.</w:t>
      </w:r>
    </w:p>
    <w:p>
      <w:pPr>
        <w:pStyle w:val="Heading3"/>
        <w:keepNext/>
        <w:spacing w:after="100"/>
      </w:pPr>
      <w:r>
        <w:rPr>
          <w:i w:val="0"/>
        </w:rPr>
        <w:t>Do not claim until implemented and operationally supported</w:t>
      </w:r>
    </w:p>
    <w:p>
      <w:pPr>
        <w:pStyle w:val="ListBullet"/>
        <w:spacing w:after="40"/>
      </w:pPr>
      <w:r>
        <w:t>Background checks or identity verification.</w:t>
      </w:r>
    </w:p>
    <w:p>
      <w:pPr>
        <w:pStyle w:val="ListBullet"/>
        <w:spacing w:after="40"/>
      </w:pPr>
      <w:r>
        <w:t>24/7 support or emergency response.</w:t>
      </w:r>
    </w:p>
    <w:p>
      <w:pPr>
        <w:pStyle w:val="ListBullet"/>
        <w:spacing w:after="40"/>
      </w:pPr>
      <w:r>
        <w:t>Safeguarding partnerships or clinical oversight.</w:t>
      </w:r>
    </w:p>
    <w:p>
      <w:pPr>
        <w:pStyle w:val="ListBullet"/>
        <w:spacing w:after="40"/>
      </w:pPr>
      <w:r>
        <w:t>Guaranteed refund outcomes.</w:t>
      </w:r>
    </w:p>
    <w:p>
      <w:pPr>
        <w:pStyle w:val="ListBullet"/>
        <w:spacing w:after="40"/>
      </w:pPr>
      <w:r>
        <w:t>Guaranteed reduction in loneliness or improved health.</w:t>
      </w:r>
    </w:p>
    <w:p>
      <w:pPr>
        <w:pStyle w:val="Heading2"/>
        <w:keepNext/>
      </w:pPr>
      <w:r>
        <w:t>5.13 Stories and testimonials</w:t>
      </w:r>
    </w:p>
    <w:p>
      <w:pPr>
        <w:pStyle w:val="Lead"/>
        <w:spacing w:after="100"/>
      </w:pPr>
      <w:r>
        <w:rPr>
          <w:i w:val="0"/>
        </w:rPr>
        <w:t>Do not invent testimonials. Use clearly marked placeholders until real consented stories are available.</w:t>
      </w:r>
    </w:p>
    <w:p>
      <w:pPr>
        <w:pStyle w:val="Heading3"/>
        <w:keepNext/>
        <w:spacing w:after="100"/>
      </w:pPr>
      <w:r>
        <w:rPr>
          <w:i w:val="0"/>
        </w:rPr>
        <w:t>Family story</w:t>
      </w:r>
    </w:p>
    <w:p>
      <w:pPr>
        <w:spacing w:after="100"/>
      </w:pPr>
      <w:r>
        <w:rPr>
          <w:i w:val="0"/>
        </w:rPr>
        <w:t>A daughter or son explains why they wanted another regular conversation in their parent’s week and how they involved the parent in choosing a Companion.</w:t>
      </w:r>
    </w:p>
    <w:p>
      <w:pPr>
        <w:pStyle w:val="Heading3"/>
        <w:keepNext/>
        <w:spacing w:after="100"/>
      </w:pPr>
      <w:r>
        <w:rPr>
          <w:i w:val="0"/>
        </w:rPr>
        <w:t>Member story</w:t>
      </w:r>
    </w:p>
    <w:p>
      <w:pPr>
        <w:spacing w:after="100"/>
      </w:pPr>
      <w:r>
        <w:rPr>
          <w:i w:val="0"/>
        </w:rPr>
        <w:t>A Member describes finding someone who shares an interest and enjoying the familiarity of a regular conversation.</w:t>
      </w:r>
    </w:p>
    <w:p>
      <w:pPr>
        <w:pStyle w:val="Heading3"/>
        <w:keepNext/>
        <w:spacing w:after="100"/>
      </w:pPr>
      <w:r>
        <w:rPr>
          <w:i w:val="0"/>
        </w:rPr>
        <w:t>Companion story</w:t>
      </w:r>
    </w:p>
    <w:p>
      <w:pPr>
        <w:spacing w:after="100"/>
      </w:pPr>
      <w:r>
        <w:rPr>
          <w:i w:val="0"/>
        </w:rPr>
        <w:t>A Companion explains the responsibility, flexibility and satisfaction of building a respectful ongoing connection.</w:t>
      </w:r>
    </w:p>
    <w:p>
      <w:pPr>
        <w:pStyle w:val="SmallNote"/>
        <w:spacing w:after="100"/>
      </w:pPr>
      <w:r>
        <w:rPr>
          <w:i w:val="0"/>
        </w:rPr>
        <w:t>Suggested section heading: “What a regular conversation can become”</w:t>
      </w:r>
    </w:p>
    <w:p>
      <w:pPr>
        <w:pStyle w:val="Heading2"/>
        <w:keepNext/>
      </w:pPr>
      <w:r>
        <w:t>5.14 Final CTA</w:t>
      </w:r>
    </w:p>
    <w:tbl>
      <w:tblPr>
        <w:tblW w:type="auto" w:w="0"/>
        <w:jc w:val="center"/>
        <w:tblLook w:firstColumn="1" w:firstRow="1" w:lastColumn="0" w:lastRow="0" w:noHBand="0" w:noVBand="1" w:val="04A0"/>
      </w:tblPr>
      <w:tblGrid>
        <w:gridCol w:w="9972"/>
      </w:tblGrid>
      <w:tr>
        <w:trPr>
          <w:cantSplit/>
        </w:trPr>
        <w:tc>
          <w:tcPr>
            <w:tcW w:type="dxa" w:w="9972"/>
            <w:shd w:fill="FFFFFF"/>
            <w:tcBorders>
              <w:top w:val="single" w:sz="8" w:color="DED8D2"/>
              <w:left w:val="single" w:sz="8" w:color="DED8D2"/>
              <w:bottom w:val="single" w:sz="8" w:color="DED8D2"/>
              <w:right w:val="single" w:sz="8" w:color="DED8D2"/>
            </w:tcBorders>
            <w:tcMar>
              <w:top w:w="160" w:type="dxa"/>
              <w:start w:w="180" w:type="dxa"/>
              <w:bottom w:w="160" w:type="dxa"/>
              <w:end w:w="180" w:type="dxa"/>
            </w:tcMar>
          </w:tcPr>
          <w:p>
            <w:r>
              <w:rPr>
                <w:rFonts w:ascii="Inter" w:hAnsi="Inter" w:eastAsia="Inter"/>
                <w:b/>
                <w:color w:val="A94F20"/>
                <w:sz w:val="17"/>
              </w:rPr>
              <w:t>CLOSING SECTION</w:t>
            </w:r>
          </w:p>
          <w:p>
            <w:pPr>
              <w:spacing w:after="120"/>
            </w:pPr>
            <w:r>
              <w:rPr>
                <w:rFonts w:ascii="Inter" w:hAnsi="Inter" w:eastAsia="Inter"/>
                <w:b/>
                <w:color w:val="222222"/>
                <w:sz w:val="32"/>
              </w:rPr>
              <w:t>Start with one conversation.</w:t>
            </w:r>
          </w:p>
          <w:p>
            <w:pPr>
              <w:spacing w:after="100"/>
            </w:pPr>
            <w:r>
              <w:rPr>
                <w:rFonts w:ascii="Inter" w:hAnsi="Inter" w:eastAsia="Inter"/>
                <w:sz w:val="18"/>
              </w:rPr>
              <w:t>Explore Companions, choose who feels right, and arrange a friendly video conversation at a time that works.</w:t>
            </w:r>
          </w:p>
          <w:p>
            <w:pPr>
              <w:spacing w:after="40"/>
            </w:pPr>
            <w:r>
              <w:rPr>
                <w:rFonts w:ascii="Inter" w:hAnsi="Inter" w:eastAsia="Inter"/>
                <w:b/>
                <w:color w:val="A94F20"/>
                <w:sz w:val="18"/>
              </w:rPr>
              <w:t>Find a Companion     |     Become a Companion</w:t>
            </w:r>
          </w:p>
          <w:p>
            <w:pPr>
              <w:spacing w:after="0"/>
            </w:pPr>
            <w:r>
              <w:rPr>
                <w:rFonts w:ascii="Inter" w:hAnsi="Inter" w:eastAsia="Inter"/>
                <w:i/>
                <w:color w:val="666666"/>
                <w:sz w:val="18"/>
              </w:rPr>
              <w:t>No pressure to continue. The first conversation is simply a chance to see how it feels.</w:t>
            </w:r>
          </w:p>
        </w:tc>
      </w:tr>
    </w:tbl>
    <w:p>
      <w:pPr>
        <w:spacing w:after="20"/>
      </w:pPr>
    </w:p>
    <w:p>
      <w:pPr>
        <w:pStyle w:val="Heading2"/>
        <w:keepNext/>
      </w:pPr>
      <w:r>
        <w:t>5.15 Footer</w:t>
      </w:r>
    </w:p>
    <w:p>
      <w:pPr>
        <w:spacing w:after="100"/>
      </w:pPr>
      <w:r>
        <w:rPr>
          <w:i w:val="0"/>
        </w:rPr>
        <w:t>Suggested groups</w:t>
      </w:r>
    </w:p>
    <w:p>
      <w:pPr>
        <w:pStyle w:val="ListBullet"/>
        <w:spacing w:after="40"/>
      </w:pPr>
      <w:r>
        <w:t>Explore: Find a Companion, How it works, Trial conversations</w:t>
      </w:r>
    </w:p>
    <w:p>
      <w:pPr>
        <w:pStyle w:val="ListBullet"/>
        <w:spacing w:after="40"/>
      </w:pPr>
      <w:r>
        <w:t>For people: For Members, For families, Become a Companion</w:t>
      </w:r>
    </w:p>
    <w:p>
      <w:pPr>
        <w:pStyle w:val="ListBullet"/>
        <w:spacing w:after="40"/>
      </w:pPr>
      <w:r>
        <w:t>Trust: Safety, Help, Contact, Report a concern</w:t>
      </w:r>
    </w:p>
    <w:p>
      <w:pPr>
        <w:pStyle w:val="ListBullet"/>
        <w:spacing w:after="40"/>
      </w:pPr>
      <w:r>
        <w:t>Legal: Privacy, Terms, Cancellation policy, Service fees</w:t>
      </w:r>
    </w:p>
    <w:p>
      <w:pPr>
        <w:pStyle w:val="ListBullet"/>
        <w:spacing w:after="40"/>
      </w:pPr>
      <w:r>
        <w:t>Account: Sign in, Create account</w:t>
      </w:r>
    </w:p>
    <w:p>
      <w:pPr>
        <w:spacing w:after="100"/>
      </w:pPr>
      <w:r>
        <w:rPr>
          <w:i w:val="0"/>
        </w:rPr>
        <w:t>Footer boundary statement</w:t>
      </w:r>
    </w:p>
    <w:p>
      <w:pPr>
        <w:spacing w:after="100"/>
      </w:pPr>
      <w:r>
        <w:rPr>
          <w:i w:val="0"/>
        </w:rPr>
        <w:t>Apricoti provides social companionship through scheduled conversations. It is not a healthcare, counselling, care or emergency service.</w:t>
      </w:r>
    </w:p>
    <w:p>
      <w:pPr>
        <w:pStyle w:val="Heading1"/>
        <w:keepNext/>
      </w:pPr>
      <w:r>
        <w:t>6. Alternative hero directions</w:t>
      </w:r>
    </w:p>
    <w:p>
      <w:pPr>
        <w:pStyle w:val="Heading2"/>
        <w:keepNext/>
      </w:pPr>
      <w:r>
        <w:t>A. Warm and emotional</w:t>
      </w:r>
    </w:p>
    <w:tbl>
      <w:tblPr>
        <w:tblW w:type="auto" w:w="0"/>
        <w:jc w:val="center"/>
        <w:tblLook w:firstColumn="1" w:firstRow="1" w:lastColumn="0" w:lastRow="0" w:noHBand="0" w:noVBand="1" w:val="04A0"/>
      </w:tblPr>
      <w:tblGrid>
        <w:gridCol w:w="9972"/>
      </w:tblGrid>
      <w:tr>
        <w:trPr>
          <w:cantSplit/>
        </w:trPr>
        <w:tc>
          <w:tcPr>
            <w:tcW w:type="dxa" w:w="9972"/>
            <w:shd w:fill="FFFFFF"/>
            <w:tcBorders>
              <w:top w:val="single" w:sz="8" w:color="DED8D2"/>
              <w:left w:val="single" w:sz="8" w:color="DED8D2"/>
              <w:bottom w:val="single" w:sz="8" w:color="DED8D2"/>
              <w:right w:val="single" w:sz="8" w:color="DED8D2"/>
            </w:tcBorders>
            <w:tcMar>
              <w:top w:w="160" w:type="dxa"/>
              <w:start w:w="180" w:type="dxa"/>
              <w:bottom w:w="160" w:type="dxa"/>
              <w:end w:w="180" w:type="dxa"/>
            </w:tcMar>
          </w:tcPr>
          <w:p>
            <w:r>
              <w:rPr>
                <w:rFonts w:ascii="Inter" w:hAnsi="Inter" w:eastAsia="Inter"/>
                <w:b/>
                <w:color w:val="A94F20"/>
                <w:sz w:val="17"/>
              </w:rPr>
              <w:t>HERO A</w:t>
            </w:r>
          </w:p>
          <w:p>
            <w:pPr>
              <w:spacing w:after="120"/>
            </w:pPr>
            <w:r>
              <w:rPr>
                <w:rFonts w:ascii="Inter" w:hAnsi="Inter" w:eastAsia="Inter"/>
                <w:b/>
                <w:color w:val="222222"/>
                <w:sz w:val="32"/>
              </w:rPr>
              <w:t>Something to look forward to.</w:t>
            </w:r>
          </w:p>
          <w:p>
            <w:pPr>
              <w:spacing w:after="100"/>
            </w:pPr>
            <w:r>
              <w:rPr>
                <w:rFonts w:ascii="Inter" w:hAnsi="Inter" w:eastAsia="Inter"/>
                <w:sz w:val="18"/>
              </w:rPr>
              <w:t>Friendly, regular video conversations with a Companion chosen around shared interests and personality.</w:t>
            </w:r>
          </w:p>
          <w:p>
            <w:pPr>
              <w:spacing w:after="40"/>
            </w:pPr>
            <w:r>
              <w:rPr>
                <w:rFonts w:ascii="Inter" w:hAnsi="Inter" w:eastAsia="Inter"/>
                <w:b/>
                <w:color w:val="A94F20"/>
                <w:sz w:val="18"/>
              </w:rPr>
              <w:t>Find a Companion</w:t>
            </w:r>
          </w:p>
          <w:p>
            <w:pPr>
              <w:spacing w:after="0"/>
            </w:pPr>
            <w:r>
              <w:rPr>
                <w:rFonts w:ascii="Inter" w:hAnsi="Inter" w:eastAsia="Inter"/>
                <w:i/>
                <w:color w:val="666666"/>
                <w:sz w:val="18"/>
              </w:rPr>
              <w:t>Best for a warm, photography-led homepage. Slightly less explicit about the family-arranged use case.</w:t>
            </w:r>
          </w:p>
        </w:tc>
      </w:tr>
    </w:tbl>
    <w:p>
      <w:pPr>
        <w:spacing w:after="20"/>
      </w:pPr>
    </w:p>
    <w:p>
      <w:pPr>
        <w:pStyle w:val="Heading2"/>
        <w:keepNext/>
      </w:pPr>
      <w:r>
        <w:t>B. Clear and practical</w:t>
      </w:r>
    </w:p>
    <w:tbl>
      <w:tblPr>
        <w:tblW w:type="auto" w:w="0"/>
        <w:jc w:val="center"/>
        <w:tblLook w:firstColumn="1" w:firstRow="1" w:lastColumn="0" w:lastRow="0" w:noHBand="0" w:noVBand="1" w:val="04A0"/>
      </w:tblPr>
      <w:tblGrid>
        <w:gridCol w:w="9972"/>
      </w:tblGrid>
      <w:tr>
        <w:trPr>
          <w:cantSplit/>
        </w:trPr>
        <w:tc>
          <w:tcPr>
            <w:tcW w:type="dxa" w:w="9972"/>
            <w:shd w:fill="FFFFFF"/>
            <w:tcBorders>
              <w:top w:val="single" w:sz="8" w:color="DED8D2"/>
              <w:left w:val="single" w:sz="8" w:color="DED8D2"/>
              <w:bottom w:val="single" w:sz="8" w:color="DED8D2"/>
              <w:right w:val="single" w:sz="8" w:color="DED8D2"/>
            </w:tcBorders>
            <w:tcMar>
              <w:top w:w="160" w:type="dxa"/>
              <w:start w:w="180" w:type="dxa"/>
              <w:bottom w:w="160" w:type="dxa"/>
              <w:end w:w="180" w:type="dxa"/>
            </w:tcMar>
          </w:tcPr>
          <w:p>
            <w:r>
              <w:rPr>
                <w:rFonts w:ascii="Inter" w:hAnsi="Inter" w:eastAsia="Inter"/>
                <w:b/>
                <w:color w:val="A94F20"/>
                <w:sz w:val="17"/>
              </w:rPr>
              <w:t>HERO B</w:t>
            </w:r>
          </w:p>
          <w:p>
            <w:pPr>
              <w:spacing w:after="120"/>
            </w:pPr>
            <w:r>
              <w:rPr>
                <w:rFonts w:ascii="Inter" w:hAnsi="Inter" w:eastAsia="Inter"/>
                <w:b/>
                <w:color w:val="222222"/>
                <w:sz w:val="32"/>
              </w:rPr>
              <w:t>Regular conversation. Genuine connection.</w:t>
            </w:r>
          </w:p>
          <w:p>
            <w:pPr>
              <w:spacing w:after="100"/>
            </w:pPr>
            <w:r>
              <w:rPr>
                <w:rFonts w:ascii="Inter" w:hAnsi="Inter" w:eastAsia="Inter"/>
                <w:sz w:val="18"/>
              </w:rPr>
              <w:t>Apricoti helps you arrange friendly video conversations for someone you care about, with a Companion they choose.</w:t>
            </w:r>
          </w:p>
          <w:p>
            <w:pPr>
              <w:spacing w:after="40"/>
            </w:pPr>
            <w:r>
              <w:rPr>
                <w:rFonts w:ascii="Inter" w:hAnsi="Inter" w:eastAsia="Inter"/>
                <w:b/>
                <w:color w:val="A94F20"/>
                <w:sz w:val="18"/>
              </w:rPr>
              <w:t>Find a Companion</w:t>
            </w:r>
          </w:p>
          <w:p>
            <w:pPr>
              <w:spacing w:after="0"/>
            </w:pPr>
            <w:r>
              <w:rPr>
                <w:rFonts w:ascii="Inter" w:hAnsi="Inter" w:eastAsia="Inter"/>
                <w:i/>
                <w:color w:val="666666"/>
                <w:sz w:val="18"/>
              </w:rPr>
              <w:t>Recommended. It explains the value and primary customer journey without sounding clinical.</w:t>
            </w:r>
          </w:p>
        </w:tc>
      </w:tr>
    </w:tbl>
    <w:p>
      <w:pPr>
        <w:spacing w:after="20"/>
      </w:pPr>
    </w:p>
    <w:p>
      <w:pPr>
        <w:pStyle w:val="Heading2"/>
        <w:keepNext/>
      </w:pPr>
      <w:r>
        <w:t>C. Premium and modern</w:t>
      </w:r>
    </w:p>
    <w:tbl>
      <w:tblPr>
        <w:tblW w:type="auto" w:w="0"/>
        <w:jc w:val="center"/>
        <w:tblLook w:firstColumn="1" w:firstRow="1" w:lastColumn="0" w:lastRow="0" w:noHBand="0" w:noVBand="1" w:val="04A0"/>
      </w:tblPr>
      <w:tblGrid>
        <w:gridCol w:w="9972"/>
      </w:tblGrid>
      <w:tr>
        <w:trPr>
          <w:cantSplit/>
        </w:trPr>
        <w:tc>
          <w:tcPr>
            <w:tcW w:type="dxa" w:w="9972"/>
            <w:shd w:fill="FFFFFF"/>
            <w:tcBorders>
              <w:top w:val="single" w:sz="8" w:color="DED8D2"/>
              <w:left w:val="single" w:sz="8" w:color="DED8D2"/>
              <w:bottom w:val="single" w:sz="8" w:color="DED8D2"/>
              <w:right w:val="single" w:sz="8" w:color="DED8D2"/>
            </w:tcBorders>
            <w:tcMar>
              <w:top w:w="160" w:type="dxa"/>
              <w:start w:w="180" w:type="dxa"/>
              <w:bottom w:w="160" w:type="dxa"/>
              <w:end w:w="180" w:type="dxa"/>
            </w:tcMar>
          </w:tcPr>
          <w:p>
            <w:r>
              <w:rPr>
                <w:rFonts w:ascii="Inter" w:hAnsi="Inter" w:eastAsia="Inter"/>
                <w:b/>
                <w:color w:val="A94F20"/>
                <w:sz w:val="17"/>
              </w:rPr>
              <w:t>HERO C</w:t>
            </w:r>
          </w:p>
          <w:p>
            <w:pPr>
              <w:spacing w:after="120"/>
            </w:pPr>
            <w:r>
              <w:rPr>
                <w:rFonts w:ascii="Inter" w:hAnsi="Inter" w:eastAsia="Inter"/>
                <w:b/>
                <w:color w:val="222222"/>
                <w:sz w:val="32"/>
              </w:rPr>
              <w:t>A more personal way to stay connected.</w:t>
            </w:r>
          </w:p>
          <w:p>
            <w:pPr>
              <w:spacing w:after="100"/>
            </w:pPr>
            <w:r>
              <w:rPr>
                <w:rFonts w:ascii="Inter" w:hAnsi="Inter" w:eastAsia="Inter"/>
                <w:sz w:val="18"/>
              </w:rPr>
              <w:t>Choose a Companion for thoughtful, scheduled video conversations built around interests, availability and continuity.</w:t>
            </w:r>
          </w:p>
          <w:p>
            <w:pPr>
              <w:spacing w:after="40"/>
            </w:pPr>
            <w:r>
              <w:rPr>
                <w:rFonts w:ascii="Inter" w:hAnsi="Inter" w:eastAsia="Inter"/>
                <w:b/>
                <w:color w:val="A94F20"/>
                <w:sz w:val="18"/>
              </w:rPr>
              <w:t>Explore Companions</w:t>
            </w:r>
          </w:p>
          <w:p>
            <w:pPr>
              <w:spacing w:after="0"/>
            </w:pPr>
            <w:r>
              <w:rPr>
                <w:rFonts w:ascii="Inter" w:hAnsi="Inter" w:eastAsia="Inter"/>
                <w:i/>
                <w:color w:val="666666"/>
                <w:sz w:val="18"/>
              </w:rPr>
              <w:t>Best if the visual identity becomes more editorial and premium. It is less direct about loneliness and family coordination.</w:t>
            </w:r>
          </w:p>
        </w:tc>
      </w:tr>
    </w:tbl>
    <w:p>
      <w:pPr>
        <w:spacing w:after="20"/>
      </w:pPr>
    </w:p>
    <w:p>
      <w:pPr>
        <w:pStyle w:val="Heading2"/>
        <w:keepNext/>
      </w:pPr>
      <w:r>
        <w:t>High-value copy variants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blHeader w:val="true"/>
          <w:tblHeader w:val="true"/>
          <w:tblHeader w:val="true"/>
          <w:cantSplit/>
        </w:trPr>
        <w:tc>
          <w:tcPr>
            <w:tcW w:type="dxa" w:w="2493"/>
            <w:shd w:fill="FFF2E9"/>
          </w:tcPr>
          <w:p>
            <w:r>
              <w:rPr>
                <w:rFonts w:ascii="Inter" w:hAnsi="Inter" w:eastAsia="Inter"/>
                <w:sz w:val="18"/>
              </w:rPr>
              <w:t>Element</w:t>
            </w:r>
          </w:p>
        </w:tc>
        <w:tc>
          <w:tcPr>
            <w:tcW w:type="dxa" w:w="2493"/>
            <w:shd w:fill="FFF2E9"/>
          </w:tcPr>
          <w:p>
            <w:r>
              <w:rPr>
                <w:rFonts w:ascii="Inter" w:hAnsi="Inter" w:eastAsia="Inter"/>
                <w:sz w:val="18"/>
              </w:rPr>
              <w:t>Option 1</w:t>
            </w:r>
          </w:p>
        </w:tc>
        <w:tc>
          <w:tcPr>
            <w:tcW w:type="dxa" w:w="2493"/>
            <w:shd w:fill="FFF2E9"/>
          </w:tcPr>
          <w:p>
            <w:r>
              <w:rPr>
                <w:rFonts w:ascii="Inter" w:hAnsi="Inter" w:eastAsia="Inter"/>
                <w:sz w:val="18"/>
              </w:rPr>
              <w:t>Option 2</w:t>
            </w:r>
          </w:p>
        </w:tc>
        <w:tc>
          <w:tcPr>
            <w:tcW w:type="dxa" w:w="2493"/>
            <w:shd w:fill="FFF2E9"/>
          </w:tcPr>
          <w:p>
            <w:r>
              <w:rPr>
                <w:rFonts w:ascii="Inter" w:hAnsi="Inter" w:eastAsia="Inter"/>
                <w:sz w:val="18"/>
              </w:rPr>
              <w:t>Recommended</w:t>
            </w:r>
          </w:p>
        </w:tc>
      </w:tr>
      <w:tr>
        <w:trPr>
          <w:cantSplit/>
        </w:trPr>
        <w:tc>
          <w:tcPr>
            <w:tcW w:type="dxa" w:w="2493"/>
            <w:tcMar>
              <w:top w:w="90" w:type="dxa"/>
              <w:start w:w="110" w:type="dxa"/>
              <w:bottom w:w="90" w:type="dxa"/>
              <w:end w:w="110" w:type="dxa"/>
            </w:tcMar>
          </w:tcPr>
          <w:p>
            <w:r>
              <w:rPr>
                <w:rFonts w:ascii="Inter" w:hAnsi="Inter" w:eastAsia="Inter"/>
                <w:sz w:val="18"/>
              </w:rPr>
              <w:t>Primary CTA</w:t>
            </w:r>
          </w:p>
        </w:tc>
        <w:tc>
          <w:tcPr>
            <w:tcW w:type="dxa" w:w="2493"/>
            <w:tcMar>
              <w:top w:w="90" w:type="dxa"/>
              <w:start w:w="110" w:type="dxa"/>
              <w:bottom w:w="90" w:type="dxa"/>
              <w:end w:w="110" w:type="dxa"/>
            </w:tcMar>
          </w:tcPr>
          <w:p>
            <w:r>
              <w:rPr>
                <w:rFonts w:ascii="Inter" w:hAnsi="Inter" w:eastAsia="Inter"/>
                <w:sz w:val="18"/>
              </w:rPr>
              <w:t>Find a Companion</w:t>
            </w:r>
          </w:p>
        </w:tc>
        <w:tc>
          <w:tcPr>
            <w:tcW w:type="dxa" w:w="2493"/>
            <w:tcMar>
              <w:top w:w="90" w:type="dxa"/>
              <w:start w:w="110" w:type="dxa"/>
              <w:bottom w:w="90" w:type="dxa"/>
              <w:end w:w="110" w:type="dxa"/>
            </w:tcMar>
          </w:tcPr>
          <w:p>
            <w:r>
              <w:rPr>
                <w:rFonts w:ascii="Inter" w:hAnsi="Inter" w:eastAsia="Inter"/>
                <w:sz w:val="18"/>
              </w:rPr>
              <w:t>Explore Companions</w:t>
            </w:r>
          </w:p>
        </w:tc>
        <w:tc>
          <w:tcPr>
            <w:tcW w:type="dxa" w:w="2493"/>
            <w:tcMar>
              <w:top w:w="90" w:type="dxa"/>
              <w:start w:w="110" w:type="dxa"/>
              <w:bottom w:w="90" w:type="dxa"/>
              <w:end w:w="110" w:type="dxa"/>
            </w:tcMar>
          </w:tcPr>
          <w:p>
            <w:r>
              <w:rPr>
                <w:rFonts w:ascii="Inter" w:hAnsi="Inter" w:eastAsia="Inter"/>
                <w:sz w:val="18"/>
              </w:rPr>
              <w:t>Find a Companion</w:t>
            </w:r>
          </w:p>
        </w:tc>
      </w:tr>
      <w:tr>
        <w:trPr>
          <w:cantSplit/>
        </w:trPr>
        <w:tc>
          <w:tcPr>
            <w:tcW w:type="dxa" w:w="2493"/>
            <w:tcMar>
              <w:top w:w="90" w:type="dxa"/>
              <w:start w:w="110" w:type="dxa"/>
              <w:bottom w:w="90" w:type="dxa"/>
              <w:end w:w="110" w:type="dxa"/>
            </w:tcMar>
          </w:tcPr>
          <w:p>
            <w:r>
              <w:rPr>
                <w:rFonts w:ascii="Inter" w:hAnsi="Inter" w:eastAsia="Inter"/>
                <w:sz w:val="18"/>
              </w:rPr>
              <w:t>Family heading</w:t>
            </w:r>
          </w:p>
        </w:tc>
        <w:tc>
          <w:tcPr>
            <w:tcW w:type="dxa" w:w="2493"/>
            <w:tcMar>
              <w:top w:w="90" w:type="dxa"/>
              <w:start w:w="110" w:type="dxa"/>
              <w:bottom w:w="90" w:type="dxa"/>
              <w:end w:w="110" w:type="dxa"/>
            </w:tcMar>
          </w:tcPr>
          <w:p>
            <w:r>
              <w:rPr>
                <w:rFonts w:ascii="Inter" w:hAnsi="Inter" w:eastAsia="Inter"/>
                <w:sz w:val="18"/>
              </w:rPr>
              <w:t>Stay involved, even when you cannot always be there.</w:t>
            </w:r>
          </w:p>
        </w:tc>
        <w:tc>
          <w:tcPr>
            <w:tcW w:type="dxa" w:w="2493"/>
            <w:tcMar>
              <w:top w:w="90" w:type="dxa"/>
              <w:start w:w="110" w:type="dxa"/>
              <w:bottom w:w="90" w:type="dxa"/>
              <w:end w:w="110" w:type="dxa"/>
            </w:tcMar>
          </w:tcPr>
          <w:p>
            <w:r>
              <w:rPr>
                <w:rFonts w:ascii="Inter" w:hAnsi="Inter" w:eastAsia="Inter"/>
                <w:sz w:val="18"/>
              </w:rPr>
              <w:t>Another regular point of connection.</w:t>
            </w:r>
          </w:p>
        </w:tc>
        <w:tc>
          <w:tcPr>
            <w:tcW w:type="dxa" w:w="2493"/>
            <w:tcMar>
              <w:top w:w="90" w:type="dxa"/>
              <w:start w:w="110" w:type="dxa"/>
              <w:bottom w:w="90" w:type="dxa"/>
              <w:end w:w="110" w:type="dxa"/>
            </w:tcMar>
          </w:tcPr>
          <w:p>
            <w:r>
              <w:rPr>
                <w:rFonts w:ascii="Inter" w:hAnsi="Inter" w:eastAsia="Inter"/>
                <w:sz w:val="18"/>
              </w:rPr>
              <w:t>Stay involved, even when you cannot always be there.</w:t>
            </w:r>
          </w:p>
        </w:tc>
      </w:tr>
      <w:tr>
        <w:trPr>
          <w:cantSplit/>
        </w:trPr>
        <w:tc>
          <w:tcPr>
            <w:tcW w:type="dxa" w:w="2493"/>
            <w:tcMar>
              <w:top w:w="90" w:type="dxa"/>
              <w:start w:w="110" w:type="dxa"/>
              <w:bottom w:w="90" w:type="dxa"/>
              <w:end w:w="110" w:type="dxa"/>
            </w:tcMar>
          </w:tcPr>
          <w:p>
            <w:r>
              <w:rPr>
                <w:rFonts w:ascii="Inter" w:hAnsi="Inter" w:eastAsia="Inter"/>
                <w:sz w:val="18"/>
              </w:rPr>
              <w:t>Companion heading</w:t>
            </w:r>
          </w:p>
        </w:tc>
        <w:tc>
          <w:tcPr>
            <w:tcW w:type="dxa" w:w="2493"/>
            <w:tcMar>
              <w:top w:w="90" w:type="dxa"/>
              <w:start w:w="110" w:type="dxa"/>
              <w:bottom w:w="90" w:type="dxa"/>
              <w:end w:w="110" w:type="dxa"/>
            </w:tcMar>
          </w:tcPr>
          <w:p>
            <w:r>
              <w:rPr>
                <w:rFonts w:ascii="Inter" w:hAnsi="Inter" w:eastAsia="Inter"/>
                <w:sz w:val="18"/>
              </w:rPr>
              <w:t>Earn flexibly through meaningful conversation.</w:t>
            </w:r>
          </w:p>
        </w:tc>
        <w:tc>
          <w:tcPr>
            <w:tcW w:type="dxa" w:w="2493"/>
            <w:tcMar>
              <w:top w:w="90" w:type="dxa"/>
              <w:start w:w="110" w:type="dxa"/>
              <w:bottom w:w="90" w:type="dxa"/>
              <w:end w:w="110" w:type="dxa"/>
            </w:tcMar>
          </w:tcPr>
          <w:p>
            <w:r>
              <w:rPr>
                <w:rFonts w:ascii="Inter" w:hAnsi="Inter" w:eastAsia="Inter"/>
                <w:sz w:val="18"/>
              </w:rPr>
              <w:t>Your time and curiosity can make a difference.</w:t>
            </w:r>
          </w:p>
        </w:tc>
        <w:tc>
          <w:tcPr>
            <w:tcW w:type="dxa" w:w="2493"/>
            <w:tcMar>
              <w:top w:w="90" w:type="dxa"/>
              <w:start w:w="110" w:type="dxa"/>
              <w:bottom w:w="90" w:type="dxa"/>
              <w:end w:w="110" w:type="dxa"/>
            </w:tcMar>
          </w:tcPr>
          <w:p>
            <w:r>
              <w:rPr>
                <w:rFonts w:ascii="Inter" w:hAnsi="Inter" w:eastAsia="Inter"/>
                <w:sz w:val="18"/>
              </w:rPr>
              <w:t>Earn flexibly through meaningful conversation.</w:t>
            </w:r>
          </w:p>
        </w:tc>
      </w:tr>
      <w:tr>
        <w:trPr>
          <w:cantSplit/>
        </w:trPr>
        <w:tc>
          <w:tcPr>
            <w:tcW w:type="dxa" w:w="2493"/>
            <w:tcMar>
              <w:top w:w="90" w:type="dxa"/>
              <w:start w:w="110" w:type="dxa"/>
              <w:bottom w:w="90" w:type="dxa"/>
              <w:end w:w="110" w:type="dxa"/>
            </w:tcMar>
          </w:tcPr>
          <w:p>
            <w:r>
              <w:rPr>
                <w:rFonts w:ascii="Inter" w:hAnsi="Inter" w:eastAsia="Inter"/>
                <w:sz w:val="18"/>
              </w:rPr>
              <w:t>Final CTA</w:t>
            </w:r>
          </w:p>
        </w:tc>
        <w:tc>
          <w:tcPr>
            <w:tcW w:type="dxa" w:w="2493"/>
            <w:tcMar>
              <w:top w:w="90" w:type="dxa"/>
              <w:start w:w="110" w:type="dxa"/>
              <w:bottom w:w="90" w:type="dxa"/>
              <w:end w:w="110" w:type="dxa"/>
            </w:tcMar>
          </w:tcPr>
          <w:p>
            <w:r>
              <w:rPr>
                <w:rFonts w:ascii="Inter" w:hAnsi="Inter" w:eastAsia="Inter"/>
                <w:sz w:val="18"/>
              </w:rPr>
              <w:t>Start with one conversation.</w:t>
            </w:r>
          </w:p>
        </w:tc>
        <w:tc>
          <w:tcPr>
            <w:tcW w:type="dxa" w:w="2493"/>
            <w:tcMar>
              <w:top w:w="90" w:type="dxa"/>
              <w:start w:w="110" w:type="dxa"/>
              <w:bottom w:w="90" w:type="dxa"/>
              <w:end w:w="110" w:type="dxa"/>
            </w:tcMar>
          </w:tcPr>
          <w:p>
            <w:r>
              <w:rPr>
                <w:rFonts w:ascii="Inter" w:hAnsi="Inter" w:eastAsia="Inter"/>
                <w:sz w:val="18"/>
              </w:rPr>
              <w:t>Make room for more conversation.</w:t>
            </w:r>
          </w:p>
        </w:tc>
        <w:tc>
          <w:tcPr>
            <w:tcW w:type="dxa" w:w="2493"/>
            <w:tcMar>
              <w:top w:w="90" w:type="dxa"/>
              <w:start w:w="110" w:type="dxa"/>
              <w:bottom w:w="90" w:type="dxa"/>
              <w:end w:w="110" w:type="dxa"/>
            </w:tcMar>
          </w:tcPr>
          <w:p>
            <w:r>
              <w:rPr>
                <w:rFonts w:ascii="Inter" w:hAnsi="Inter" w:eastAsia="Inter"/>
                <w:sz w:val="18"/>
              </w:rPr>
              <w:t>Start with one conversation.</w:t>
            </w:r>
          </w:p>
        </w:tc>
      </w:tr>
    </w:tbl>
    <w:p>
      <w:pPr>
        <w:pStyle w:val="Heading1"/>
        <w:keepNext/>
      </w:pPr>
      <w:r>
        <w:t>7. Frequently asked questions</w:t>
      </w:r>
    </w:p>
    <w:p>
      <w:pPr>
        <w:pStyle w:val="Heading3"/>
        <w:keepNext/>
        <w:spacing w:after="100"/>
      </w:pPr>
      <w:r>
        <w:rPr>
          <w:i w:val="0"/>
        </w:rPr>
        <w:t>What is a Companion?</w:t>
      </w:r>
    </w:p>
    <w:p>
      <w:pPr>
        <w:spacing w:after="160"/>
      </w:pPr>
      <w:r>
        <w:rPr>
          <w:i w:val="0"/>
        </w:rPr>
        <w:t>A Companion is someone who offers scheduled social conversations through Apricoti. They create a profile, set their availability and price, and talk with Members about everyday life and shared interests. They are not carers, therapists or medical professionals in this role.</w:t>
      </w:r>
    </w:p>
    <w:p>
      <w:pPr>
        <w:pStyle w:val="Heading3"/>
        <w:keepNext/>
        <w:spacing w:after="100"/>
      </w:pPr>
      <w:r>
        <w:rPr>
          <w:i w:val="0"/>
        </w:rPr>
        <w:t>Who are the conversations for?</w:t>
      </w:r>
    </w:p>
    <w:p>
      <w:pPr>
        <w:spacing w:after="160"/>
      </w:pPr>
      <w:r>
        <w:rPr>
          <w:i w:val="0"/>
        </w:rPr>
        <w:t>Apricoti is designed for adults who would enjoy more regular, friendly conversation. A Member can arrange conversations themselves, or a family member, friend or trusted person can help with permission.</w:t>
      </w:r>
    </w:p>
    <w:p>
      <w:pPr>
        <w:pStyle w:val="Heading3"/>
        <w:keepNext/>
        <w:spacing w:after="100"/>
      </w:pPr>
      <w:r>
        <w:rPr>
          <w:i w:val="0"/>
        </w:rPr>
        <w:t>Can I arrange conversations for somebody else?</w:t>
      </w:r>
    </w:p>
    <w:p>
      <w:pPr>
        <w:spacing w:after="160"/>
      </w:pPr>
      <w:r>
        <w:rPr>
          <w:i w:val="0"/>
        </w:rPr>
        <w:t>Yes. You can help create or manage a Member profile, explore Companions and arrange conversations for someone you care about. The Member should remain involved in the choice wherever possible.</w:t>
      </w:r>
    </w:p>
    <w:p>
      <w:pPr>
        <w:pStyle w:val="Heading3"/>
        <w:keepNext/>
        <w:spacing w:after="100"/>
      </w:pPr>
      <w:r>
        <w:rPr>
          <w:i w:val="0"/>
        </w:rPr>
        <w:t>Does the Member choose their Companion?</w:t>
      </w:r>
    </w:p>
    <w:p>
      <w:pPr>
        <w:spacing w:after="160"/>
      </w:pPr>
      <w:r>
        <w:rPr>
          <w:i w:val="0"/>
        </w:rPr>
        <w:t>Yes. Companion profiles show practical information such as interests, languages, availability, pricing and, once enough reviews exist, a rating summary. The Member can choose the person who feels most suitable.</w:t>
      </w:r>
    </w:p>
    <w:p>
      <w:pPr>
        <w:pStyle w:val="Heading3"/>
        <w:keepNext/>
        <w:spacing w:after="100"/>
      </w:pPr>
      <w:r>
        <w:rPr>
          <w:i w:val="0"/>
        </w:rPr>
        <w:t>How does a trial conversation work?</w:t>
      </w:r>
    </w:p>
    <w:p>
      <w:pPr>
        <w:spacing w:after="160"/>
      </w:pPr>
      <w:r>
        <w:rPr>
          <w:i w:val="0"/>
        </w:rPr>
        <w:t>Each Member can book one paid trial with each Companion. The length and price are shown before payment. A trial is a chance for both people to decide whether they would like to speak again.</w:t>
      </w:r>
    </w:p>
    <w:p>
      <w:pPr>
        <w:pStyle w:val="Heading3"/>
        <w:keepNext/>
        <w:spacing w:after="100"/>
      </w:pPr>
      <w:r>
        <w:rPr>
          <w:i w:val="0"/>
        </w:rPr>
        <w:t>Are Companions carers or therapists?</w:t>
      </w:r>
    </w:p>
    <w:p>
      <w:pPr>
        <w:spacing w:after="160"/>
      </w:pPr>
      <w:r>
        <w:rPr>
          <w:i w:val="0"/>
        </w:rPr>
        <w:t>No. Apricoti is for social companionship. Companions do not provide personal care, therapy, counselling, medical advice or emergency support.</w:t>
      </w:r>
    </w:p>
    <w:p>
      <w:pPr>
        <w:pStyle w:val="Heading3"/>
        <w:keepNext/>
        <w:spacing w:after="100"/>
      </w:pPr>
      <w:r>
        <w:rPr>
          <w:i w:val="0"/>
        </w:rPr>
        <w:t>How are conversations held?</w:t>
      </w:r>
    </w:p>
    <w:p>
      <w:pPr>
        <w:spacing w:after="160"/>
      </w:pPr>
      <w:r>
        <w:rPr>
          <w:i w:val="0"/>
        </w:rPr>
        <w:t>Conversations are scheduled video calls held through the platform. Final launch wording should reflect the exact supported devices, browsers and accessibility features.</w:t>
      </w:r>
    </w:p>
    <w:p>
      <w:pPr>
        <w:pStyle w:val="Heading3"/>
        <w:keepNext/>
        <w:spacing w:after="100"/>
      </w:pPr>
      <w:r>
        <w:rPr>
          <w:i w:val="0"/>
        </w:rPr>
        <w:t>What happens if a conversation does not take place?</w:t>
      </w:r>
    </w:p>
    <w:p>
      <w:pPr>
        <w:spacing w:after="160"/>
      </w:pPr>
      <w:r>
        <w:rPr>
          <w:i w:val="0"/>
        </w:rPr>
        <w:t>Either side can report what happened through the booking. Apricoti can review attendance and the circumstances before deciding the appropriate account-credit or Companion-earning outcome.</w:t>
      </w:r>
    </w:p>
    <w:p>
      <w:pPr>
        <w:pStyle w:val="Heading3"/>
        <w:keepNext/>
        <w:spacing w:after="100"/>
      </w:pPr>
      <w:r>
        <w:rPr>
          <w:i w:val="0"/>
        </w:rPr>
        <w:t>How do payments work?</w:t>
      </w:r>
    </w:p>
    <w:p>
      <w:pPr>
        <w:spacing w:after="160"/>
      </w:pPr>
      <w:r>
        <w:rPr>
          <w:i w:val="0"/>
        </w:rPr>
        <w:t>The Companion’s price and any Apricoti service fee are shown before payment. Payments are taken through the platform. Companion payouts are handled separately after the completion checks are satisfied.</w:t>
      </w:r>
    </w:p>
    <w:p>
      <w:pPr>
        <w:pStyle w:val="Heading3"/>
        <w:keepNext/>
        <w:spacing w:after="100"/>
      </w:pPr>
      <w:r>
        <w:rPr>
          <w:i w:val="0"/>
        </w:rPr>
        <w:t>Can I change or stop future conversations?</w:t>
      </w:r>
    </w:p>
    <w:p>
      <w:pPr>
        <w:spacing w:after="160"/>
      </w:pPr>
      <w:r>
        <w:rPr>
          <w:i w:val="0"/>
        </w:rPr>
        <w:t>Individual bookings can be rescheduled or cancelled under Apricoti’s cancellation rules. Recurring plans should only be described as available once the recurring-billing stage is live.</w:t>
      </w:r>
    </w:p>
    <w:p>
      <w:pPr>
        <w:pStyle w:val="Heading1"/>
        <w:keepNext/>
      </w:pPr>
      <w:r>
        <w:t>8. Asset map</w:t>
      </w:r>
    </w:p>
    <w:p>
      <w:pPr>
        <w:pStyle w:val="Lead"/>
        <w:spacing w:after="100"/>
      </w:pPr>
      <w:r>
        <w:rPr>
          <w:i w:val="0"/>
        </w:rPr>
        <w:t>The asset selection should show equality, agency and genuine engagement. Avoid medical settings, passive or sad older people, uniforms and exaggerated stock-photo emotion.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blHeader w:val="true"/>
          <w:tblHeader w:val="true"/>
          <w:tblHeader w:val="true"/>
          <w:tblHeader w:val="true"/>
          <w:cantSplit/>
        </w:trPr>
        <w:tc>
          <w:tcPr>
            <w:tcW w:type="dxa" w:w="1994"/>
            <w:shd w:fill="FFF2E9"/>
            <w:vAlign w:val="top"/>
          </w:tcPr>
          <w:p>
            <w:r>
              <w:rPr>
                <w:rFonts w:ascii="Inter" w:hAnsi="Inter" w:eastAsia="Inter"/>
                <w:sz w:val="18"/>
              </w:rPr>
              <w:t>Section</w:t>
            </w:r>
          </w:p>
        </w:tc>
        <w:tc>
          <w:tcPr>
            <w:tcW w:type="dxa" w:w="1994"/>
            <w:shd w:fill="FFF2E9"/>
            <w:vAlign w:val="top"/>
          </w:tcPr>
          <w:p>
            <w:r>
              <w:rPr>
                <w:rFonts w:ascii="Inter" w:hAnsi="Inter" w:eastAsia="Inter"/>
                <w:sz w:val="18"/>
              </w:rPr>
              <w:t>Recommended asset</w:t>
            </w:r>
          </w:p>
        </w:tc>
        <w:tc>
          <w:tcPr>
            <w:tcW w:type="dxa" w:w="1994"/>
            <w:shd w:fill="FFF2E9"/>
            <w:vAlign w:val="top"/>
          </w:tcPr>
          <w:p>
            <w:r>
              <w:rPr>
                <w:rFonts w:ascii="Inter" w:hAnsi="Inter" w:eastAsia="Inter"/>
                <w:sz w:val="18"/>
              </w:rPr>
              <w:t>Orientation</w:t>
            </w:r>
          </w:p>
        </w:tc>
        <w:tc>
          <w:tcPr>
            <w:tcW w:type="dxa" w:w="1994"/>
            <w:shd w:fill="FFF2E9"/>
            <w:vAlign w:val="top"/>
          </w:tcPr>
          <w:p>
            <w:r>
              <w:rPr>
                <w:rFonts w:ascii="Inter" w:hAnsi="Inter" w:eastAsia="Inter"/>
                <w:sz w:val="18"/>
              </w:rPr>
              <w:t>Purpose</w:t>
            </w:r>
          </w:p>
        </w:tc>
        <w:tc>
          <w:tcPr>
            <w:tcW w:type="dxa" w:w="1994"/>
            <w:shd w:fill="FFF2E9"/>
            <w:vAlign w:val="top"/>
          </w:tcPr>
          <w:p>
            <w:r>
              <w:rPr>
                <w:rFonts w:ascii="Inter" w:hAnsi="Inter" w:eastAsia="Inter"/>
                <w:sz w:val="18"/>
              </w:rPr>
              <w:t>Avoid</w:t>
            </w:r>
          </w:p>
        </w:tc>
      </w:tr>
      <w:tr>
        <w:trPr>
          <w:cantSplit/>
        </w:trPr>
        <w:tc>
          <w:tcPr>
            <w:tcW w:type="dxa" w:w="1994"/>
            <w:tcMar>
              <w:top w:w="70" w:type="dxa"/>
              <w:start w:w="80" w:type="dxa"/>
              <w:bottom w:w="70" w:type="dxa"/>
              <w:end w:w="80" w:type="dxa"/>
            </w:tcMar>
            <w:vAlign w:val="top"/>
          </w:tcPr>
          <w:p>
            <w:r>
              <w:rPr>
                <w:rFonts w:ascii="Inter" w:hAnsi="Inter" w:eastAsia="Inter"/>
                <w:sz w:val="18"/>
              </w:rPr>
              <w:t>Hero</w:t>
            </w:r>
          </w:p>
        </w:tc>
        <w:tc>
          <w:tcPr>
            <w:tcW w:type="dxa" w:w="1994"/>
            <w:tcMar>
              <w:top w:w="70" w:type="dxa"/>
              <w:start w:w="80" w:type="dxa"/>
              <w:bottom w:w="70" w:type="dxa"/>
              <w:end w:w="80" w:type="dxa"/>
            </w:tcMar>
            <w:vAlign w:val="top"/>
          </w:tcPr>
          <w:p>
            <w:r>
              <w:rPr>
                <w:rFonts w:ascii="Inter" w:hAnsi="Inter" w:eastAsia="Inter"/>
                <w:sz w:val="18"/>
              </w:rPr>
              <w:t>Older Member and younger Companion engaged naturally; both visually active</w:t>
            </w:r>
          </w:p>
        </w:tc>
        <w:tc>
          <w:tcPr>
            <w:tcW w:type="dxa" w:w="1994"/>
            <w:tcMar>
              <w:top w:w="70" w:type="dxa"/>
              <w:start w:w="80" w:type="dxa"/>
              <w:bottom w:w="70" w:type="dxa"/>
              <w:end w:w="80" w:type="dxa"/>
            </w:tcMar>
            <w:vAlign w:val="top"/>
          </w:tcPr>
          <w:p>
            <w:r>
              <w:rPr>
                <w:rFonts w:ascii="Inter" w:hAnsi="Inter" w:eastAsia="Inter"/>
                <w:sz w:val="18"/>
              </w:rPr>
              <w:t>Landscape, generous negative space</w:t>
            </w:r>
          </w:p>
        </w:tc>
        <w:tc>
          <w:tcPr>
            <w:tcW w:type="dxa" w:w="1994"/>
            <w:tcMar>
              <w:top w:w="70" w:type="dxa"/>
              <w:start w:w="80" w:type="dxa"/>
              <w:bottom w:w="70" w:type="dxa"/>
              <w:end w:w="80" w:type="dxa"/>
            </w:tcMar>
            <w:vAlign w:val="top"/>
          </w:tcPr>
          <w:p>
            <w:r>
              <w:rPr>
                <w:rFonts w:ascii="Inter" w:hAnsi="Inter" w:eastAsia="Inter"/>
                <w:sz w:val="18"/>
              </w:rPr>
              <w:t>Warmth, equality and modernity</w:t>
            </w:r>
          </w:p>
        </w:tc>
        <w:tc>
          <w:tcPr>
            <w:tcW w:type="dxa" w:w="1994"/>
            <w:tcMar>
              <w:top w:w="70" w:type="dxa"/>
              <w:start w:w="80" w:type="dxa"/>
              <w:bottom w:w="70" w:type="dxa"/>
              <w:end w:w="80" w:type="dxa"/>
            </w:tcMar>
            <w:vAlign w:val="top"/>
          </w:tcPr>
          <w:p>
            <w:r>
              <w:rPr>
                <w:rFonts w:ascii="Inter" w:hAnsi="Inter" w:eastAsia="Inter"/>
                <w:sz w:val="18"/>
              </w:rPr>
              <w:t>Staged headset call, sad window image, carer uniform</w:t>
            </w:r>
          </w:p>
        </w:tc>
      </w:tr>
      <w:tr>
        <w:trPr>
          <w:cantSplit/>
        </w:trPr>
        <w:tc>
          <w:tcPr>
            <w:tcW w:type="dxa" w:w="1994"/>
            <w:tcMar>
              <w:top w:w="70" w:type="dxa"/>
              <w:start w:w="80" w:type="dxa"/>
              <w:bottom w:w="70" w:type="dxa"/>
              <w:end w:w="80" w:type="dxa"/>
            </w:tcMar>
            <w:vAlign w:val="top"/>
          </w:tcPr>
          <w:p>
            <w:r>
              <w:rPr>
                <w:rFonts w:ascii="Inter" w:hAnsi="Inter" w:eastAsia="Inter"/>
                <w:sz w:val="18"/>
              </w:rPr>
              <w:t>Why connection matters</w:t>
            </w:r>
          </w:p>
        </w:tc>
        <w:tc>
          <w:tcPr>
            <w:tcW w:type="dxa" w:w="1994"/>
            <w:tcMar>
              <w:top w:w="70" w:type="dxa"/>
              <w:start w:w="80" w:type="dxa"/>
              <w:bottom w:w="70" w:type="dxa"/>
              <w:end w:w="80" w:type="dxa"/>
            </w:tcMar>
            <w:vAlign w:val="top"/>
          </w:tcPr>
          <w:p>
            <w:r>
              <w:rPr>
                <w:rFonts w:ascii="Inter" w:hAnsi="Inter" w:eastAsia="Inter"/>
                <w:sz w:val="18"/>
              </w:rPr>
              <w:t>Everyday social moment: hobby, books, cooking, garden or shared laughter</w:t>
            </w:r>
          </w:p>
        </w:tc>
        <w:tc>
          <w:tcPr>
            <w:tcW w:type="dxa" w:w="1994"/>
            <w:tcMar>
              <w:top w:w="70" w:type="dxa"/>
              <w:start w:w="80" w:type="dxa"/>
              <w:bottom w:w="70" w:type="dxa"/>
              <w:end w:w="80" w:type="dxa"/>
            </w:tcMar>
            <w:vAlign w:val="top"/>
          </w:tcPr>
          <w:p>
            <w:r>
              <w:rPr>
                <w:rFonts w:ascii="Inter" w:hAnsi="Inter" w:eastAsia="Inter"/>
                <w:sz w:val="18"/>
              </w:rPr>
              <w:t>Wide or editorial crop</w:t>
            </w:r>
          </w:p>
        </w:tc>
        <w:tc>
          <w:tcPr>
            <w:tcW w:type="dxa" w:w="1994"/>
            <w:tcMar>
              <w:top w:w="70" w:type="dxa"/>
              <w:start w:w="80" w:type="dxa"/>
              <w:bottom w:w="70" w:type="dxa"/>
              <w:end w:w="80" w:type="dxa"/>
            </w:tcMar>
            <w:vAlign w:val="top"/>
          </w:tcPr>
          <w:p>
            <w:r>
              <w:rPr>
                <w:rFonts w:ascii="Inter" w:hAnsi="Inter" w:eastAsia="Inter"/>
                <w:sz w:val="18"/>
              </w:rPr>
              <w:t>Connection as positive everyday life</w:t>
            </w:r>
          </w:p>
        </w:tc>
        <w:tc>
          <w:tcPr>
            <w:tcW w:type="dxa" w:w="1994"/>
            <w:tcMar>
              <w:top w:w="70" w:type="dxa"/>
              <w:start w:w="80" w:type="dxa"/>
              <w:bottom w:w="70" w:type="dxa"/>
              <w:end w:w="80" w:type="dxa"/>
            </w:tcMar>
            <w:vAlign w:val="top"/>
          </w:tcPr>
          <w:p>
            <w:r>
              <w:rPr>
                <w:rFonts w:ascii="Inter" w:hAnsi="Inter" w:eastAsia="Inter"/>
                <w:sz w:val="18"/>
              </w:rPr>
              <w:t>Health imagery, statistics over a distressed portrait</w:t>
            </w:r>
          </w:p>
        </w:tc>
      </w:tr>
      <w:tr>
        <w:trPr>
          <w:cantSplit/>
        </w:trPr>
        <w:tc>
          <w:tcPr>
            <w:tcW w:type="dxa" w:w="1994"/>
            <w:tcMar>
              <w:top w:w="70" w:type="dxa"/>
              <w:start w:w="80" w:type="dxa"/>
              <w:bottom w:w="70" w:type="dxa"/>
              <w:end w:w="80" w:type="dxa"/>
            </w:tcMar>
            <w:vAlign w:val="top"/>
          </w:tcPr>
          <w:p>
            <w:r>
              <w:rPr>
                <w:rFonts w:ascii="Inter" w:hAnsi="Inter" w:eastAsia="Inter"/>
                <w:sz w:val="18"/>
              </w:rPr>
              <w:t>How it works</w:t>
            </w:r>
          </w:p>
        </w:tc>
        <w:tc>
          <w:tcPr>
            <w:tcW w:type="dxa" w:w="1994"/>
            <w:tcMar>
              <w:top w:w="70" w:type="dxa"/>
              <w:start w:w="80" w:type="dxa"/>
              <w:bottom w:w="70" w:type="dxa"/>
              <w:end w:w="80" w:type="dxa"/>
            </w:tcMar>
            <w:vAlign w:val="top"/>
          </w:tcPr>
          <w:p>
            <w:r>
              <w:rPr>
                <w:rFonts w:ascii="Inter" w:hAnsi="Inter" w:eastAsia="Inter"/>
                <w:sz w:val="18"/>
              </w:rPr>
              <w:t>Simple UI screenshots or calm icon sequence</w:t>
            </w:r>
          </w:p>
        </w:tc>
        <w:tc>
          <w:tcPr>
            <w:tcW w:type="dxa" w:w="1994"/>
            <w:tcMar>
              <w:top w:w="70" w:type="dxa"/>
              <w:start w:w="80" w:type="dxa"/>
              <w:bottom w:w="70" w:type="dxa"/>
              <w:end w:w="80" w:type="dxa"/>
            </w:tcMar>
            <w:vAlign w:val="top"/>
          </w:tcPr>
          <w:p>
            <w:r>
              <w:rPr>
                <w:rFonts w:ascii="Inter" w:hAnsi="Inter" w:eastAsia="Inter"/>
                <w:sz w:val="18"/>
              </w:rPr>
              <w:t>Horizontal cards</w:t>
            </w:r>
          </w:p>
        </w:tc>
        <w:tc>
          <w:tcPr>
            <w:tcW w:type="dxa" w:w="1994"/>
            <w:tcMar>
              <w:top w:w="70" w:type="dxa"/>
              <w:start w:w="80" w:type="dxa"/>
              <w:bottom w:w="70" w:type="dxa"/>
              <w:end w:w="80" w:type="dxa"/>
            </w:tcMar>
            <w:vAlign w:val="top"/>
          </w:tcPr>
          <w:p>
            <w:r>
              <w:rPr>
                <w:rFonts w:ascii="Inter" w:hAnsi="Inter" w:eastAsia="Inter"/>
                <w:sz w:val="18"/>
              </w:rPr>
              <w:t>Clarity and ease</w:t>
            </w:r>
          </w:p>
        </w:tc>
        <w:tc>
          <w:tcPr>
            <w:tcW w:type="dxa" w:w="1994"/>
            <w:tcMar>
              <w:top w:w="70" w:type="dxa"/>
              <w:start w:w="80" w:type="dxa"/>
              <w:bottom w:w="70" w:type="dxa"/>
              <w:end w:w="80" w:type="dxa"/>
            </w:tcMar>
            <w:vAlign w:val="top"/>
          </w:tcPr>
          <w:p>
            <w:r>
              <w:rPr>
                <w:rFonts w:ascii="Inter" w:hAnsi="Inter" w:eastAsia="Inter"/>
                <w:sz w:val="18"/>
              </w:rPr>
              <w:t>Dense dashboards or technical diagrams</w:t>
            </w:r>
          </w:p>
        </w:tc>
      </w:tr>
      <w:tr>
        <w:trPr>
          <w:cantSplit/>
        </w:trPr>
        <w:tc>
          <w:tcPr>
            <w:tcW w:type="dxa" w:w="1994"/>
            <w:tcMar>
              <w:top w:w="70" w:type="dxa"/>
              <w:start w:w="80" w:type="dxa"/>
              <w:bottom w:w="70" w:type="dxa"/>
              <w:end w:w="80" w:type="dxa"/>
            </w:tcMar>
            <w:vAlign w:val="top"/>
          </w:tcPr>
          <w:p>
            <w:r>
              <w:rPr>
                <w:rFonts w:ascii="Inter" w:hAnsi="Inter" w:eastAsia="Inter"/>
                <w:sz w:val="18"/>
              </w:rPr>
              <w:t>For families</w:t>
            </w:r>
          </w:p>
        </w:tc>
        <w:tc>
          <w:tcPr>
            <w:tcW w:type="dxa" w:w="1994"/>
            <w:tcMar>
              <w:top w:w="70" w:type="dxa"/>
              <w:start w:w="80" w:type="dxa"/>
              <w:bottom w:w="70" w:type="dxa"/>
              <w:end w:w="80" w:type="dxa"/>
            </w:tcMar>
            <w:vAlign w:val="top"/>
          </w:tcPr>
          <w:p>
            <w:r>
              <w:rPr>
                <w:rFonts w:ascii="Inter" w:hAnsi="Inter" w:eastAsia="Inter"/>
                <w:sz w:val="18"/>
              </w:rPr>
              <w:t>Family member helping choose a profile with the Member</w:t>
            </w:r>
          </w:p>
        </w:tc>
        <w:tc>
          <w:tcPr>
            <w:tcW w:type="dxa" w:w="1994"/>
            <w:tcMar>
              <w:top w:w="70" w:type="dxa"/>
              <w:start w:w="80" w:type="dxa"/>
              <w:bottom w:w="70" w:type="dxa"/>
              <w:end w:w="80" w:type="dxa"/>
            </w:tcMar>
            <w:vAlign w:val="top"/>
          </w:tcPr>
          <w:p>
            <w:r>
              <w:rPr>
                <w:rFonts w:ascii="Inter" w:hAnsi="Inter" w:eastAsia="Inter"/>
                <w:sz w:val="18"/>
              </w:rPr>
              <w:t>Landscape or split image</w:t>
            </w:r>
          </w:p>
        </w:tc>
        <w:tc>
          <w:tcPr>
            <w:tcW w:type="dxa" w:w="1994"/>
            <w:tcMar>
              <w:top w:w="70" w:type="dxa"/>
              <w:start w:w="80" w:type="dxa"/>
              <w:bottom w:w="70" w:type="dxa"/>
              <w:end w:w="80" w:type="dxa"/>
            </w:tcMar>
            <w:vAlign w:val="top"/>
          </w:tcPr>
          <w:p>
            <w:r>
              <w:rPr>
                <w:rFonts w:ascii="Inter" w:hAnsi="Inter" w:eastAsia="Inter"/>
                <w:sz w:val="18"/>
              </w:rPr>
              <w:t>Shared decision-making</w:t>
            </w:r>
          </w:p>
        </w:tc>
        <w:tc>
          <w:tcPr>
            <w:tcW w:type="dxa" w:w="1994"/>
            <w:tcMar>
              <w:top w:w="70" w:type="dxa"/>
              <w:start w:w="80" w:type="dxa"/>
              <w:bottom w:w="70" w:type="dxa"/>
              <w:end w:w="80" w:type="dxa"/>
            </w:tcMar>
            <w:vAlign w:val="top"/>
          </w:tcPr>
          <w:p>
            <w:r>
              <w:rPr>
                <w:rFonts w:ascii="Inter" w:hAnsi="Inter" w:eastAsia="Inter"/>
                <w:sz w:val="18"/>
              </w:rPr>
              <w:t>Family member controlling the choice</w:t>
            </w:r>
          </w:p>
        </w:tc>
      </w:tr>
      <w:tr>
        <w:trPr>
          <w:cantSplit/>
        </w:trPr>
        <w:tc>
          <w:tcPr>
            <w:tcW w:type="dxa" w:w="1994"/>
            <w:tcMar>
              <w:top w:w="70" w:type="dxa"/>
              <w:start w:w="80" w:type="dxa"/>
              <w:bottom w:w="70" w:type="dxa"/>
              <w:end w:w="80" w:type="dxa"/>
            </w:tcMar>
            <w:vAlign w:val="top"/>
          </w:tcPr>
          <w:p>
            <w:r>
              <w:rPr>
                <w:rFonts w:ascii="Inter" w:hAnsi="Inter" w:eastAsia="Inter"/>
                <w:sz w:val="18"/>
              </w:rPr>
              <w:t>For Members</w:t>
            </w:r>
          </w:p>
        </w:tc>
        <w:tc>
          <w:tcPr>
            <w:tcW w:type="dxa" w:w="1994"/>
            <w:tcMar>
              <w:top w:w="70" w:type="dxa"/>
              <w:start w:w="80" w:type="dxa"/>
              <w:bottom w:w="70" w:type="dxa"/>
              <w:end w:w="80" w:type="dxa"/>
            </w:tcMar>
            <w:vAlign w:val="top"/>
          </w:tcPr>
          <w:p>
            <w:r>
              <w:rPr>
                <w:rFonts w:ascii="Inter" w:hAnsi="Inter" w:eastAsia="Inter"/>
                <w:sz w:val="18"/>
              </w:rPr>
              <w:t>Member shown with personality and interests, not as a “recipient”</w:t>
            </w:r>
          </w:p>
        </w:tc>
        <w:tc>
          <w:tcPr>
            <w:tcW w:type="dxa" w:w="1994"/>
            <w:tcMar>
              <w:top w:w="70" w:type="dxa"/>
              <w:start w:w="80" w:type="dxa"/>
              <w:bottom w:w="70" w:type="dxa"/>
              <w:end w:w="80" w:type="dxa"/>
            </w:tcMar>
            <w:vAlign w:val="top"/>
          </w:tcPr>
          <w:p>
            <w:r>
              <w:rPr>
                <w:rFonts w:ascii="Inter" w:hAnsi="Inter" w:eastAsia="Inter"/>
                <w:sz w:val="18"/>
              </w:rPr>
              <w:t>Portrait or square</w:t>
            </w:r>
          </w:p>
        </w:tc>
        <w:tc>
          <w:tcPr>
            <w:tcW w:type="dxa" w:w="1994"/>
            <w:tcMar>
              <w:top w:w="70" w:type="dxa"/>
              <w:start w:w="80" w:type="dxa"/>
              <w:bottom w:w="70" w:type="dxa"/>
              <w:end w:w="80" w:type="dxa"/>
            </w:tcMar>
            <w:vAlign w:val="top"/>
          </w:tcPr>
          <w:p>
            <w:r>
              <w:rPr>
                <w:rFonts w:ascii="Inter" w:hAnsi="Inter" w:eastAsia="Inter"/>
                <w:sz w:val="18"/>
              </w:rPr>
              <w:t>Agency and individuality</w:t>
            </w:r>
          </w:p>
        </w:tc>
        <w:tc>
          <w:tcPr>
            <w:tcW w:type="dxa" w:w="1994"/>
            <w:tcMar>
              <w:top w:w="70" w:type="dxa"/>
              <w:start w:w="80" w:type="dxa"/>
              <w:bottom w:w="70" w:type="dxa"/>
              <w:end w:w="80" w:type="dxa"/>
            </w:tcMar>
            <w:vAlign w:val="top"/>
          </w:tcPr>
          <w:p>
            <w:r>
              <w:rPr>
                <w:rFonts w:ascii="Inter" w:hAnsi="Inter" w:eastAsia="Inter"/>
                <w:sz w:val="18"/>
              </w:rPr>
              <w:t>Passive seated stock imagery</w:t>
            </w:r>
          </w:p>
        </w:tc>
      </w:tr>
      <w:tr>
        <w:trPr>
          <w:cantSplit/>
        </w:trPr>
        <w:tc>
          <w:tcPr>
            <w:tcW w:type="dxa" w:w="1994"/>
            <w:tcMar>
              <w:top w:w="70" w:type="dxa"/>
              <w:start w:w="80" w:type="dxa"/>
              <w:bottom w:w="70" w:type="dxa"/>
              <w:end w:w="80" w:type="dxa"/>
            </w:tcMar>
            <w:vAlign w:val="top"/>
          </w:tcPr>
          <w:p>
            <w:r>
              <w:rPr>
                <w:rFonts w:ascii="Inter" w:hAnsi="Inter" w:eastAsia="Inter"/>
                <w:sz w:val="18"/>
              </w:rPr>
              <w:t>For Companions</w:t>
            </w:r>
          </w:p>
        </w:tc>
        <w:tc>
          <w:tcPr>
            <w:tcW w:type="dxa" w:w="1994"/>
            <w:tcMar>
              <w:top w:w="70" w:type="dxa"/>
              <w:start w:w="80" w:type="dxa"/>
              <w:bottom w:w="70" w:type="dxa"/>
              <w:end w:w="80" w:type="dxa"/>
            </w:tcMar>
            <w:vAlign w:val="top"/>
          </w:tcPr>
          <w:p>
            <w:r>
              <w:rPr>
                <w:rFonts w:ascii="Inter" w:hAnsi="Inter" w:eastAsia="Inter"/>
                <w:sz w:val="18"/>
              </w:rPr>
              <w:t>Companion in a calm home/work environment</w:t>
            </w:r>
          </w:p>
        </w:tc>
        <w:tc>
          <w:tcPr>
            <w:tcW w:type="dxa" w:w="1994"/>
            <w:tcMar>
              <w:top w:w="70" w:type="dxa"/>
              <w:start w:w="80" w:type="dxa"/>
              <w:bottom w:w="70" w:type="dxa"/>
              <w:end w:w="80" w:type="dxa"/>
            </w:tcMar>
            <w:vAlign w:val="top"/>
          </w:tcPr>
          <w:p>
            <w:r>
              <w:rPr>
                <w:rFonts w:ascii="Inter" w:hAnsi="Inter" w:eastAsia="Inter"/>
                <w:sz w:val="18"/>
              </w:rPr>
              <w:t>Portrait or square</w:t>
            </w:r>
          </w:p>
        </w:tc>
        <w:tc>
          <w:tcPr>
            <w:tcW w:type="dxa" w:w="1994"/>
            <w:tcMar>
              <w:top w:w="70" w:type="dxa"/>
              <w:start w:w="80" w:type="dxa"/>
              <w:bottom w:w="70" w:type="dxa"/>
              <w:end w:w="80" w:type="dxa"/>
            </w:tcMar>
            <w:vAlign w:val="top"/>
          </w:tcPr>
          <w:p>
            <w:r>
              <w:rPr>
                <w:rFonts w:ascii="Inter" w:hAnsi="Inter" w:eastAsia="Inter"/>
                <w:sz w:val="18"/>
              </w:rPr>
              <w:t>Reliability, curiosity and flexibility</w:t>
            </w:r>
          </w:p>
        </w:tc>
        <w:tc>
          <w:tcPr>
            <w:tcW w:type="dxa" w:w="1994"/>
            <w:tcMar>
              <w:top w:w="70" w:type="dxa"/>
              <w:start w:w="80" w:type="dxa"/>
              <w:bottom w:w="70" w:type="dxa"/>
              <w:end w:w="80" w:type="dxa"/>
            </w:tcMar>
            <w:vAlign w:val="top"/>
          </w:tcPr>
          <w:p>
            <w:r>
              <w:rPr>
                <w:rFonts w:ascii="Inter" w:hAnsi="Inter" w:eastAsia="Inter"/>
                <w:sz w:val="18"/>
              </w:rPr>
              <w:t>Gig-economy money imagery</w:t>
            </w:r>
          </w:p>
        </w:tc>
      </w:tr>
      <w:tr>
        <w:trPr>
          <w:cantSplit/>
        </w:trPr>
        <w:tc>
          <w:tcPr>
            <w:tcW w:type="dxa" w:w="1994"/>
            <w:tcMar>
              <w:top w:w="70" w:type="dxa"/>
              <w:start w:w="80" w:type="dxa"/>
              <w:bottom w:w="70" w:type="dxa"/>
              <w:end w:w="80" w:type="dxa"/>
            </w:tcMar>
            <w:vAlign w:val="top"/>
          </w:tcPr>
          <w:p>
            <w:r>
              <w:rPr>
                <w:rFonts w:ascii="Inter" w:hAnsi="Inter" w:eastAsia="Inter"/>
                <w:sz w:val="18"/>
              </w:rPr>
              <w:t>Trial</w:t>
            </w:r>
          </w:p>
        </w:tc>
        <w:tc>
          <w:tcPr>
            <w:tcW w:type="dxa" w:w="1994"/>
            <w:tcMar>
              <w:top w:w="70" w:type="dxa"/>
              <w:start w:w="80" w:type="dxa"/>
              <w:bottom w:w="70" w:type="dxa"/>
              <w:end w:w="80" w:type="dxa"/>
            </w:tcMar>
            <w:vAlign w:val="top"/>
          </w:tcPr>
          <w:p>
            <w:r>
              <w:rPr>
                <w:rFonts w:ascii="Inter" w:hAnsi="Inter" w:eastAsia="Inter"/>
                <w:sz w:val="18"/>
              </w:rPr>
              <w:t>Simple booking/review UI crop</w:t>
            </w:r>
          </w:p>
        </w:tc>
        <w:tc>
          <w:tcPr>
            <w:tcW w:type="dxa" w:w="1994"/>
            <w:tcMar>
              <w:top w:w="70" w:type="dxa"/>
              <w:start w:w="80" w:type="dxa"/>
              <w:bottom w:w="70" w:type="dxa"/>
              <w:end w:w="80" w:type="dxa"/>
            </w:tcMar>
            <w:vAlign w:val="top"/>
          </w:tcPr>
          <w:p>
            <w:r>
              <w:rPr>
                <w:rFonts w:ascii="Inter" w:hAnsi="Inter" w:eastAsia="Inter"/>
                <w:sz w:val="18"/>
              </w:rPr>
              <w:t>Landscape UI mock-up</w:t>
            </w:r>
          </w:p>
        </w:tc>
        <w:tc>
          <w:tcPr>
            <w:tcW w:type="dxa" w:w="1994"/>
            <w:tcMar>
              <w:top w:w="70" w:type="dxa"/>
              <w:start w:w="80" w:type="dxa"/>
              <w:bottom w:w="70" w:type="dxa"/>
              <w:end w:w="80" w:type="dxa"/>
            </w:tcMar>
            <w:vAlign w:val="top"/>
          </w:tcPr>
          <w:p>
            <w:r>
              <w:rPr>
                <w:rFonts w:ascii="Inter" w:hAnsi="Inter" w:eastAsia="Inter"/>
                <w:sz w:val="18"/>
              </w:rPr>
              <w:t>Low-friction first step</w:t>
            </w:r>
          </w:p>
        </w:tc>
        <w:tc>
          <w:tcPr>
            <w:tcW w:type="dxa" w:w="1994"/>
            <w:tcMar>
              <w:top w:w="70" w:type="dxa"/>
              <w:start w:w="80" w:type="dxa"/>
              <w:bottom w:w="70" w:type="dxa"/>
              <w:end w:w="80" w:type="dxa"/>
            </w:tcMar>
            <w:vAlign w:val="top"/>
          </w:tcPr>
          <w:p>
            <w:r>
              <w:rPr>
                <w:rFonts w:ascii="Inter" w:hAnsi="Inter" w:eastAsia="Inter"/>
                <w:sz w:val="18"/>
              </w:rPr>
              <w:t>Price badges dominating the section</w:t>
            </w:r>
          </w:p>
        </w:tc>
      </w:tr>
      <w:tr>
        <w:trPr>
          <w:cantSplit/>
        </w:trPr>
        <w:tc>
          <w:tcPr>
            <w:tcW w:type="dxa" w:w="1994"/>
            <w:tcMar>
              <w:top w:w="70" w:type="dxa"/>
              <w:start w:w="80" w:type="dxa"/>
              <w:bottom w:w="70" w:type="dxa"/>
              <w:end w:w="80" w:type="dxa"/>
            </w:tcMar>
            <w:vAlign w:val="top"/>
          </w:tcPr>
          <w:p>
            <w:r>
              <w:rPr>
                <w:rFonts w:ascii="Inter" w:hAnsi="Inter" w:eastAsia="Inter"/>
                <w:sz w:val="18"/>
              </w:rPr>
              <w:t>Safety</w:t>
            </w:r>
          </w:p>
        </w:tc>
        <w:tc>
          <w:tcPr>
            <w:tcW w:type="dxa" w:w="1994"/>
            <w:tcMar>
              <w:top w:w="70" w:type="dxa"/>
              <w:start w:w="80" w:type="dxa"/>
              <w:bottom w:w="70" w:type="dxa"/>
              <w:end w:w="80" w:type="dxa"/>
            </w:tcMar>
            <w:vAlign w:val="top"/>
          </w:tcPr>
          <w:p>
            <w:r>
              <w:rPr>
                <w:rFonts w:ascii="Inter" w:hAnsi="Inter" w:eastAsia="Inter"/>
                <w:sz w:val="18"/>
              </w:rPr>
              <w:t>Subtle shield, boundary or verified-flow illustration</w:t>
            </w:r>
          </w:p>
        </w:tc>
        <w:tc>
          <w:tcPr>
            <w:tcW w:type="dxa" w:w="1994"/>
            <w:tcMar>
              <w:top w:w="70" w:type="dxa"/>
              <w:start w:w="80" w:type="dxa"/>
              <w:bottom w:w="70" w:type="dxa"/>
              <w:end w:w="80" w:type="dxa"/>
            </w:tcMar>
            <w:vAlign w:val="top"/>
          </w:tcPr>
          <w:p>
            <w:r>
              <w:rPr>
                <w:rFonts w:ascii="Inter" w:hAnsi="Inter" w:eastAsia="Inter"/>
                <w:sz w:val="18"/>
              </w:rPr>
              <w:t>Icon set or UI detail</w:t>
            </w:r>
          </w:p>
        </w:tc>
        <w:tc>
          <w:tcPr>
            <w:tcW w:type="dxa" w:w="1994"/>
            <w:tcMar>
              <w:top w:w="70" w:type="dxa"/>
              <w:start w:w="80" w:type="dxa"/>
              <w:bottom w:w="70" w:type="dxa"/>
              <w:end w:w="80" w:type="dxa"/>
            </w:tcMar>
            <w:vAlign w:val="top"/>
          </w:tcPr>
          <w:p>
            <w:r>
              <w:rPr>
                <w:rFonts w:ascii="Inter" w:hAnsi="Inter" w:eastAsia="Inter"/>
                <w:sz w:val="18"/>
              </w:rPr>
              <w:t>Structure and reassurance</w:t>
            </w:r>
          </w:p>
        </w:tc>
        <w:tc>
          <w:tcPr>
            <w:tcW w:type="dxa" w:w="1994"/>
            <w:tcMar>
              <w:top w:w="70" w:type="dxa"/>
              <w:start w:w="80" w:type="dxa"/>
              <w:bottom w:w="70" w:type="dxa"/>
              <w:end w:w="80" w:type="dxa"/>
            </w:tcMar>
            <w:vAlign w:val="top"/>
          </w:tcPr>
          <w:p>
            <w:r>
              <w:rPr>
                <w:rFonts w:ascii="Inter" w:hAnsi="Inter" w:eastAsia="Inter"/>
                <w:sz w:val="18"/>
              </w:rPr>
              <w:t>Police, locks or alarmist imagery</w:t>
            </w:r>
          </w:p>
        </w:tc>
      </w:tr>
      <w:tr>
        <w:trPr>
          <w:cantSplit/>
        </w:trPr>
        <w:tc>
          <w:tcPr>
            <w:tcW w:type="dxa" w:w="1994"/>
            <w:tcMar>
              <w:top w:w="70" w:type="dxa"/>
              <w:start w:w="80" w:type="dxa"/>
              <w:bottom w:w="70" w:type="dxa"/>
              <w:end w:w="80" w:type="dxa"/>
            </w:tcMar>
            <w:vAlign w:val="top"/>
          </w:tcPr>
          <w:p>
            <w:r>
              <w:rPr>
                <w:rFonts w:ascii="Inter" w:hAnsi="Inter" w:eastAsia="Inter"/>
                <w:sz w:val="18"/>
              </w:rPr>
              <w:t>Stories</w:t>
            </w:r>
          </w:p>
        </w:tc>
        <w:tc>
          <w:tcPr>
            <w:tcW w:type="dxa" w:w="1994"/>
            <w:tcMar>
              <w:top w:w="70" w:type="dxa"/>
              <w:start w:w="80" w:type="dxa"/>
              <w:bottom w:w="70" w:type="dxa"/>
              <w:end w:w="80" w:type="dxa"/>
            </w:tcMar>
            <w:vAlign w:val="top"/>
          </w:tcPr>
          <w:p>
            <w:r>
              <w:rPr>
                <w:rFonts w:ascii="Inter" w:hAnsi="Inter" w:eastAsia="Inter"/>
                <w:sz w:val="18"/>
              </w:rPr>
              <w:t>Real consented portraits with short captions</w:t>
            </w:r>
          </w:p>
        </w:tc>
        <w:tc>
          <w:tcPr>
            <w:tcW w:type="dxa" w:w="1994"/>
            <w:tcMar>
              <w:top w:w="70" w:type="dxa"/>
              <w:start w:w="80" w:type="dxa"/>
              <w:bottom w:w="70" w:type="dxa"/>
              <w:end w:w="80" w:type="dxa"/>
            </w:tcMar>
            <w:vAlign w:val="top"/>
          </w:tcPr>
          <w:p>
            <w:r>
              <w:rPr>
                <w:rFonts w:ascii="Inter" w:hAnsi="Inter" w:eastAsia="Inter"/>
                <w:sz w:val="18"/>
              </w:rPr>
              <w:t>Portrait series</w:t>
            </w:r>
          </w:p>
        </w:tc>
        <w:tc>
          <w:tcPr>
            <w:tcW w:type="dxa" w:w="1994"/>
            <w:tcMar>
              <w:top w:w="70" w:type="dxa"/>
              <w:start w:w="80" w:type="dxa"/>
              <w:bottom w:w="70" w:type="dxa"/>
              <w:end w:w="80" w:type="dxa"/>
            </w:tcMar>
            <w:vAlign w:val="top"/>
          </w:tcPr>
          <w:p>
            <w:r>
              <w:rPr>
                <w:rFonts w:ascii="Inter" w:hAnsi="Inter" w:eastAsia="Inter"/>
                <w:sz w:val="18"/>
              </w:rPr>
              <w:t>Credibility and human detail</w:t>
            </w:r>
          </w:p>
        </w:tc>
        <w:tc>
          <w:tcPr>
            <w:tcW w:type="dxa" w:w="1994"/>
            <w:tcMar>
              <w:top w:w="70" w:type="dxa"/>
              <w:start w:w="80" w:type="dxa"/>
              <w:bottom w:w="70" w:type="dxa"/>
              <w:end w:w="80" w:type="dxa"/>
            </w:tcMar>
            <w:vAlign w:val="top"/>
          </w:tcPr>
          <w:p>
            <w:r>
              <w:rPr>
                <w:rFonts w:ascii="Inter" w:hAnsi="Inter" w:eastAsia="Inter"/>
                <w:sz w:val="18"/>
              </w:rPr>
              <w:t>Invented quotes or anonymous stock portraits</w:t>
            </w:r>
          </w:p>
        </w:tc>
      </w:tr>
    </w:tbl>
    <w:p>
      <w:pPr>
        <w:pStyle w:val="Heading1"/>
        <w:keepNext/>
      </w:pPr>
      <w:r>
        <w:t>9. Mobile copy hierarchy</w:t>
      </w:r>
    </w:p>
    <w:p>
      <w:pPr>
        <w:pStyle w:val="Lead"/>
        <w:spacing w:after="100"/>
      </w:pPr>
      <w:r>
        <w:rPr>
          <w:i w:val="0"/>
        </w:rPr>
        <w:t>The mobile homepage should feel like a sequence of clear decisions, not a long research document.</w:t>
      </w:r>
    </w:p>
    <w:p>
      <w:pPr>
        <w:pStyle w:val="Heading2"/>
        <w:keepNext/>
      </w:pPr>
      <w:r>
        <w:t>Above the fold</w:t>
      </w:r>
    </w:p>
    <w:p>
      <w:pPr>
        <w:pStyle w:val="ListBullet"/>
        <w:spacing w:after="40"/>
      </w:pPr>
      <w:r>
        <w:t>Apricoti name and a compact navigation menu.</w:t>
      </w:r>
    </w:p>
    <w:p>
      <w:pPr>
        <w:pStyle w:val="ListBullet"/>
        <w:spacing w:after="40"/>
      </w:pPr>
      <w:r>
        <w:t>Headline: “Regular conversation. Genuine connection.”</w:t>
      </w:r>
    </w:p>
    <w:p>
      <w:pPr>
        <w:pStyle w:val="ListBullet"/>
        <w:spacing w:after="40"/>
      </w:pPr>
      <w:r>
        <w:t>One two-sentence supporting paragraph.</w:t>
      </w:r>
    </w:p>
    <w:p>
      <w:pPr>
        <w:pStyle w:val="ListBullet"/>
        <w:spacing w:after="40"/>
      </w:pPr>
      <w:r>
        <w:t>Primary CTA: Find a Companion.</w:t>
      </w:r>
    </w:p>
    <w:p>
      <w:pPr>
        <w:pStyle w:val="ListBullet"/>
        <w:spacing w:after="40"/>
      </w:pPr>
      <w:r>
        <w:t>Secondary text link: Become a Companion.</w:t>
      </w:r>
    </w:p>
    <w:p>
      <w:pPr>
        <w:pStyle w:val="ListBullet"/>
        <w:spacing w:after="40"/>
      </w:pPr>
      <w:r>
        <w:t>One reassurance line: Start with one conversation.</w:t>
      </w:r>
    </w:p>
    <w:p>
      <w:pPr>
        <w:pStyle w:val="Heading2"/>
        <w:keepNext/>
      </w:pPr>
      <w:r>
        <w:t>Keep concise on mobile</w:t>
      </w:r>
    </w:p>
    <w:p>
      <w:pPr>
        <w:pStyle w:val="ListBullet"/>
        <w:spacing w:after="40"/>
      </w:pPr>
      <w:r>
        <w:t>Reassurance strip: three items maximum.</w:t>
      </w:r>
    </w:p>
    <w:p>
      <w:pPr>
        <w:pStyle w:val="ListBullet"/>
        <w:spacing w:after="40"/>
      </w:pPr>
      <w:r>
        <w:t>How it works: four compact cards, one sentence each.</w:t>
      </w:r>
    </w:p>
    <w:p>
      <w:pPr>
        <w:pStyle w:val="ListBullet"/>
        <w:spacing w:after="40"/>
      </w:pPr>
      <w:r>
        <w:t>Audience sections: one paragraph and one CTA each.</w:t>
      </w:r>
    </w:p>
    <w:p>
      <w:pPr>
        <w:pStyle w:val="ListBullet"/>
        <w:spacing w:after="40"/>
      </w:pPr>
      <w:r>
        <w:t>Safety: short summary and link to the full page.</w:t>
      </w:r>
    </w:p>
    <w:p>
      <w:pPr>
        <w:pStyle w:val="ListBullet"/>
        <w:spacing w:after="40"/>
      </w:pPr>
      <w:r>
        <w:t>FAQ: accordion; show the five most important questions first.</w:t>
      </w:r>
    </w:p>
    <w:p>
      <w:pPr>
        <w:pStyle w:val="Heading2"/>
        <w:keepNext/>
      </w:pPr>
      <w:r>
        <w:t>Move to supporting pages</w:t>
      </w:r>
    </w:p>
    <w:p>
      <w:pPr>
        <w:pStyle w:val="ListBullet"/>
        <w:spacing w:after="40"/>
      </w:pPr>
      <w:r>
        <w:t>Full public-health evidence and source notes.</w:t>
      </w:r>
    </w:p>
    <w:p>
      <w:pPr>
        <w:pStyle w:val="ListBullet"/>
        <w:spacing w:after="40"/>
      </w:pPr>
      <w:r>
        <w:t>Detailed fee explanation and cancellation policy.</w:t>
      </w:r>
    </w:p>
    <w:p>
      <w:pPr>
        <w:pStyle w:val="ListBullet"/>
        <w:spacing w:after="40"/>
      </w:pPr>
      <w:r>
        <w:t>Long safety and service-boundary content.</w:t>
      </w:r>
    </w:p>
    <w:p>
      <w:pPr>
        <w:pStyle w:val="ListBullet"/>
        <w:spacing w:after="40"/>
      </w:pPr>
      <w:r>
        <w:t>Companion standards and operational policies.</w:t>
      </w:r>
    </w:p>
    <w:p>
      <w:pPr>
        <w:pStyle w:val="Heading1"/>
        <w:keepNext/>
      </w:pPr>
      <w:r>
        <w:t>10. Evidence and claims register</w:t>
      </w:r>
    </w:p>
    <w:p>
      <w:pPr>
        <w:pStyle w:val="Lead"/>
        <w:spacing w:after="100"/>
      </w:pPr>
      <w:r>
        <w:rPr>
          <w:i w:val="0"/>
        </w:rPr>
        <w:t>The starter copy contains important ideas, but several statements are too absolute for a public landing page. The table below separates supported evidence from recommended marketing wording.</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blHeader w:val="true"/>
          <w:tblHeader w:val="true"/>
          <w:tblHeader w:val="true"/>
          <w:cantSplit/>
        </w:trPr>
        <w:tc>
          <w:tcPr>
            <w:tcW w:type="dxa" w:w="2493"/>
            <w:shd w:fill="FFF2E9"/>
            <w:vAlign w:val="top"/>
          </w:tcPr>
          <w:p>
            <w:r>
              <w:rPr>
                <w:rFonts w:ascii="Inter" w:hAnsi="Inter" w:eastAsia="Inter"/>
                <w:sz w:val="18"/>
              </w:rPr>
              <w:t>Starter claim</w:t>
            </w:r>
          </w:p>
        </w:tc>
        <w:tc>
          <w:tcPr>
            <w:tcW w:type="dxa" w:w="2493"/>
            <w:shd w:fill="FFF2E9"/>
            <w:vAlign w:val="top"/>
          </w:tcPr>
          <w:p>
            <w:r>
              <w:rPr>
                <w:rFonts w:ascii="Inter" w:hAnsi="Inter" w:eastAsia="Inter"/>
                <w:sz w:val="18"/>
              </w:rPr>
              <w:t>Recommendation</w:t>
            </w:r>
          </w:p>
        </w:tc>
        <w:tc>
          <w:tcPr>
            <w:tcW w:type="dxa" w:w="2493"/>
            <w:shd w:fill="FFF2E9"/>
            <w:vAlign w:val="top"/>
          </w:tcPr>
          <w:p>
            <w:r>
              <w:rPr>
                <w:rFonts w:ascii="Inter" w:hAnsi="Inter" w:eastAsia="Inter"/>
                <w:sz w:val="18"/>
              </w:rPr>
              <w:t>Reason / safer wording</w:t>
            </w:r>
          </w:p>
        </w:tc>
        <w:tc>
          <w:tcPr>
            <w:tcW w:type="dxa" w:w="2493"/>
            <w:shd w:fill="FFF2E9"/>
            <w:vAlign w:val="top"/>
          </w:tcPr>
          <w:p>
            <w:r>
              <w:rPr>
                <w:rFonts w:ascii="Inter" w:hAnsi="Inter" w:eastAsia="Inter"/>
                <w:sz w:val="18"/>
              </w:rPr>
              <w:t>Status</w:t>
            </w:r>
          </w:p>
        </w:tc>
      </w:tr>
      <w:tr>
        <w:trPr>
          <w:cantSplit/>
        </w:trPr>
        <w:tc>
          <w:tcPr>
            <w:tcW w:type="dxa" w:w="2493"/>
            <w:tcMar>
              <w:top w:w="70" w:type="dxa"/>
              <w:start w:w="75" w:type="dxa"/>
              <w:bottom w:w="70" w:type="dxa"/>
              <w:end w:w="75" w:type="dxa"/>
            </w:tcMar>
            <w:vAlign w:val="top"/>
          </w:tcPr>
          <w:p>
            <w:r>
              <w:rPr>
                <w:rFonts w:ascii="Inter" w:hAnsi="Inter" w:eastAsia="Inter"/>
                <w:sz w:val="18"/>
              </w:rPr>
              <w:t>“Loneliness kills.”</w:t>
            </w:r>
          </w:p>
        </w:tc>
        <w:tc>
          <w:tcPr>
            <w:tcW w:type="dxa" w:w="2493"/>
            <w:tcMar>
              <w:top w:w="70" w:type="dxa"/>
              <w:start w:w="75" w:type="dxa"/>
              <w:bottom w:w="70" w:type="dxa"/>
              <w:end w:w="75" w:type="dxa"/>
            </w:tcMar>
            <w:vAlign w:val="top"/>
          </w:tcPr>
          <w:p>
            <w:r>
              <w:rPr>
                <w:rFonts w:ascii="Inter" w:hAnsi="Inter" w:eastAsia="Inter"/>
                <w:sz w:val="18"/>
              </w:rPr>
              <w:t>Do not use as the homepage headline.</w:t>
            </w:r>
          </w:p>
        </w:tc>
        <w:tc>
          <w:tcPr>
            <w:tcW w:type="dxa" w:w="2493"/>
            <w:tcMar>
              <w:top w:w="70" w:type="dxa"/>
              <w:start w:w="75" w:type="dxa"/>
              <w:bottom w:w="70" w:type="dxa"/>
              <w:end w:w="75" w:type="dxa"/>
            </w:tcMar>
            <w:vAlign w:val="top"/>
          </w:tcPr>
          <w:p>
            <w:r>
              <w:rPr>
                <w:rFonts w:ascii="Inter" w:hAnsi="Inter" w:eastAsia="Inter"/>
                <w:sz w:val="18"/>
              </w:rPr>
              <w:t>Alarmist and absolute. It can be softened to “Loneliness and social isolation are serious public-health concerns.”</w:t>
            </w:r>
          </w:p>
        </w:tc>
        <w:tc>
          <w:tcPr>
            <w:tcW w:type="dxa" w:w="2493"/>
            <w:tcMar>
              <w:top w:w="70" w:type="dxa"/>
              <w:start w:w="75" w:type="dxa"/>
              <w:bottom w:w="70" w:type="dxa"/>
              <w:end w:w="75" w:type="dxa"/>
            </w:tcMar>
            <w:vAlign w:val="top"/>
          </w:tcPr>
          <w:p>
            <w:r>
              <w:rPr>
                <w:rFonts w:ascii="Inter" w:hAnsi="Inter" w:eastAsia="Inter"/>
                <w:sz w:val="18"/>
              </w:rPr>
              <w:t>Supported with careful wording by WHO 2025.</w:t>
            </w:r>
          </w:p>
        </w:tc>
      </w:tr>
      <w:tr>
        <w:trPr>
          <w:cantSplit/>
        </w:trPr>
        <w:tc>
          <w:tcPr>
            <w:tcW w:type="dxa" w:w="2493"/>
            <w:tcMar>
              <w:top w:w="70" w:type="dxa"/>
              <w:start w:w="75" w:type="dxa"/>
              <w:bottom w:w="70" w:type="dxa"/>
              <w:end w:w="75" w:type="dxa"/>
            </w:tcMar>
            <w:vAlign w:val="top"/>
          </w:tcPr>
          <w:p>
            <w:r>
              <w:rPr>
                <w:rFonts w:ascii="Inter" w:hAnsi="Inter" w:eastAsia="Inter"/>
                <w:sz w:val="18"/>
              </w:rPr>
              <w:t>“One in six people worldwide experiences loneliness.”</w:t>
            </w:r>
          </w:p>
        </w:tc>
        <w:tc>
          <w:tcPr>
            <w:tcW w:type="dxa" w:w="2493"/>
            <w:tcMar>
              <w:top w:w="70" w:type="dxa"/>
              <w:start w:w="75" w:type="dxa"/>
              <w:bottom w:w="70" w:type="dxa"/>
              <w:end w:w="75" w:type="dxa"/>
            </w:tcMar>
            <w:vAlign w:val="top"/>
          </w:tcPr>
          <w:p>
            <w:r>
              <w:rPr>
                <w:rFonts w:ascii="Inter" w:hAnsi="Inter" w:eastAsia="Inter"/>
                <w:sz w:val="18"/>
              </w:rPr>
              <w:t>Suitable as a supporting fact with a source.</w:t>
            </w:r>
          </w:p>
        </w:tc>
        <w:tc>
          <w:tcPr>
            <w:tcW w:type="dxa" w:w="2493"/>
            <w:tcMar>
              <w:top w:w="70" w:type="dxa"/>
              <w:start w:w="75" w:type="dxa"/>
              <w:bottom w:w="70" w:type="dxa"/>
              <w:end w:w="75" w:type="dxa"/>
            </w:tcMar>
            <w:vAlign w:val="top"/>
          </w:tcPr>
          <w:p>
            <w:r>
              <w:rPr>
                <w:rFonts w:ascii="Inter" w:hAnsi="Inter" w:eastAsia="Inter"/>
                <w:sz w:val="18"/>
              </w:rPr>
              <w:t>Use the WHO wording and avoid implying it applies only to older adults.</w:t>
            </w:r>
          </w:p>
        </w:tc>
        <w:tc>
          <w:tcPr>
            <w:tcW w:type="dxa" w:w="2493"/>
            <w:tcMar>
              <w:top w:w="70" w:type="dxa"/>
              <w:start w:w="75" w:type="dxa"/>
              <w:bottom w:w="70" w:type="dxa"/>
              <w:end w:w="75" w:type="dxa"/>
            </w:tcMar>
            <w:vAlign w:val="top"/>
          </w:tcPr>
          <w:p>
            <w:r>
              <w:rPr>
                <w:rFonts w:ascii="Inter" w:hAnsi="Inter" w:eastAsia="Inter"/>
                <w:sz w:val="18"/>
              </w:rPr>
              <w:t>Supported now. WHO Commission on Social Connection, 2025.</w:t>
            </w:r>
          </w:p>
        </w:tc>
      </w:tr>
      <w:tr>
        <w:trPr>
          <w:cantSplit/>
        </w:trPr>
        <w:tc>
          <w:tcPr>
            <w:tcW w:type="dxa" w:w="2493"/>
            <w:tcMar>
              <w:top w:w="70" w:type="dxa"/>
              <w:start w:w="75" w:type="dxa"/>
              <w:bottom w:w="70" w:type="dxa"/>
              <w:end w:w="75" w:type="dxa"/>
            </w:tcMar>
            <w:vAlign w:val="top"/>
          </w:tcPr>
          <w:p>
            <w:r>
              <w:rPr>
                <w:rFonts w:ascii="Inter" w:hAnsi="Inter" w:eastAsia="Inter"/>
                <w:sz w:val="18"/>
              </w:rPr>
              <w:t>“Loneliness is linked to about 871,000 deaths a year.”</w:t>
            </w:r>
          </w:p>
        </w:tc>
        <w:tc>
          <w:tcPr>
            <w:tcW w:type="dxa" w:w="2493"/>
            <w:tcMar>
              <w:top w:w="70" w:type="dxa"/>
              <w:start w:w="75" w:type="dxa"/>
              <w:bottom w:w="70" w:type="dxa"/>
              <w:end w:w="75" w:type="dxa"/>
            </w:tcMar>
            <w:vAlign w:val="top"/>
          </w:tcPr>
          <w:p>
            <w:r>
              <w:rPr>
                <w:rFonts w:ascii="Inter" w:hAnsi="Inter" w:eastAsia="Inter"/>
                <w:sz w:val="18"/>
              </w:rPr>
              <w:t>Suitable for a mission/evidence page, not the main hero.</w:t>
            </w:r>
          </w:p>
        </w:tc>
        <w:tc>
          <w:tcPr>
            <w:tcW w:type="dxa" w:w="2493"/>
            <w:tcMar>
              <w:top w:w="70" w:type="dxa"/>
              <w:start w:w="75" w:type="dxa"/>
              <w:bottom w:w="70" w:type="dxa"/>
              <w:end w:w="75" w:type="dxa"/>
            </w:tcMar>
            <w:vAlign w:val="top"/>
          </w:tcPr>
          <w:p>
            <w:r>
              <w:rPr>
                <w:rFonts w:ascii="Inter" w:hAnsi="Inter" w:eastAsia="Inter"/>
                <w:sz w:val="18"/>
              </w:rPr>
              <w:t>Use “linked to” or “associated with”, not “causes”.</w:t>
            </w:r>
          </w:p>
        </w:tc>
        <w:tc>
          <w:tcPr>
            <w:tcW w:type="dxa" w:w="2493"/>
            <w:tcMar>
              <w:top w:w="70" w:type="dxa"/>
              <w:start w:w="75" w:type="dxa"/>
              <w:bottom w:w="70" w:type="dxa"/>
              <w:end w:w="75" w:type="dxa"/>
            </w:tcMar>
            <w:vAlign w:val="top"/>
          </w:tcPr>
          <w:p>
            <w:r>
              <w:rPr>
                <w:rFonts w:ascii="Inter" w:hAnsi="Inter" w:eastAsia="Inter"/>
                <w:sz w:val="18"/>
              </w:rPr>
              <w:t>Supported with careful wording by WHO 2025.</w:t>
            </w:r>
          </w:p>
        </w:tc>
      </w:tr>
      <w:tr>
        <w:trPr>
          <w:cantSplit/>
        </w:trPr>
        <w:tc>
          <w:tcPr>
            <w:tcW w:type="dxa" w:w="2493"/>
            <w:tcMar>
              <w:top w:w="70" w:type="dxa"/>
              <w:start w:w="75" w:type="dxa"/>
              <w:bottom w:w="70" w:type="dxa"/>
              <w:end w:w="75" w:type="dxa"/>
            </w:tcMar>
            <w:vAlign w:val="top"/>
          </w:tcPr>
          <w:p>
            <w:r>
              <w:rPr>
                <w:rFonts w:ascii="Inter" w:hAnsi="Inter" w:eastAsia="Inter"/>
                <w:sz w:val="18"/>
              </w:rPr>
              <w:t>“Comparable to smoking 15 cigarettes per day.”</w:t>
            </w:r>
          </w:p>
        </w:tc>
        <w:tc>
          <w:tcPr>
            <w:tcW w:type="dxa" w:w="2493"/>
            <w:tcMar>
              <w:top w:w="70" w:type="dxa"/>
              <w:start w:w="75" w:type="dxa"/>
              <w:bottom w:w="70" w:type="dxa"/>
              <w:end w:w="75" w:type="dxa"/>
            </w:tcMar>
            <w:vAlign w:val="top"/>
          </w:tcPr>
          <w:p>
            <w:r>
              <w:rPr>
                <w:rFonts w:ascii="Inter" w:hAnsi="Inter" w:eastAsia="Inter"/>
                <w:sz w:val="18"/>
              </w:rPr>
              <w:t>Not recommended for the homepage.</w:t>
            </w:r>
          </w:p>
        </w:tc>
        <w:tc>
          <w:tcPr>
            <w:tcW w:type="dxa" w:w="2493"/>
            <w:tcMar>
              <w:top w:w="70" w:type="dxa"/>
              <w:start w:w="75" w:type="dxa"/>
              <w:bottom w:w="70" w:type="dxa"/>
              <w:end w:w="75" w:type="dxa"/>
            </w:tcMar>
            <w:vAlign w:val="top"/>
          </w:tcPr>
          <w:p>
            <w:r>
              <w:rPr>
                <w:rFonts w:ascii="Inter" w:hAnsi="Inter" w:eastAsia="Inter"/>
                <w:sz w:val="18"/>
              </w:rPr>
              <w:t>The U.S. Surgeon General comparison concerns the mortality impact of social disconnection, and is frequently oversimplified as a loneliness claim. Use only with exact attribution and context.</w:t>
            </w:r>
          </w:p>
        </w:tc>
        <w:tc>
          <w:tcPr>
            <w:tcW w:type="dxa" w:w="2493"/>
            <w:tcMar>
              <w:top w:w="70" w:type="dxa"/>
              <w:start w:w="75" w:type="dxa"/>
              <w:bottom w:w="70" w:type="dxa"/>
              <w:end w:w="75" w:type="dxa"/>
            </w:tcMar>
            <w:vAlign w:val="top"/>
          </w:tcPr>
          <w:p>
            <w:r>
              <w:rPr>
                <w:rFonts w:ascii="Inter" w:hAnsi="Inter" w:eastAsia="Inter"/>
                <w:sz w:val="18"/>
              </w:rPr>
              <w:t>Supported but easy to misuse.</w:t>
            </w:r>
          </w:p>
        </w:tc>
      </w:tr>
      <w:tr>
        <w:trPr>
          <w:cantSplit/>
        </w:trPr>
        <w:tc>
          <w:tcPr>
            <w:tcW w:type="dxa" w:w="2493"/>
            <w:tcMar>
              <w:top w:w="70" w:type="dxa"/>
              <w:start w:w="75" w:type="dxa"/>
              <w:bottom w:w="70" w:type="dxa"/>
              <w:end w:w="75" w:type="dxa"/>
            </w:tcMar>
            <w:vAlign w:val="top"/>
          </w:tcPr>
          <w:p>
            <w:r>
              <w:rPr>
                <w:rFonts w:ascii="Inter" w:hAnsi="Inter" w:eastAsia="Inter"/>
                <w:sz w:val="18"/>
              </w:rPr>
              <w:t>“Increases premature death by a third.”</w:t>
            </w:r>
          </w:p>
        </w:tc>
        <w:tc>
          <w:tcPr>
            <w:tcW w:type="dxa" w:w="2493"/>
            <w:tcMar>
              <w:top w:w="70" w:type="dxa"/>
              <w:start w:w="75" w:type="dxa"/>
              <w:bottom w:w="70" w:type="dxa"/>
              <w:end w:w="75" w:type="dxa"/>
            </w:tcMar>
            <w:vAlign w:val="top"/>
          </w:tcPr>
          <w:p>
            <w:r>
              <w:rPr>
                <w:rFonts w:ascii="Inter" w:hAnsi="Inter" w:eastAsia="Inter"/>
                <w:sz w:val="18"/>
              </w:rPr>
              <w:t>Do not use in this form.</w:t>
            </w:r>
          </w:p>
        </w:tc>
        <w:tc>
          <w:tcPr>
            <w:tcW w:type="dxa" w:w="2493"/>
            <w:tcMar>
              <w:top w:w="70" w:type="dxa"/>
              <w:start w:w="75" w:type="dxa"/>
              <w:bottom w:w="70" w:type="dxa"/>
              <w:end w:w="75" w:type="dxa"/>
            </w:tcMar>
            <w:vAlign w:val="top"/>
          </w:tcPr>
          <w:p>
            <w:r>
              <w:rPr>
                <w:rFonts w:ascii="Inter" w:hAnsi="Inter" w:eastAsia="Inter"/>
                <w:sz w:val="18"/>
              </w:rPr>
              <w:t>A U.S. Surgeon General fact card cites a 29% increased risk associated with social isolation. Do not round it into a causal “third” claim.</w:t>
            </w:r>
          </w:p>
        </w:tc>
        <w:tc>
          <w:tcPr>
            <w:tcW w:type="dxa" w:w="2493"/>
            <w:tcMar>
              <w:top w:w="70" w:type="dxa"/>
              <w:start w:w="75" w:type="dxa"/>
              <w:bottom w:w="70" w:type="dxa"/>
              <w:end w:w="75" w:type="dxa"/>
            </w:tcMar>
            <w:vAlign w:val="top"/>
          </w:tcPr>
          <w:p>
            <w:r>
              <w:rPr>
                <w:rFonts w:ascii="Inter" w:hAnsi="Inter" w:eastAsia="Inter"/>
                <w:sz w:val="18"/>
              </w:rPr>
              <w:t>Supported with careful wording.</w:t>
            </w:r>
          </w:p>
        </w:tc>
      </w:tr>
      <w:tr>
        <w:trPr>
          <w:cantSplit/>
        </w:trPr>
        <w:tc>
          <w:tcPr>
            <w:tcW w:type="dxa" w:w="2493"/>
            <w:tcMar>
              <w:top w:w="70" w:type="dxa"/>
              <w:start w:w="75" w:type="dxa"/>
              <w:bottom w:w="70" w:type="dxa"/>
              <w:end w:w="75" w:type="dxa"/>
            </w:tcMar>
            <w:vAlign w:val="top"/>
          </w:tcPr>
          <w:p>
            <w:r>
              <w:rPr>
                <w:rFonts w:ascii="Inter" w:hAnsi="Inter" w:eastAsia="Inter"/>
                <w:sz w:val="18"/>
              </w:rPr>
              <w:t>“Social isolation causes sustained stress, systemic inflammation and suppressed immunity.”</w:t>
            </w:r>
          </w:p>
        </w:tc>
        <w:tc>
          <w:tcPr>
            <w:tcW w:type="dxa" w:w="2493"/>
            <w:tcMar>
              <w:top w:w="70" w:type="dxa"/>
              <w:start w:w="75" w:type="dxa"/>
              <w:bottom w:w="70" w:type="dxa"/>
              <w:end w:w="75" w:type="dxa"/>
            </w:tcMar>
            <w:vAlign w:val="top"/>
          </w:tcPr>
          <w:p>
            <w:r>
              <w:rPr>
                <w:rFonts w:ascii="Inter" w:hAnsi="Inter" w:eastAsia="Inter"/>
                <w:sz w:val="18"/>
              </w:rPr>
              <w:t>Remove from current homepage copy.</w:t>
            </w:r>
          </w:p>
        </w:tc>
        <w:tc>
          <w:tcPr>
            <w:tcW w:type="dxa" w:w="2493"/>
            <w:tcMar>
              <w:top w:w="70" w:type="dxa"/>
              <w:start w:w="75" w:type="dxa"/>
              <w:bottom w:w="70" w:type="dxa"/>
              <w:end w:w="75" w:type="dxa"/>
            </w:tcMar>
            <w:vAlign w:val="top"/>
          </w:tcPr>
          <w:p>
            <w:r>
              <w:rPr>
                <w:rFonts w:ascii="Inter" w:hAnsi="Inter" w:eastAsia="Inter"/>
                <w:sz w:val="18"/>
              </w:rPr>
              <w:t>This makes a broad causal and mechanistic claim. It would require direct scientific sourcing and careful medical review.</w:t>
            </w:r>
          </w:p>
        </w:tc>
        <w:tc>
          <w:tcPr>
            <w:tcW w:type="dxa" w:w="2493"/>
            <w:tcMar>
              <w:top w:w="70" w:type="dxa"/>
              <w:start w:w="75" w:type="dxa"/>
              <w:bottom w:w="70" w:type="dxa"/>
              <w:end w:w="75" w:type="dxa"/>
            </w:tcMar>
            <w:vAlign w:val="top"/>
          </w:tcPr>
          <w:p>
            <w:r>
              <w:rPr>
                <w:rFonts w:ascii="Inter" w:hAnsi="Inter" w:eastAsia="Inter"/>
                <w:sz w:val="18"/>
              </w:rPr>
              <w:t>Requires evidence/legal review.</w:t>
            </w:r>
          </w:p>
        </w:tc>
      </w:tr>
      <w:tr>
        <w:trPr>
          <w:cantSplit/>
        </w:trPr>
        <w:tc>
          <w:tcPr>
            <w:tcW w:type="dxa" w:w="2493"/>
            <w:tcMar>
              <w:top w:w="70" w:type="dxa"/>
              <w:start w:w="75" w:type="dxa"/>
              <w:bottom w:w="70" w:type="dxa"/>
              <w:end w:w="75" w:type="dxa"/>
            </w:tcMar>
            <w:vAlign w:val="top"/>
          </w:tcPr>
          <w:p>
            <w:r>
              <w:rPr>
                <w:rFonts w:ascii="Inter" w:hAnsi="Inter" w:eastAsia="Inter"/>
                <w:sz w:val="18"/>
              </w:rPr>
              <w:t>“Social isolation drives heart disease, diabetes and dementia.”</w:t>
            </w:r>
          </w:p>
        </w:tc>
        <w:tc>
          <w:tcPr>
            <w:tcW w:type="dxa" w:w="2493"/>
            <w:tcMar>
              <w:top w:w="70" w:type="dxa"/>
              <w:start w:w="75" w:type="dxa"/>
              <w:bottom w:w="70" w:type="dxa"/>
              <w:end w:w="75" w:type="dxa"/>
            </w:tcMar>
            <w:vAlign w:val="top"/>
          </w:tcPr>
          <w:p>
            <w:r>
              <w:rPr>
                <w:rFonts w:ascii="Inter" w:hAnsi="Inter" w:eastAsia="Inter"/>
                <w:sz w:val="18"/>
              </w:rPr>
              <w:t>Rewrite as an association.</w:t>
            </w:r>
          </w:p>
        </w:tc>
        <w:tc>
          <w:tcPr>
            <w:tcW w:type="dxa" w:w="2493"/>
            <w:tcMar>
              <w:top w:w="70" w:type="dxa"/>
              <w:start w:w="75" w:type="dxa"/>
              <w:bottom w:w="70" w:type="dxa"/>
              <w:end w:w="75" w:type="dxa"/>
            </w:tcMar>
            <w:vAlign w:val="top"/>
          </w:tcPr>
          <w:p>
            <w:r>
              <w:rPr>
                <w:rFonts w:ascii="Inter" w:hAnsi="Inter" w:eastAsia="Inter"/>
                <w:sz w:val="18"/>
              </w:rPr>
              <w:t>Suggested: “Social isolation and loneliness have been associated with higher risks of heart disease, stroke, type 2 diabetes, depression, anxiety, dementia and earlier death.”</w:t>
            </w:r>
          </w:p>
        </w:tc>
        <w:tc>
          <w:tcPr>
            <w:tcW w:type="dxa" w:w="2493"/>
            <w:tcMar>
              <w:top w:w="70" w:type="dxa"/>
              <w:start w:w="75" w:type="dxa"/>
              <w:bottom w:w="70" w:type="dxa"/>
              <w:end w:w="75" w:type="dxa"/>
            </w:tcMar>
            <w:vAlign w:val="top"/>
          </w:tcPr>
          <w:p>
            <w:r>
              <w:rPr>
                <w:rFonts w:ascii="Inter" w:hAnsi="Inter" w:eastAsia="Inter"/>
                <w:sz w:val="18"/>
              </w:rPr>
              <w:t>Supported with careful wording by CDC/WHO.</w:t>
            </w:r>
          </w:p>
        </w:tc>
      </w:tr>
      <w:tr>
        <w:trPr>
          <w:cantSplit/>
        </w:trPr>
        <w:tc>
          <w:tcPr>
            <w:tcW w:type="dxa" w:w="2493"/>
            <w:tcMar>
              <w:top w:w="70" w:type="dxa"/>
              <w:start w:w="75" w:type="dxa"/>
              <w:bottom w:w="70" w:type="dxa"/>
              <w:end w:w="75" w:type="dxa"/>
            </w:tcMar>
            <w:vAlign w:val="top"/>
          </w:tcPr>
          <w:p>
            <w:r>
              <w:rPr>
                <w:rFonts w:ascii="Inter" w:hAnsi="Inter" w:eastAsia="Inter"/>
                <w:sz w:val="18"/>
              </w:rPr>
              <w:t>“Apricoti tackles loneliness.”</w:t>
            </w:r>
          </w:p>
        </w:tc>
        <w:tc>
          <w:tcPr>
            <w:tcW w:type="dxa" w:w="2493"/>
            <w:tcMar>
              <w:top w:w="70" w:type="dxa"/>
              <w:start w:w="75" w:type="dxa"/>
              <w:bottom w:w="70" w:type="dxa"/>
              <w:end w:w="75" w:type="dxa"/>
            </w:tcMar>
            <w:vAlign w:val="top"/>
          </w:tcPr>
          <w:p>
            <w:r>
              <w:rPr>
                <w:rFonts w:ascii="Inter" w:hAnsi="Inter" w:eastAsia="Inter"/>
                <w:sz w:val="18"/>
              </w:rPr>
              <w:t>Use as mission language, not an outcome guarantee.</w:t>
            </w:r>
          </w:p>
        </w:tc>
        <w:tc>
          <w:tcPr>
            <w:tcW w:type="dxa" w:w="2493"/>
            <w:tcMar>
              <w:top w:w="70" w:type="dxa"/>
              <w:start w:w="75" w:type="dxa"/>
              <w:bottom w:w="70" w:type="dxa"/>
              <w:end w:w="75" w:type="dxa"/>
            </w:tcMar>
            <w:vAlign w:val="top"/>
          </w:tcPr>
          <w:p>
            <w:r>
              <w:rPr>
                <w:rFonts w:ascii="Inter" w:hAnsi="Inter" w:eastAsia="Inter"/>
                <w:sz w:val="18"/>
              </w:rPr>
              <w:t>Suggested: “Apricoti aims to make regular social connection easier to arrange.”</w:t>
            </w:r>
          </w:p>
        </w:tc>
        <w:tc>
          <w:tcPr>
            <w:tcW w:type="dxa" w:w="2493"/>
            <w:tcMar>
              <w:top w:w="70" w:type="dxa"/>
              <w:start w:w="75" w:type="dxa"/>
              <w:bottom w:w="70" w:type="dxa"/>
              <w:end w:w="75" w:type="dxa"/>
            </w:tcMar>
            <w:vAlign w:val="top"/>
          </w:tcPr>
          <w:p>
            <w:r>
              <w:rPr>
                <w:rFonts w:ascii="Inter" w:hAnsi="Inter" w:eastAsia="Inter"/>
                <w:sz w:val="18"/>
              </w:rPr>
              <w:t>Business positioning; avoid promised clinical outcome.</w:t>
            </w:r>
          </w:p>
        </w:tc>
      </w:tr>
      <w:tr>
        <w:trPr>
          <w:cantSplit/>
        </w:trPr>
        <w:tc>
          <w:tcPr>
            <w:tcW w:type="dxa" w:w="2493"/>
            <w:tcMar>
              <w:top w:w="70" w:type="dxa"/>
              <w:start w:w="75" w:type="dxa"/>
              <w:bottom w:w="70" w:type="dxa"/>
              <w:end w:w="75" w:type="dxa"/>
            </w:tcMar>
            <w:vAlign w:val="top"/>
          </w:tcPr>
          <w:p>
            <w:r>
              <w:rPr>
                <w:rFonts w:ascii="Inter" w:hAnsi="Inter" w:eastAsia="Inter"/>
                <w:sz w:val="18"/>
              </w:rPr>
              <w:t>“Secure platform.”</w:t>
            </w:r>
          </w:p>
        </w:tc>
        <w:tc>
          <w:tcPr>
            <w:tcW w:type="dxa" w:w="2493"/>
            <w:tcMar>
              <w:top w:w="70" w:type="dxa"/>
              <w:start w:w="75" w:type="dxa"/>
              <w:bottom w:w="70" w:type="dxa"/>
              <w:end w:w="75" w:type="dxa"/>
            </w:tcMar>
            <w:vAlign w:val="top"/>
          </w:tcPr>
          <w:p>
            <w:r>
              <w:rPr>
                <w:rFonts w:ascii="Inter" w:hAnsi="Inter" w:eastAsia="Inter"/>
                <w:sz w:val="18"/>
              </w:rPr>
              <w:t>Publish only after production verification.</w:t>
            </w:r>
          </w:p>
        </w:tc>
        <w:tc>
          <w:tcPr>
            <w:tcW w:type="dxa" w:w="2493"/>
            <w:tcMar>
              <w:top w:w="70" w:type="dxa"/>
              <w:start w:w="75" w:type="dxa"/>
              <w:bottom w:w="70" w:type="dxa"/>
              <w:end w:w="75" w:type="dxa"/>
            </w:tcMar>
            <w:vAlign w:val="top"/>
          </w:tcPr>
          <w:p>
            <w:r>
              <w:rPr>
                <w:rFonts w:ascii="Inter" w:hAnsi="Inter" w:eastAsia="Inter"/>
                <w:sz w:val="18"/>
              </w:rPr>
              <w:t>State the specific safeguards rather than a broad unqualified security claim.</w:t>
            </w:r>
          </w:p>
        </w:tc>
        <w:tc>
          <w:tcPr>
            <w:tcW w:type="dxa" w:w="2493"/>
            <w:tcMar>
              <w:top w:w="70" w:type="dxa"/>
              <w:start w:w="75" w:type="dxa"/>
              <w:bottom w:w="70" w:type="dxa"/>
              <w:end w:w="75" w:type="dxa"/>
            </w:tcMar>
            <w:vAlign w:val="top"/>
          </w:tcPr>
          <w:p>
            <w:r>
              <w:rPr>
                <w:rFonts w:ascii="Inter" w:hAnsi="Inter" w:eastAsia="Inter"/>
                <w:sz w:val="18"/>
              </w:rPr>
              <w:t>Planned/needs operational confirmation.</w:t>
            </w:r>
          </w:p>
        </w:tc>
      </w:tr>
      <w:tr>
        <w:trPr>
          <w:cantSplit/>
        </w:trPr>
        <w:tc>
          <w:tcPr>
            <w:tcW w:type="dxa" w:w="2493"/>
            <w:tcMar>
              <w:top w:w="70" w:type="dxa"/>
              <w:start w:w="75" w:type="dxa"/>
              <w:bottom w:w="70" w:type="dxa"/>
              <w:end w:w="75" w:type="dxa"/>
            </w:tcMar>
            <w:vAlign w:val="top"/>
          </w:tcPr>
          <w:p>
            <w:r>
              <w:rPr>
                <w:rFonts w:ascii="Inter" w:hAnsi="Inter" w:eastAsia="Inter"/>
                <w:sz w:val="18"/>
              </w:rPr>
              <w:t>“Small administrative fee.”</w:t>
            </w:r>
          </w:p>
        </w:tc>
        <w:tc>
          <w:tcPr>
            <w:tcW w:type="dxa" w:w="2493"/>
            <w:tcMar>
              <w:top w:w="70" w:type="dxa"/>
              <w:start w:w="75" w:type="dxa"/>
              <w:bottom w:w="70" w:type="dxa"/>
              <w:end w:w="75" w:type="dxa"/>
            </w:tcMar>
            <w:vAlign w:val="top"/>
          </w:tcPr>
          <w:p>
            <w:r>
              <w:rPr>
                <w:rFonts w:ascii="Inter" w:hAnsi="Inter" w:eastAsia="Inter"/>
                <w:sz w:val="18"/>
              </w:rPr>
              <w:t>Replace with transparent fee wording.</w:t>
            </w:r>
          </w:p>
        </w:tc>
        <w:tc>
          <w:tcPr>
            <w:tcW w:type="dxa" w:w="2493"/>
            <w:tcMar>
              <w:top w:w="70" w:type="dxa"/>
              <w:start w:w="75" w:type="dxa"/>
              <w:bottom w:w="70" w:type="dxa"/>
              <w:end w:w="75" w:type="dxa"/>
            </w:tcMar>
            <w:vAlign w:val="top"/>
          </w:tcPr>
          <w:p>
            <w:r>
              <w:rPr>
                <w:rFonts w:ascii="Inter" w:hAnsi="Inter" w:eastAsia="Inter"/>
                <w:sz w:val="18"/>
              </w:rPr>
              <w:t>Suggested: “Any service fee is shown clearly before payment.”</w:t>
            </w:r>
          </w:p>
        </w:tc>
        <w:tc>
          <w:tcPr>
            <w:tcW w:type="dxa" w:w="2493"/>
            <w:tcMar>
              <w:top w:w="70" w:type="dxa"/>
              <w:start w:w="75" w:type="dxa"/>
              <w:bottom w:w="70" w:type="dxa"/>
              <w:end w:w="75" w:type="dxa"/>
            </w:tcMar>
            <w:vAlign w:val="top"/>
          </w:tcPr>
          <w:p>
            <w:r>
              <w:rPr>
                <w:rFonts w:ascii="Inter" w:hAnsi="Inter" w:eastAsia="Inter"/>
                <w:sz w:val="18"/>
              </w:rPr>
              <w:t>Requires final pricing decision.</w:t>
            </w:r>
          </w:p>
        </w:tc>
      </w:tr>
    </w:tbl>
    <w:p>
      <w:pPr>
        <w:pStyle w:val="Heading2"/>
        <w:keepNext/>
      </w:pPr>
      <w:r>
        <w:t>10.1 Suggested evidence-page paragraph</w:t>
      </w:r>
    </w:p>
    <w:p>
      <w:pPr>
        <w:spacing w:after="100"/>
      </w:pPr>
      <w:r>
        <w:rPr>
          <w:i w:val="0"/>
        </w:rPr>
        <w:t>Loneliness and social isolation are increasingly recognised as important public-health concerns. The World Health Organization reports that around one in six people worldwide experiences loneliness, and estimates that loneliness is associated with approximately 871,000 deaths each year. Social disconnection has also been linked with poorer physical and mental health. Apricoti does not claim to treat or prevent illness; its purpose is to make regular, positive social conversation easier to arrange. [1][2]</w:t>
      </w:r>
    </w:p>
    <w:p>
      <w:pPr>
        <w:pStyle w:val="Heading2"/>
        <w:keepNext/>
      </w:pPr>
      <w:r>
        <w:t>10.2 Source notes</w:t>
      </w:r>
    </w:p>
    <w:p>
      <w:pPr>
        <w:spacing w:after="80"/>
      </w:pPr>
      <w:r>
        <w:t xml:space="preserve">[1] World Health Organization, “Social connection linked to improved health and reduced risk of early death”, 30 June 2025. </w:t>
      </w:r>
      <w:hyperlink r:id="rId11">
        <w:r>
          <w:rPr>
            <w:color w:val="2E63A4"/>
            <w:u w:val="single"/>
          </w:rPr>
          <w:t>Open source</w:t>
        </w:r>
      </w:hyperlink>
    </w:p>
    <w:p>
      <w:pPr>
        <w:spacing w:after="80"/>
      </w:pPr>
      <w:r>
        <w:t xml:space="preserve">[2] World Health Organization, “From loneliness to social connection: charting a path to healthier societies”, 30 June 2025. </w:t>
      </w:r>
      <w:hyperlink r:id="rId12">
        <w:r>
          <w:rPr>
            <w:color w:val="2E63A4"/>
            <w:u w:val="single"/>
          </w:rPr>
          <w:t>Open source</w:t>
        </w:r>
      </w:hyperlink>
    </w:p>
    <w:p>
      <w:pPr>
        <w:spacing w:after="80"/>
      </w:pPr>
      <w:r>
        <w:t xml:space="preserve">[3] U.S. Department of Health and Human Services, Surgeon General, “Social Connection”. </w:t>
      </w:r>
      <w:hyperlink r:id="rId13">
        <w:r>
          <w:rPr>
            <w:color w:val="2E63A4"/>
            <w:u w:val="single"/>
          </w:rPr>
          <w:t>Open source</w:t>
        </w:r>
      </w:hyperlink>
    </w:p>
    <w:p>
      <w:pPr>
        <w:spacing w:after="80"/>
      </w:pPr>
      <w:r>
        <w:t xml:space="preserve">[4] Centers for Disease Control and Prevention, “Health Effects of Social Isolation and Loneliness”, 15 May 2024. </w:t>
      </w:r>
      <w:hyperlink r:id="rId14">
        <w:r>
          <w:rPr>
            <w:color w:val="2E63A4"/>
            <w:u w:val="single"/>
          </w:rPr>
          <w:t>Open source</w:t>
        </w:r>
      </w:hyperlink>
    </w:p>
    <w:p>
      <w:pPr>
        <w:spacing w:after="80"/>
      </w:pPr>
      <w:r>
        <w:t xml:space="preserve">[5] UK Government, “Tackling loneliness evidence review”. </w:t>
      </w:r>
      <w:hyperlink r:id="rId15">
        <w:r>
          <w:rPr>
            <w:color w:val="2E63A4"/>
            <w:u w:val="single"/>
          </w:rPr>
          <w:t>Open source</w:t>
        </w:r>
      </w:hyperlink>
    </w:p>
    <w:p>
      <w:pPr>
        <w:pStyle w:val="Heading1"/>
        <w:keepNext/>
      </w:pPr>
      <w:r>
        <w:t>11. SEO and social copy</w:t>
      </w:r>
    </w:p>
    <w:p>
      <w:pPr>
        <w:pStyle w:val="Heading2"/>
        <w:keepNext/>
      </w:pPr>
      <w:r>
        <w:t>11.1 Recommended homepage title</w:t>
      </w:r>
    </w:p>
    <w:p>
      <w:pPr>
        <w:spacing w:after="100"/>
      </w:pPr>
      <w:r>
        <w:rPr>
          <w:i w:val="0"/>
        </w:rPr>
        <w:t>Apricoti | Friendly Video Conversations and Companionship</w:t>
      </w:r>
    </w:p>
    <w:p>
      <w:pPr>
        <w:pStyle w:val="Heading2"/>
        <w:keepNext/>
      </w:pPr>
      <w:r>
        <w:t>11.2 Alternative title options</w:t>
      </w:r>
    </w:p>
    <w:p>
      <w:pPr>
        <w:pStyle w:val="ListBullet"/>
        <w:spacing w:after="40"/>
      </w:pPr>
      <w:r>
        <w:t>Apricoti | Find a Companion for Regular Friendly Conversations</w:t>
      </w:r>
    </w:p>
    <w:p>
      <w:pPr>
        <w:pStyle w:val="ListBullet"/>
        <w:spacing w:after="40"/>
      </w:pPr>
      <w:r>
        <w:t>Apricoti | Arrange Companionship Calls for Someone You Care About</w:t>
      </w:r>
    </w:p>
    <w:p>
      <w:pPr>
        <w:pStyle w:val="Heading2"/>
        <w:keepNext/>
      </w:pPr>
      <w:r>
        <w:t>11.3 Recommended meta description</w:t>
      </w:r>
    </w:p>
    <w:p>
      <w:pPr>
        <w:spacing w:after="100"/>
      </w:pPr>
      <w:r>
        <w:rPr>
          <w:i w:val="0"/>
        </w:rPr>
        <w:t>Arrange friendly, regular video conversations with a Companion chosen around interests, availability and personality. Start with one paid trial conversation.</w:t>
      </w:r>
    </w:p>
    <w:p>
      <w:pPr>
        <w:pStyle w:val="Heading2"/>
        <w:keepNext/>
      </w:pPr>
      <w:r>
        <w:t>11.4 Alternative meta descriptions</w:t>
      </w:r>
    </w:p>
    <w:p>
      <w:pPr>
        <w:pStyle w:val="ListBullet"/>
        <w:spacing w:after="40"/>
      </w:pPr>
      <w:r>
        <w:t>Apricoti helps families and Members find Companions for scheduled social video conversations. Browse profiles, choose together and start with a trial.</w:t>
      </w:r>
    </w:p>
    <w:p>
      <w:pPr>
        <w:pStyle w:val="ListBullet"/>
        <w:spacing w:after="40"/>
      </w:pPr>
      <w:r>
        <w:t>Find a Companion for regular, friendly conversation. Apricoti makes it simple to explore profiles, arrange a trial and continue when the match feels right.</w:t>
      </w:r>
    </w:p>
    <w:p>
      <w:pPr>
        <w:pStyle w:val="Heading2"/>
        <w:keepNext/>
      </w:pPr>
      <w:r>
        <w:t>11.5 Social sharing copy</w:t>
      </w:r>
    </w:p>
    <w:p>
      <w:pPr>
        <w:spacing w:after="100"/>
      </w:pPr>
      <w:r>
        <w:rPr>
          <w:i w:val="0"/>
        </w:rPr>
        <w:t>Title: Regular conversation. Genuine connection.</w:t>
      </w:r>
    </w:p>
    <w:p>
      <w:pPr>
        <w:spacing w:after="100"/>
      </w:pPr>
      <w:r>
        <w:rPr>
          <w:i w:val="0"/>
        </w:rPr>
        <w:t>Description: Apricoti helps people arrange friendly video conversations with a Companion they choose.</w:t>
      </w:r>
    </w:p>
    <w:p>
      <w:pPr>
        <w:pStyle w:val="Heading2"/>
        <w:keepNext/>
      </w:pPr>
      <w:r>
        <w:t>11.6 Suggested URL and headings</w:t>
      </w:r>
    </w:p>
    <w:p>
      <w:pPr>
        <w:spacing w:after="100"/>
      </w:pPr>
      <w:r>
        <w:rPr>
          <w:i w:val="0"/>
        </w:rPr>
        <w:t>Homepage URL: /</w:t>
      </w:r>
    </w:p>
    <w:p>
      <w:pPr>
        <w:spacing w:after="100"/>
      </w:pPr>
      <w:r>
        <w:rPr>
          <w:i w:val="0"/>
        </w:rPr>
        <w:t>Primary H1: Regular conversation. Genuine connection.</w:t>
      </w:r>
    </w:p>
    <w:p>
      <w:pPr>
        <w:spacing w:after="100"/>
      </w:pPr>
      <w:r>
        <w:rPr>
          <w:i w:val="0"/>
        </w:rPr>
        <w:t>Supporting page slugs: /how-it-works, /companions, /for-families, /become-a-companion, /safety, /our-mission</w:t>
      </w:r>
    </w:p>
    <w:p>
      <w:pPr>
        <w:pStyle w:val="Heading1"/>
        <w:keepNext/>
      </w:pPr>
      <w:r>
        <w:t>12. Variables to confirm before launch</w:t>
      </w:r>
    </w:p>
    <w:tbl>
      <w:tblPr>
        <w:tblStyle w:val="TableGrid"/>
        <w:tblW w:type="auto" w:w="0"/>
        <w:jc w:val="center"/>
        <w:tblLook w:firstColumn="1" w:firstRow="1" w:lastColumn="0" w:lastRow="0" w:noHBand="0" w:noVBand="1" w:val="04A0"/>
      </w:tblPr>
      <w:tblGrid>
        <w:gridCol w:w="4986"/>
        <w:gridCol w:w="4986"/>
      </w:tblGrid>
      <w:tr>
        <w:trPr>
          <w:tblHeader w:val="true"/>
          <w:tblHeader w:val="true"/>
          <w:cantSplit/>
        </w:trPr>
        <w:tc>
          <w:tcPr>
            <w:tcW w:type="dxa" w:w="4986"/>
            <w:shd w:fill="FFF2E9"/>
          </w:tcPr>
          <w:p>
            <w:r>
              <w:rPr>
                <w:rFonts w:ascii="Inter" w:hAnsi="Inter" w:eastAsia="Inter"/>
                <w:sz w:val="18"/>
              </w:rPr>
              <w:t>Variable</w:t>
            </w:r>
          </w:p>
        </w:tc>
        <w:tc>
          <w:tcPr>
            <w:tcW w:type="dxa" w:w="4986"/>
            <w:shd w:fill="FFF2E9"/>
          </w:tcPr>
          <w:p>
            <w:r>
              <w:rPr>
                <w:rFonts w:ascii="Inter" w:hAnsi="Inter" w:eastAsia="Inter"/>
                <w:sz w:val="18"/>
              </w:rPr>
              <w:t>Why it matters</w:t>
            </w:r>
          </w:p>
        </w:tc>
      </w:tr>
      <w:tr>
        <w:trPr>
          <w:cantSplit/>
        </w:trPr>
        <w:tc>
          <w:tcPr>
            <w:tcW w:type="dxa" w:w="4986"/>
            <w:tcMar>
              <w:top w:w="90" w:type="dxa"/>
              <w:start w:w="110" w:type="dxa"/>
              <w:bottom w:w="90" w:type="dxa"/>
              <w:end w:w="110" w:type="dxa"/>
            </w:tcMar>
          </w:tcPr>
          <w:p>
            <w:r>
              <w:rPr>
                <w:rFonts w:ascii="Inter" w:hAnsi="Inter" w:eastAsia="Inter"/>
                <w:sz w:val="18"/>
              </w:rPr>
              <w:t>Final legal/business name</w:t>
            </w:r>
          </w:p>
        </w:tc>
        <w:tc>
          <w:tcPr>
            <w:tcW w:type="dxa" w:w="4986"/>
            <w:tcMar>
              <w:top w:w="90" w:type="dxa"/>
              <w:start w:w="110" w:type="dxa"/>
              <w:bottom w:w="90" w:type="dxa"/>
              <w:end w:w="110" w:type="dxa"/>
            </w:tcMar>
          </w:tcPr>
          <w:p>
            <w:r>
              <w:rPr>
                <w:rFonts w:ascii="Inter" w:hAnsi="Inter" w:eastAsia="Inter"/>
                <w:sz w:val="18"/>
              </w:rPr>
              <w:t>Needed for footer, terms, payments and privacy.</w:t>
            </w:r>
          </w:p>
        </w:tc>
      </w:tr>
      <w:tr>
        <w:trPr>
          <w:cantSplit/>
        </w:trPr>
        <w:tc>
          <w:tcPr>
            <w:tcW w:type="dxa" w:w="4986"/>
            <w:tcMar>
              <w:top w:w="90" w:type="dxa"/>
              <w:start w:w="110" w:type="dxa"/>
              <w:bottom w:w="90" w:type="dxa"/>
              <w:end w:w="110" w:type="dxa"/>
            </w:tcMar>
          </w:tcPr>
          <w:p>
            <w:r>
              <w:rPr>
                <w:rFonts w:ascii="Inter" w:hAnsi="Inter" w:eastAsia="Inter"/>
                <w:sz w:val="18"/>
              </w:rPr>
              <w:t>Trademark and domain clearance for Apricoti</w:t>
            </w:r>
          </w:p>
        </w:tc>
        <w:tc>
          <w:tcPr>
            <w:tcW w:type="dxa" w:w="4986"/>
            <w:tcMar>
              <w:top w:w="90" w:type="dxa"/>
              <w:start w:w="110" w:type="dxa"/>
              <w:bottom w:w="90" w:type="dxa"/>
              <w:end w:w="110" w:type="dxa"/>
            </w:tcMar>
          </w:tcPr>
          <w:p>
            <w:r>
              <w:rPr>
                <w:rFonts w:ascii="Inter" w:hAnsi="Inter" w:eastAsia="Inter"/>
                <w:sz w:val="18"/>
              </w:rPr>
              <w:t>Confirm before investing in public launch assets.</w:t>
            </w:r>
          </w:p>
        </w:tc>
      </w:tr>
      <w:tr>
        <w:trPr>
          <w:cantSplit/>
        </w:trPr>
        <w:tc>
          <w:tcPr>
            <w:tcW w:type="dxa" w:w="4986"/>
            <w:tcMar>
              <w:top w:w="90" w:type="dxa"/>
              <w:start w:w="110" w:type="dxa"/>
              <w:bottom w:w="90" w:type="dxa"/>
              <w:end w:w="110" w:type="dxa"/>
            </w:tcMar>
          </w:tcPr>
          <w:p>
            <w:r>
              <w:rPr>
                <w:rFonts w:ascii="Inter" w:hAnsi="Inter" w:eastAsia="Inter"/>
                <w:sz w:val="18"/>
              </w:rPr>
              <w:t>Final public tagline</w:t>
            </w:r>
          </w:p>
        </w:tc>
        <w:tc>
          <w:tcPr>
            <w:tcW w:type="dxa" w:w="4986"/>
            <w:tcMar>
              <w:top w:w="90" w:type="dxa"/>
              <w:start w:w="110" w:type="dxa"/>
              <w:bottom w:w="90" w:type="dxa"/>
              <w:end w:w="110" w:type="dxa"/>
            </w:tcMar>
          </w:tcPr>
          <w:p>
            <w:r>
              <w:rPr>
                <w:rFonts w:ascii="Inter" w:hAnsi="Inter" w:eastAsia="Inter"/>
                <w:sz w:val="18"/>
              </w:rPr>
              <w:t>Decide whether “Combatting loneliness one call at a time” remains a mission line or campaign line.</w:t>
            </w:r>
          </w:p>
        </w:tc>
      </w:tr>
      <w:tr>
        <w:trPr>
          <w:cantSplit/>
        </w:trPr>
        <w:tc>
          <w:tcPr>
            <w:tcW w:type="dxa" w:w="4986"/>
            <w:tcMar>
              <w:top w:w="90" w:type="dxa"/>
              <w:start w:w="110" w:type="dxa"/>
              <w:bottom w:w="90" w:type="dxa"/>
              <w:end w:w="110" w:type="dxa"/>
            </w:tcMar>
          </w:tcPr>
          <w:p>
            <w:r>
              <w:rPr>
                <w:rFonts w:ascii="Inter" w:hAnsi="Inter" w:eastAsia="Inter"/>
                <w:sz w:val="18"/>
              </w:rPr>
              <w:t>Launch geography</w:t>
            </w:r>
          </w:p>
        </w:tc>
        <w:tc>
          <w:tcPr>
            <w:tcW w:type="dxa" w:w="4986"/>
            <w:tcMar>
              <w:top w:w="90" w:type="dxa"/>
              <w:start w:w="110" w:type="dxa"/>
              <w:bottom w:w="90" w:type="dxa"/>
              <w:end w:w="110" w:type="dxa"/>
            </w:tcMar>
          </w:tcPr>
          <w:p>
            <w:r>
              <w:rPr>
                <w:rFonts w:ascii="Inter" w:hAnsi="Inter" w:eastAsia="Inter"/>
                <w:sz w:val="18"/>
              </w:rPr>
              <w:t>The current product and payment wording assumes the UK/GBP.</w:t>
            </w:r>
          </w:p>
        </w:tc>
      </w:tr>
      <w:tr>
        <w:trPr>
          <w:cantSplit/>
        </w:trPr>
        <w:tc>
          <w:tcPr>
            <w:tcW w:type="dxa" w:w="4986"/>
            <w:tcMar>
              <w:top w:w="90" w:type="dxa"/>
              <w:start w:w="110" w:type="dxa"/>
              <w:bottom w:w="90" w:type="dxa"/>
              <w:end w:w="110" w:type="dxa"/>
            </w:tcMar>
          </w:tcPr>
          <w:p>
            <w:r>
              <w:rPr>
                <w:rFonts w:ascii="Inter" w:hAnsi="Inter" w:eastAsia="Inter"/>
                <w:sz w:val="18"/>
              </w:rPr>
              <w:t>Companion eligibility and minimum age</w:t>
            </w:r>
          </w:p>
        </w:tc>
        <w:tc>
          <w:tcPr>
            <w:tcW w:type="dxa" w:w="4986"/>
            <w:tcMar>
              <w:top w:w="90" w:type="dxa"/>
              <w:start w:w="110" w:type="dxa"/>
              <w:bottom w:w="90" w:type="dxa"/>
              <w:end w:w="110" w:type="dxa"/>
            </w:tcMar>
          </w:tcPr>
          <w:p>
            <w:r>
              <w:rPr>
                <w:rFonts w:ascii="Inter" w:hAnsi="Inter" w:eastAsia="Inter"/>
                <w:sz w:val="18"/>
              </w:rPr>
              <w:t>Needed for recruitment copy and terms.</w:t>
            </w:r>
          </w:p>
        </w:tc>
      </w:tr>
      <w:tr>
        <w:trPr>
          <w:cantSplit/>
        </w:trPr>
        <w:tc>
          <w:tcPr>
            <w:tcW w:type="dxa" w:w="4986"/>
            <w:tcMar>
              <w:top w:w="90" w:type="dxa"/>
              <w:start w:w="110" w:type="dxa"/>
              <w:bottom w:w="90" w:type="dxa"/>
              <w:end w:w="110" w:type="dxa"/>
            </w:tcMar>
          </w:tcPr>
          <w:p>
            <w:r>
              <w:rPr>
                <w:rFonts w:ascii="Inter" w:hAnsi="Inter" w:eastAsia="Inter"/>
                <w:sz w:val="18"/>
              </w:rPr>
              <w:t>Identity verification / background checks</w:t>
            </w:r>
          </w:p>
        </w:tc>
        <w:tc>
          <w:tcPr>
            <w:tcW w:type="dxa" w:w="4986"/>
            <w:tcMar>
              <w:top w:w="90" w:type="dxa"/>
              <w:start w:w="110" w:type="dxa"/>
              <w:bottom w:w="90" w:type="dxa"/>
              <w:end w:w="110" w:type="dxa"/>
            </w:tcMar>
          </w:tcPr>
          <w:p>
            <w:r>
              <w:rPr>
                <w:rFonts w:ascii="Inter" w:hAnsi="Inter" w:eastAsia="Inter"/>
                <w:sz w:val="18"/>
              </w:rPr>
              <w:t>Do not claim until implemented and operationally supported.</w:t>
            </w:r>
          </w:p>
        </w:tc>
      </w:tr>
      <w:tr>
        <w:trPr>
          <w:cantSplit/>
        </w:trPr>
        <w:tc>
          <w:tcPr>
            <w:tcW w:type="dxa" w:w="4986"/>
            <w:tcMar>
              <w:top w:w="90" w:type="dxa"/>
              <w:start w:w="110" w:type="dxa"/>
              <w:bottom w:w="90" w:type="dxa"/>
              <w:end w:w="110" w:type="dxa"/>
            </w:tcMar>
          </w:tcPr>
          <w:p>
            <w:r>
              <w:rPr>
                <w:rFonts w:ascii="Inter" w:hAnsi="Inter" w:eastAsia="Inter"/>
                <w:sz w:val="18"/>
              </w:rPr>
              <w:t>Support hours and contact route</w:t>
            </w:r>
          </w:p>
        </w:tc>
        <w:tc>
          <w:tcPr>
            <w:tcW w:type="dxa" w:w="4986"/>
            <w:tcMar>
              <w:top w:w="90" w:type="dxa"/>
              <w:start w:w="110" w:type="dxa"/>
              <w:bottom w:w="90" w:type="dxa"/>
              <w:end w:w="110" w:type="dxa"/>
            </w:tcMar>
          </w:tcPr>
          <w:p>
            <w:r>
              <w:rPr>
                <w:rFonts w:ascii="Inter" w:hAnsi="Inter" w:eastAsia="Inter"/>
                <w:sz w:val="18"/>
              </w:rPr>
              <w:t>Needed for Safety, Help and issue wording.</w:t>
            </w:r>
          </w:p>
        </w:tc>
      </w:tr>
      <w:tr>
        <w:trPr>
          <w:cantSplit/>
        </w:trPr>
        <w:tc>
          <w:tcPr>
            <w:tcW w:type="dxa" w:w="4986"/>
            <w:tcMar>
              <w:top w:w="90" w:type="dxa"/>
              <w:start w:w="110" w:type="dxa"/>
              <w:bottom w:w="90" w:type="dxa"/>
              <w:end w:w="110" w:type="dxa"/>
            </w:tcMar>
          </w:tcPr>
          <w:p>
            <w:r>
              <w:rPr>
                <w:rFonts w:ascii="Inter" w:hAnsi="Inter" w:eastAsia="Inter"/>
                <w:sz w:val="18"/>
              </w:rPr>
              <w:t>Exact trial duration rules</w:t>
            </w:r>
          </w:p>
        </w:tc>
        <w:tc>
          <w:tcPr>
            <w:tcW w:type="dxa" w:w="4986"/>
            <w:tcMar>
              <w:top w:w="90" w:type="dxa"/>
              <w:start w:w="110" w:type="dxa"/>
              <w:bottom w:w="90" w:type="dxa"/>
              <w:end w:w="110" w:type="dxa"/>
            </w:tcMar>
          </w:tcPr>
          <w:p>
            <w:r>
              <w:rPr>
                <w:rFonts w:ascii="Inter" w:hAnsi="Inter" w:eastAsia="Inter"/>
                <w:sz w:val="18"/>
              </w:rPr>
              <w:t>Currently approximately 30 minutes where configured; publish the actual supported model.</w:t>
            </w:r>
          </w:p>
        </w:tc>
      </w:tr>
      <w:tr>
        <w:trPr>
          <w:cantSplit/>
        </w:trPr>
        <w:tc>
          <w:tcPr>
            <w:tcW w:type="dxa" w:w="4986"/>
            <w:tcMar>
              <w:top w:w="90" w:type="dxa"/>
              <w:start w:w="110" w:type="dxa"/>
              <w:bottom w:w="90" w:type="dxa"/>
              <w:end w:w="110" w:type="dxa"/>
            </w:tcMar>
          </w:tcPr>
          <w:p>
            <w:r>
              <w:rPr>
                <w:rFonts w:ascii="Inter" w:hAnsi="Inter" w:eastAsia="Inter"/>
                <w:sz w:val="18"/>
              </w:rPr>
              <w:t>Service fee and commission wording</w:t>
            </w:r>
          </w:p>
        </w:tc>
        <w:tc>
          <w:tcPr>
            <w:tcW w:type="dxa" w:w="4986"/>
            <w:tcMar>
              <w:top w:w="90" w:type="dxa"/>
              <w:start w:w="110" w:type="dxa"/>
              <w:bottom w:w="90" w:type="dxa"/>
              <w:end w:w="110" w:type="dxa"/>
            </w:tcMar>
          </w:tcPr>
          <w:p>
            <w:r>
              <w:rPr>
                <w:rFonts w:ascii="Inter" w:hAnsi="Inter" w:eastAsia="Inter"/>
                <w:sz w:val="18"/>
              </w:rPr>
              <w:t>Confirm customer fee, Companion commission and processing treatment.</w:t>
            </w:r>
          </w:p>
        </w:tc>
      </w:tr>
      <w:tr>
        <w:trPr>
          <w:cantSplit/>
        </w:trPr>
        <w:tc>
          <w:tcPr>
            <w:tcW w:type="dxa" w:w="4986"/>
            <w:tcMar>
              <w:top w:w="90" w:type="dxa"/>
              <w:start w:w="110" w:type="dxa"/>
              <w:bottom w:w="90" w:type="dxa"/>
              <w:end w:w="110" w:type="dxa"/>
            </w:tcMar>
          </w:tcPr>
          <w:p>
            <w:r>
              <w:rPr>
                <w:rFonts w:ascii="Inter" w:hAnsi="Inter" w:eastAsia="Inter"/>
                <w:sz w:val="18"/>
              </w:rPr>
              <w:t>Cancellation and credit policy</w:t>
            </w:r>
          </w:p>
        </w:tc>
        <w:tc>
          <w:tcPr>
            <w:tcW w:type="dxa" w:w="4986"/>
            <w:tcMar>
              <w:top w:w="90" w:type="dxa"/>
              <w:start w:w="110" w:type="dxa"/>
              <w:bottom w:w="90" w:type="dxa"/>
              <w:end w:w="110" w:type="dxa"/>
            </w:tcMar>
          </w:tcPr>
          <w:p>
            <w:r>
              <w:rPr>
                <w:rFonts w:ascii="Inter" w:hAnsi="Inter" w:eastAsia="Inter"/>
                <w:sz w:val="18"/>
              </w:rPr>
              <w:t>Needed for FAQs and checkout reassurance.</w:t>
            </w:r>
          </w:p>
        </w:tc>
      </w:tr>
      <w:tr>
        <w:trPr>
          <w:cantSplit/>
        </w:trPr>
        <w:tc>
          <w:tcPr>
            <w:tcW w:type="dxa" w:w="4986"/>
            <w:tcMar>
              <w:top w:w="90" w:type="dxa"/>
              <w:start w:w="110" w:type="dxa"/>
              <w:bottom w:w="90" w:type="dxa"/>
              <w:end w:w="110" w:type="dxa"/>
            </w:tcMar>
          </w:tcPr>
          <w:p>
            <w:r>
              <w:rPr>
                <w:rFonts w:ascii="Inter" w:hAnsi="Inter" w:eastAsia="Inter"/>
                <w:sz w:val="18"/>
              </w:rPr>
              <w:t>Recurring plans availability</w:t>
            </w:r>
          </w:p>
        </w:tc>
        <w:tc>
          <w:tcPr>
            <w:tcW w:type="dxa" w:w="4986"/>
            <w:tcMar>
              <w:top w:w="90" w:type="dxa"/>
              <w:start w:w="110" w:type="dxa"/>
              <w:bottom w:w="90" w:type="dxa"/>
              <w:end w:w="110" w:type="dxa"/>
            </w:tcMar>
          </w:tcPr>
          <w:p>
            <w:r>
              <w:rPr>
                <w:rFonts w:ascii="Inter" w:hAnsi="Inter" w:eastAsia="Inter"/>
                <w:sz w:val="18"/>
              </w:rPr>
              <w:t>Do not describe as live until Phase 2G5 is complete.</w:t>
            </w:r>
          </w:p>
        </w:tc>
      </w:tr>
      <w:tr>
        <w:trPr>
          <w:cantSplit/>
        </w:trPr>
        <w:tc>
          <w:tcPr>
            <w:tcW w:type="dxa" w:w="4986"/>
            <w:tcMar>
              <w:top w:w="90" w:type="dxa"/>
              <w:start w:w="110" w:type="dxa"/>
              <w:bottom w:w="90" w:type="dxa"/>
              <w:end w:w="110" w:type="dxa"/>
            </w:tcMar>
          </w:tcPr>
          <w:p>
            <w:r>
              <w:rPr>
                <w:rFonts w:ascii="Inter" w:hAnsi="Inter" w:eastAsia="Inter"/>
                <w:sz w:val="18"/>
              </w:rPr>
              <w:t>Public contact email</w:t>
            </w:r>
          </w:p>
        </w:tc>
        <w:tc>
          <w:tcPr>
            <w:tcW w:type="dxa" w:w="4986"/>
            <w:tcMar>
              <w:top w:w="90" w:type="dxa"/>
              <w:start w:w="110" w:type="dxa"/>
              <w:bottom w:w="90" w:type="dxa"/>
              <w:end w:w="110" w:type="dxa"/>
            </w:tcMar>
          </w:tcPr>
          <w:p>
            <w:r>
              <w:rPr>
                <w:rFonts w:ascii="Inter" w:hAnsi="Inter" w:eastAsia="Inter"/>
                <w:sz w:val="18"/>
              </w:rPr>
              <w:t>Needed for footer and support pages.</w:t>
            </w:r>
          </w:p>
        </w:tc>
      </w:tr>
      <w:tr>
        <w:trPr>
          <w:cantSplit/>
        </w:trPr>
        <w:tc>
          <w:tcPr>
            <w:tcW w:type="dxa" w:w="4986"/>
            <w:tcMar>
              <w:top w:w="90" w:type="dxa"/>
              <w:start w:w="110" w:type="dxa"/>
              <w:bottom w:w="90" w:type="dxa"/>
              <w:end w:w="110" w:type="dxa"/>
            </w:tcMar>
          </w:tcPr>
          <w:p>
            <w:r>
              <w:rPr>
                <w:rFonts w:ascii="Inter" w:hAnsi="Inter" w:eastAsia="Inter"/>
                <w:sz w:val="18"/>
              </w:rPr>
              <w:t>Companion applications open or waitlist</w:t>
            </w:r>
          </w:p>
        </w:tc>
        <w:tc>
          <w:tcPr>
            <w:tcW w:type="dxa" w:w="4986"/>
            <w:tcMar>
              <w:top w:w="90" w:type="dxa"/>
              <w:start w:w="110" w:type="dxa"/>
              <w:bottom w:w="90" w:type="dxa"/>
              <w:end w:w="110" w:type="dxa"/>
            </w:tcMar>
          </w:tcPr>
          <w:p>
            <w:r>
              <w:rPr>
                <w:rFonts w:ascii="Inter" w:hAnsi="Inter" w:eastAsia="Inter"/>
                <w:sz w:val="18"/>
              </w:rPr>
              <w:t>Determines CTA wording.</w:t>
            </w:r>
          </w:p>
        </w:tc>
      </w:tr>
      <w:tr>
        <w:trPr>
          <w:cantSplit/>
        </w:trPr>
        <w:tc>
          <w:tcPr>
            <w:tcW w:type="dxa" w:w="4986"/>
            <w:tcMar>
              <w:top w:w="90" w:type="dxa"/>
              <w:start w:w="110" w:type="dxa"/>
              <w:bottom w:w="90" w:type="dxa"/>
              <w:end w:w="110" w:type="dxa"/>
            </w:tcMar>
          </w:tcPr>
          <w:p>
            <w:r>
              <w:rPr>
                <w:rFonts w:ascii="Inter" w:hAnsi="Inter" w:eastAsia="Inter"/>
                <w:sz w:val="18"/>
              </w:rPr>
              <w:t>Production privacy and call-security verification</w:t>
            </w:r>
          </w:p>
        </w:tc>
        <w:tc>
          <w:tcPr>
            <w:tcW w:type="dxa" w:w="4986"/>
            <w:tcMar>
              <w:top w:w="90" w:type="dxa"/>
              <w:start w:w="110" w:type="dxa"/>
              <w:bottom w:w="90" w:type="dxa"/>
              <w:end w:w="110" w:type="dxa"/>
            </w:tcMar>
          </w:tcPr>
          <w:p>
            <w:r>
              <w:rPr>
                <w:rFonts w:ascii="Inter" w:hAnsi="Inter" w:eastAsia="Inter"/>
                <w:sz w:val="18"/>
              </w:rPr>
              <w:t>Needed before using broad trust claims.</w:t>
            </w:r>
          </w:p>
        </w:tc>
      </w:tr>
    </w:tbl>
    <w:p>
      <w:pPr>
        <w:pStyle w:val="Heading1"/>
        <w:keepNext/>
      </w:pPr>
      <w:r>
        <w:t>13. Recommended next steps</w:t>
      </w:r>
    </w:p>
    <w:p>
      <w:pPr>
        <w:pStyle w:val="Lead"/>
        <w:spacing w:after="100"/>
      </w:pPr>
      <w:r>
        <w:rPr>
          <w:i w:val="0"/>
        </w:rPr>
        <w:t>The copy is ready to guide a landing-page wireframe. The next stage should translate this hierarchy into a simple page structure using the selected assets, without committing to full production code immediately.</w:t>
      </w:r>
    </w:p>
    <w:p>
      <w:pPr>
        <w:pStyle w:val="ListNumber"/>
        <w:spacing w:after="60"/>
      </w:pPr>
      <w:r>
        <w:t>Confirm the hero direction, primary CTA and public role terminology.</w:t>
      </w:r>
    </w:p>
    <w:p>
      <w:pPr>
        <w:pStyle w:val="ListNumber"/>
        <w:spacing w:after="60"/>
      </w:pPr>
      <w:r>
        <w:t>Choose the final images for the hero, family, Member and Companion sections using the asset map.</w:t>
      </w:r>
    </w:p>
    <w:p>
      <w:pPr>
        <w:pStyle w:val="ListNumber"/>
        <w:spacing w:after="60"/>
      </w:pPr>
      <w:r>
        <w:t>Create a low-fidelity wireframe showing section order and mobile collapse behaviour.</w:t>
      </w:r>
    </w:p>
    <w:p>
      <w:pPr>
        <w:pStyle w:val="ListNumber"/>
        <w:spacing w:after="60"/>
      </w:pPr>
      <w:r>
        <w:t>Resolve launch claims in the variables and claims register, especially verification, support, fees and cancellation.</w:t>
      </w:r>
    </w:p>
    <w:p>
      <w:pPr>
        <w:pStyle w:val="ListNumber"/>
        <w:spacing w:after="60"/>
      </w:pPr>
      <w:r>
        <w:t>Build a static landing-page route or isolated prototype before integrating the full authenticated app navigation.</w:t>
      </w:r>
    </w:p>
    <w:p>
      <w:pPr>
        <w:pStyle w:val="ListNumber"/>
        <w:spacing w:after="60"/>
      </w:pPr>
      <w:r>
        <w:t>User-test the page with at least one prospective Coordinator, one Member and one prospective Companion.</w:t>
      </w:r>
    </w:p>
    <w:tbl>
      <w:tblPr>
        <w:tblW w:type="auto" w:w="0"/>
        <w:jc w:val="center"/>
        <w:tblLayout w:type="autofit"/>
        <w:tblLook w:firstColumn="1" w:firstRow="1" w:lastColumn="0" w:lastRow="0" w:noHBand="0" w:noVBand="1" w:val="04A0"/>
      </w:tblPr>
      <w:tblGrid>
        <w:gridCol w:w="9972"/>
      </w:tblGrid>
      <w:tr>
        <w:trPr>
          <w:cantSplit/>
        </w:trPr>
        <w:tc>
          <w:tcPr>
            <w:tcW w:type="dxa" w:w="9972"/>
            <w:shd w:fill="FFF2E9"/>
            <w:tcBorders>
              <w:top w:val="single" w:sz="7" w:color="DED8D2"/>
              <w:left w:val="single" w:sz="7" w:color="DED8D2"/>
              <w:bottom w:val="single" w:sz="7" w:color="DED8D2"/>
              <w:right w:val="single" w:sz="7" w:color="DED8D2"/>
            </w:tcBorders>
            <w:tcMar>
              <w:top w:w="140" w:type="dxa"/>
              <w:start w:w="180" w:type="dxa"/>
              <w:bottom w:w="140" w:type="dxa"/>
              <w:end w:w="180" w:type="dxa"/>
            </w:tcMar>
          </w:tcPr>
          <w:p>
            <w:pPr>
              <w:spacing w:after="80"/>
            </w:pPr>
            <w:r>
              <w:rPr>
                <w:rFonts w:ascii="Inter" w:hAnsi="Inter" w:eastAsia="Inter"/>
                <w:b/>
                <w:color w:val="A94F20"/>
                <w:sz w:val="18"/>
              </w:rPr>
              <w:t>Recommended build brief</w:t>
            </w:r>
          </w:p>
          <w:p>
            <w:pPr>
              <w:spacing w:after="0"/>
            </w:pPr>
            <w:r>
              <w:rPr>
                <w:rFonts w:ascii="Inter" w:hAnsi="Inter" w:eastAsia="Inter"/>
                <w:sz w:val="18"/>
              </w:rPr>
              <w:t>Create a responsive public landing page for Apricoti using the copy in this document. Keep the authenticated application separate from the public marketing navigation, with clear Sign in and Find a Companion routes.</w:t>
            </w:r>
          </w:p>
        </w:tc>
      </w:tr>
    </w:tbl>
    <w:p>
      <w:pPr>
        <w:spacing w:after="20"/>
      </w:pPr>
    </w:p>
    <w:p>
      <w:pPr>
        <w:pStyle w:val="Heading2"/>
        <w:keepNext/>
      </w:pPr>
      <w:r>
        <w:t>Editorial note</w:t>
      </w:r>
    </w:p>
    <w:p>
      <w:pPr>
        <w:spacing w:after="100"/>
      </w:pPr>
      <w:r>
        <w:rPr>
          <w:i w:val="0"/>
        </w:rPr>
        <w:t>This document deliberately separates the positive customer promise from the public-health evidence. The evidence establishes why the mission matters; the customer copy should still feel hopeful, respectful and centred on personal choice.</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Working draft - 20 July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APRICOTI  |  LANDING PAGE COPY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Inter" w:hAnsi="Inter" w:eastAsia="Inter"/>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Inter" w:hAnsi="Inter" w:eastAsia="Inter"/>
      <w:b/>
      <w:bCs/>
      <w:color w:val="222222"/>
      <w:sz w:val="4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Inter" w:hAnsi="Inter" w:eastAsia="Inter"/>
      <w:b/>
      <w:bCs/>
      <w:color w:val="222222"/>
      <w:sz w:val="3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Inter" w:hAnsi="Inter" w:eastAsia="Inter"/>
      <w:b/>
      <w:bCs/>
      <w:color w:val="A94F2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Inter" w:hAnsi="Inter" w:eastAsia="Inter"/>
      <w:b/>
      <w:color w:val="222222"/>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Inter" w:hAnsi="Inter" w:eastAsia="Inter"/>
      <w:b w:val="0"/>
      <w:i/>
      <w:iCs/>
      <w:color w:val="666666"/>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eastAsia="Inter"/>
      <w:sz w:val="20"/>
    </w:rPr>
  </w:style>
  <w:style w:type="paragraph" w:styleId="ListBullet2">
    <w:name w:val="List Bullet 2"/>
    <w:basedOn w:val="Normal"/>
    <w:uiPriority w:val="99"/>
    <w:unhideWhenUsed/>
    <w:rsid w:val="00326F90"/>
    <w:pPr>
      <w:numPr>
        <w:numId w:val="2"/>
      </w:numPr>
      <w:contextualSpacing/>
    </w:pPr>
    <w:rPr>
      <w:rFonts w:ascii="Inter" w:hAnsi="Inter" w:eastAsia="Inte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eastAsia="Inter"/>
      <w:sz w:val="20"/>
    </w:rPr>
  </w:style>
  <w:style w:type="paragraph" w:styleId="ListNumber2">
    <w:name w:val="List Number 2"/>
    <w:basedOn w:val="Normal"/>
    <w:uiPriority w:val="99"/>
    <w:unhideWhenUsed/>
    <w:rsid w:val="0029639D"/>
    <w:pPr>
      <w:numPr>
        <w:numId w:val="6"/>
      </w:numPr>
      <w:contextualSpacing/>
    </w:pPr>
    <w:rPr>
      <w:rFonts w:ascii="Inter" w:hAnsi="Inter" w:eastAsia="Inter"/>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00" w:line="259" w:lineRule="auto"/>
    </w:pPr>
    <w:rPr>
      <w:rFonts w:ascii="Inter" w:hAnsi="Inter" w:eastAsia="Inter"/>
      <w:b/>
      <w:color w:val="A94F20"/>
      <w:sz w:val="18"/>
    </w:rPr>
  </w:style>
  <w:style w:type="paragraph" w:customStyle="1" w:styleId="Lead">
    <w:name w:val="Lead"/>
    <w:pPr>
      <w:spacing w:after="100" w:line="259" w:lineRule="auto"/>
    </w:pPr>
    <w:rPr>
      <w:rFonts w:ascii="Inter" w:hAnsi="Inter" w:eastAsia="Inter"/>
      <w:b w:val="0"/>
      <w:color w:val="222222"/>
      <w:sz w:val="26"/>
    </w:rPr>
  </w:style>
  <w:style w:type="paragraph" w:customStyle="1" w:styleId="SmallNote">
    <w:name w:val="Small Note"/>
    <w:pPr>
      <w:spacing w:after="100" w:line="259" w:lineRule="auto"/>
    </w:pPr>
    <w:rPr>
      <w:rFonts w:ascii="Inter" w:hAnsi="Inter" w:eastAsia="Inter"/>
      <w:b w:val="0"/>
      <w:color w:val="666666"/>
      <w:sz w:val="17"/>
    </w:rPr>
  </w:style>
  <w:style w:type="paragraph" w:customStyle="1" w:styleId="CopyHeadline">
    <w:name w:val="Copy Headline"/>
    <w:pPr>
      <w:spacing w:after="100" w:line="259" w:lineRule="auto"/>
    </w:pPr>
    <w:rPr>
      <w:rFonts w:ascii="Inter" w:hAnsi="Inter" w:eastAsia="Inter"/>
      <w:b/>
      <w:color w:val="222222"/>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philippines/news/detail-global/30-06-2025-social-connection-linked-to-improved-heath-and-reduced-risk-of-early-death" TargetMode="External"/><Relationship Id="rId12" Type="http://schemas.openxmlformats.org/officeDocument/2006/relationships/hyperlink" Target="https://www.who.int/publications/i/item/978240112360" TargetMode="External"/><Relationship Id="rId13" Type="http://schemas.openxmlformats.org/officeDocument/2006/relationships/hyperlink" Target="https://www.hhs.gov/surgeongeneral/reports-and-publications/connection/index.html" TargetMode="External"/><Relationship Id="rId14" Type="http://schemas.openxmlformats.org/officeDocument/2006/relationships/hyperlink" Target="https://www.cdc.gov/social-connectedness/risk-factors/index.html" TargetMode="External"/><Relationship Id="rId15" Type="http://schemas.openxmlformats.org/officeDocument/2006/relationships/hyperlink" Target="https://www.gov.uk/government/publications/tackling-loneliness-evidence-review/tackling-loneliness-evidence-review-summary-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Apricoti Landing Page Copy Scope</dc:title>
  <dc:subject>Brand messaging and public website copy scope</dc:subject>
  <dc:creator>OpenAI</dc:creator>
  <cp:keywords>Apricoti, landing page, copy, companionship, social connection</cp:keywords>
  <dc:description>generated by python-docx</dc:description>
  <cp:lastModifiedBy/>
  <cp:revision>1</cp:revision>
  <dcterms:created xsi:type="dcterms:W3CDTF">2013-12-23T23:15:00Z</dcterms:created>
  <dcterms:modified xsi:type="dcterms:W3CDTF">2013-12-23T23:15:00Z</dcterms:modified>
  <cp:category/>
</cp:coreProperties>
</file>