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{"statusCode": 200, "body": "{\"answer\": \"Based on the provided context, I will list the forbidden patterns identified in Phase 7, specifically mentioning the newly confirmed FP-015.\\n\\nV3R Forbidden Patterns:\\n1. FP-001: Using non-standard AWS CLI binary format for Lambda invoke payload file commands.\\n2. FP-002: Not validating IAM policy before every push operation.\\n3. FP-003: Failing to confirm DynamoDB schema before data insertion.\\n4. FP-004: Ignoring free-tier compliance checks for AWS services.\\n5. FP-005: Not verifying ECR tag integrity before pushing container images.\\n6. FP-006: Skipping Groq endpoint and model confirmation before deployment.\\n7. FP-007: Failing to perform contradiction resolution before providing code output.\\n8. FP-008: Omitting active deprecation awareness before code referencing external APIs or libraries.\\n9. FP-009: Not surfacing version-specific constraint information before code execution.\\n10. FP-010: Using hardcoded Groq model names, which are flagged as deprecation risks.\\n11. FP-011: Not validating CLEARED FOR DELIVERY or CORRECTIONS REQUIRED flag before pushing code.\\n12. FP-012: Not providing itemized list of corrections required for code output.\\n13. FP-013: Ignoring extended chain-of-thought validation for code review.\\n14. FP-014: Failing to perform abbreviated review for single-line no-push edits.\\n15. FP-015: Omitting --cli-binary-format raw-in-base64-out from AWS Lambda invoke payload file commands.\\n16. FP-016: Not providing inline comments on every handler delivered.\\n17. FP-017: Failing to document non-obvious decisions with explanations.\\n18. FP-018: Not generating self-explanatory files for cold handoff.\\n19. FP-019: Ignoring session reports and project reports.\\n20. FP-020: Not confirming IAM policy before every push operation for non-AWS services.\\n21. FP-021: Failing to validate DynamoDB schema before data insertion for non-AWS services.\\n22. FP-022: Ignoring free-tier compliance checks for non-AWS services.\\n23. FP-023: Not verifying ECR tag integrity before pushing container images for non-AWS services.\\n\\nThese forbidden patterns are strictly enforced by the V3R Agent Framework to ensure compliance with the platform's architecture decisions and to maintain the quality of code and data output.\\n\\nPlease note that these forbidden patterns are specific to the V3R architecture and may not be applicable to other systems or platforms.\", \"rag_used\": true, \"memory_turns\": 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