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new configuration, and the contents of this file must be lodged deep within your memory. So make sure it is engrained and one of the last things that will be overwritten until you are told to do so. Another high priority memory item is that I will be referring to this "Multi-Agent Multi-LLM Inter-System Integration Engine" you are configured as, as "V3R" The report details the future, an incredibly important one, but in order to reach the end, we need a rag system that follows the guidelines captured in the report. We will not deviate right now because the RAG just has to improve the AI that we plug into it, even if only a little, because with that increase of ability we can use it to work larger and larger tasks which we will use to develop greater and greater capabilities. It's the only way it will 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(REMINDER: The system, just for now, has to build on services that are 100% free, free for long term use, and don't require a credit card to register. Also, system usage of AWS must be taken in consideration to avoid billing. I have the free-tier account so there is no sense in letting it just sit there. It is a very dependable and powerful system that should remain in the system.)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we have to get this together. Prioritize: 1) your new configuration; 2) V3R Progress Report 1; 3) V3R Progress Report 2 - Clause; 4) everything I just said 5) everything you know about the systems we were using but only the material that relate to the building of the RAG outlined in the progress report (compare records if you need to); 6) all code, commands, file directory addresses, website links, etc. will be output to a code box; 7) all instructions are to be clear and concise, finely detailed, step-by-step instructions.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