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PROJECT REPORT 6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10,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Full Project Handoff Document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1: SESSION SUMMARY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session completed Phase 1 of the V3R roadmap. All three core Lambda functions are now fully operational. The RAG pipeline is end-to-end functional for the first time.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2: WHAT WAS BUILT THIS SESSION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Three Lambda functions are now live and working together: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rag-ingest-ultra-test — Accepts text input, chunks it, embeds it locally using all-MiniLM-L6-v2 via AutoTokenizer/AutoModel from transformers, and writes chunks to DynamoDB rag-chunks table with chunk_id, text, embedding, source, and timestamp fields.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rag-retrieve — Accepts a query, embeds it using the same local model, scans rag-chunks, runs cosine similarity against all stored embeddings, and returns the top-k most relevant chunks. Skips records with no embedding field.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rag-chat — Accepts a query, invokes rag-retrieve to get context chunks, sends the query and context to Groq API using llama-3.1-8b-instant, and returns a memory-augmented generated answer with source attribution.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3: INFRASTRUCTURE STATE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Repository: rag-ingest-container, tag ml-offline-torch26 (3.9 GB, contains all three handlers plus all-MiniLM-L6-v2 model files baked in)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Tables: rag-chunks (partition key: chunk_id), rag-memory (unused, reserved for conversation history)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Role: rag-ingest-ultra-test-role-hi7s90re with AmazonDynamoDBFullAccess and AWSLambda_FullAccess attached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Configuration: All three functions use image ml-offline-torch26, 2048 MB memory, 10 minute timeout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Groq Model: llama-3.1-8b-instant (active, free tier)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4: KEY TECHNICAL DECISIONS MADE THIS SESSION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SentenceTransformer() was abandoned in favor of AutoTokenizer/AutoModel from transformers with manual mean pooling. This bypasses HuggingFace hub validation entirely and loads the model from the baked-in local path /var/task/models/all-MiniLM-L6-v2 without any network calls.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urllib.request was replaced with http.client.HTTPSConnection for Groq API calls for more precise header control.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llama3-8b-8192 was replaced with llama-3.1-8b-instant after confirming the former was decommissioned by Groq.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Tag ml-offline-torch26 is the permanent production tag. Do not switch tags without explicit instruction.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three handlers are baked into the same container image. CMD override in Lambda Image Configuration selects which handler runs per function.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5: CURRENT BLOCKING ISSUES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None. Phase 1 is complete.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6: NEXT STEPS — PHASE 2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Enable Function URLs on all three Lambda functions with auth set to NONE so the system can be called from outside AWS without the console.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a HuggingFace Space (dnsxt/rag-memory) as a Gradio frontend UI connecting to the Function URLs for ingest and chat.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Begin ingesting real project data — V3R reports, session notes, and knowledge base content — to populate the memory system.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 rag-memory DynamoDB table for conversation history persistence.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7: CREDENTIALS AND KEYS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Account ID: 236510207245, region us-east-1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Repository: rag-ingest-container, tag ml-offline-torch26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Functions: rag-ingest-ultra-test, rag-retrieve, rag-chat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Role: rag-ingest-ultra-test-role-hi7s90re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Tables: rag-chunks, rag-memory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Groq Model: llama-3.1-8b-instant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HuggingFace Username: dnsxt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REPORT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March 10, 2026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Status: Phase 1 Complete — Full RAG Pipeline Operational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