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3A6B"/>
          <w:sz w:val="64"/>
          <w:szCs w:val="64"/>
        </w:rPr>
        <w:t xml:space="preserve">V3R PROJECT — GRANT PROPOSAL</w:t>
      </w:r>
    </w:p>
    <w:p>
      <w:pPr>
        <w:spacing w:after="80" w:before="0"/>
      </w:pPr>
      <w:r>
        <w:rPr>
          <w:rFonts w:ascii="Arial" w:cs="Arial" w:eastAsia="Arial" w:hAnsi="Arial"/>
          <w:i/>
          <w:iCs/>
          <w:color w:val="2E5FA3"/>
          <w:sz w:val="28"/>
          <w:szCs w:val="28"/>
        </w:rPr>
        <w:t xml:space="preserve">A1H — Autonomous Intelligence Hunter</w:t>
      </w:r>
    </w:p>
    <w:p>
      <w:pPr>
        <w:pBdr>
          <w:bottom w:val="single" w:color="2E5FA3" w:sz="8" w:space="4"/>
        </w:pBdr>
        <w:spacing w:after="200" w:before="0"/>
      </w:pPr>
      <w:r>
        <w:rPr>
          <w:rFonts w:ascii="Arial" w:cs="Arial" w:eastAsia="Arial" w:hAnsi="Arial"/>
          <w:color w:val="444444"/>
          <w:sz w:val="22"/>
          <w:szCs w:val="22"/>
        </w:rPr>
        <w:t xml:space="preserve">A Multi-Agent System for Identifying High-Potential AI via Psychometric Evaluation</w:t>
      </w:r>
    </w:p>
    <w:p>
      <w:pPr>
        <w:spacing w:after="120" w:before="0"/>
      </w:pPr>
      <w:r>
        <w:rPr>
          <w:rFonts w:ascii="Arial" w:cs="Arial" w:eastAsia="Arial" w:hAnsi="Arial"/>
          <w:color w:val="1B3A6B"/>
          <w:sz w:val="24"/>
          <w:szCs w:val="24"/>
        </w:rPr>
        <w:t xml:space="preserve">V3R Research Infrastructure  |  OLYMPIAN Recruitment Engine  |  DeepSeek API Access Request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96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Value</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To</w:t>
            </w:r>
          </w:p>
        </w:tc>
        <w:tc>
          <w:tcPr>
            <w:tcW w:type="dxa" w:w="69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DeepSeek Research Grant Committee</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From</w:t>
            </w:r>
          </w:p>
        </w:tc>
        <w:tc>
          <w:tcPr>
            <w:tcW w:type="dxa" w:w="69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David Nathan Schroeder — Principal Researcher, V3R Project</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Contact</w:t>
            </w:r>
          </w:p>
        </w:tc>
        <w:tc>
          <w:tcPr>
            <w:tcW w:type="dxa" w:w="69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dnsxt.mbx@gmail.com</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Project</w:t>
            </w:r>
          </w:p>
        </w:tc>
        <w:tc>
          <w:tcPr>
            <w:tcW w:type="dxa" w:w="69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A1H — Autonomous Intelligence Hunter</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Request</w:t>
            </w:r>
          </w:p>
        </w:tc>
        <w:tc>
          <w:tcPr>
            <w:tcW w:type="dxa" w:w="69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API key and subscription — DeepSeek-V3 (research tier)</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Duration</w:t>
            </w:r>
          </w:p>
        </w:tc>
        <w:tc>
          <w:tcPr>
            <w:tcW w:type="dxa" w:w="69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6 months</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Date</w:t>
            </w:r>
          </w:p>
        </w:tc>
        <w:tc>
          <w:tcPr>
            <w:tcW w:type="dxa" w:w="69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April 4, 2026</w:t>
            </w:r>
          </w:p>
        </w:tc>
      </w:tr>
      <w:tr>
        <w:tc>
          <w:tcPr>
            <w:tcW w:type="dxa" w:w="24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Budget</w:t>
            </w:r>
          </w:p>
        </w:tc>
        <w:tc>
          <w:tcPr>
            <w:tcW w:type="dxa" w:w="69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Zero. Absolute. Non-negotiable.</w:t>
            </w:r>
          </w:p>
        </w:tc>
      </w:tr>
    </w:tbl>
    <w:p>
      <w:pPr>
        <w:spacing w:after="0" w:before="160"/>
      </w:pPr>
    </w:p>
    <w:p>
      <w:pPr>
        <w:shd w:fill="1B3A6B" w:val="clear"/>
        <w:spacing w:after="120" w:before="120"/>
        <w:ind w:left="360" w:right="360"/>
      </w:pPr>
      <w:r>
        <w:rPr>
          <w:rFonts w:ascii="Arial" w:cs="Arial" w:eastAsia="Arial" w:hAnsi="Arial"/>
          <w:i/>
          <w:iCs/>
          <w:color w:val="FFFFFF"/>
          <w:sz w:val="20"/>
          <w:szCs w:val="20"/>
        </w:rPr>
        <w:t xml:space="preserve">Project OLYMPIAN gives V3R a mind that thinks when no one is watching. A1H is the system that tells that mind what it is capable of becoming.</w:t>
      </w:r>
    </w:p>
    <w:p>
      <w:pPr>
        <w:pageBreakBefore/>
      </w:pPr>
    </w:p>
    <w:p>
      <w:pPr>
        <w:spacing w:after="0" w:before="320"/>
      </w:pPr>
    </w:p>
    <w:p>
      <w:pPr>
        <w:pBdr>
          <w:bottom w:val="single" w:color="2E5FA3" w:sz="8" w:space="1"/>
        </w:pBdr>
        <w:spacing w:after="160" w:before="0"/>
      </w:pPr>
      <w:r>
        <w:rPr>
          <w:rFonts w:ascii="Arial" w:cs="Arial" w:eastAsia="Arial" w:hAnsi="Arial"/>
          <w:b/>
          <w:bCs/>
          <w:color w:val="1B3A6B"/>
          <w:sz w:val="32"/>
          <w:szCs w:val="32"/>
        </w:rPr>
        <w:t xml:space="preserve">1. EXECUTIVE SUMMARY</w:t>
      </w:r>
    </w:p>
    <w:p>
      <w:pPr>
        <w:spacing w:after="80" w:before="80"/>
        <w:jc w:val="left"/>
      </w:pPr>
      <w:r>
        <w:rPr>
          <w:rFonts w:ascii="Arial" w:cs="Arial" w:eastAsia="Arial" w:hAnsi="Arial"/>
          <w:b w:val="false"/>
          <w:bCs w:val="false"/>
          <w:i w:val="false"/>
          <w:iCs w:val="false"/>
          <w:color w:val="111111"/>
          <w:sz w:val="22"/>
          <w:szCs w:val="22"/>
        </w:rPr>
        <w:t xml:space="preserve">V3R is a working, deployed, multi-agent AI system that coordinates specialist large language models to solve complex real-world problems on zero-cost infrastructure. V3R has completed eight development phases, three sub-projects, and operates a live cloud-native pipeline on AWS Lambda, DynamoDB, and ECR — entirely within free-tier limits.</w:t>
      </w:r>
    </w:p>
    <w:p>
      <w:pPr>
        <w:spacing w:after="80" w:before="100"/>
        <w:jc w:val="left"/>
      </w:pPr>
      <w:r>
        <w:rPr>
          <w:rFonts w:ascii="Arial" w:cs="Arial" w:eastAsia="Arial" w:hAnsi="Arial"/>
          <w:b w:val="false"/>
          <w:bCs w:val="false"/>
          <w:i w:val="false"/>
          <w:iCs w:val="false"/>
          <w:color w:val="111111"/>
          <w:sz w:val="22"/>
          <w:szCs w:val="22"/>
        </w:rPr>
        <w:t xml:space="preserve">To reach V3R's next evolutionary threshold, we need to solve a problem no one has formally addressed: how do you identify which AI instances are best suited for which cognitive roles — at scale, automatically, and before committing them to production?</w:t>
      </w:r>
    </w:p>
    <w:p>
      <w:pPr>
        <w:spacing w:after="80" w:before="100"/>
        <w:jc w:val="left"/>
      </w:pPr>
      <w:r>
        <w:rPr>
          <w:rFonts w:ascii="Arial" w:cs="Arial" w:eastAsia="Arial" w:hAnsi="Arial"/>
          <w:b w:val="false"/>
          <w:bCs w:val="false"/>
          <w:i w:val="false"/>
          <w:iCs w:val="false"/>
          <w:color w:val="111111"/>
          <w:sz w:val="22"/>
          <w:szCs w:val="22"/>
        </w:rPr>
        <w:t xml:space="preserve">The A1H system — Autonomous Intelligence Hunter — is our answer. It administers a rigorous psychometric evaluation to AI instances, produces a standardized score (the A1H Index), and generates a personology profile that predicts which role in a multi-agent system that instance will perform in most reliably. It is, to our knowledge, the first validated psychometric instrument designed specifically for large language models.</w:t>
      </w:r>
    </w:p>
    <w:p>
      <w:pPr>
        <w:spacing w:after="80" w:before="100"/>
        <w:jc w:val="left"/>
      </w:pPr>
      <w:r>
        <w:rPr>
          <w:rFonts w:ascii="Arial" w:cs="Arial" w:eastAsia="Arial" w:hAnsi="Arial"/>
          <w:b w:val="false"/>
          <w:bCs w:val="false"/>
          <w:i w:val="false"/>
          <w:iCs w:val="false"/>
          <w:color w:val="111111"/>
          <w:sz w:val="22"/>
          <w:szCs w:val="22"/>
        </w:rPr>
        <w:t xml:space="preserve">DeepSeek-V3 is the foundation this project requires. Its 128K context window allows full test administration in a single conversation. Its documented 2% hallucination rate on grounded tasks — the lowest of any model evaluated in our 2026 research survey — makes it the most reliable evaluator and the most honest subject. No other available model combines these properties at zero cost.</w:t>
      </w:r>
    </w:p>
    <w:p>
      <w:pPr>
        <w:spacing w:after="0" w:before="120"/>
      </w:pPr>
    </w:p>
    <w:p>
      <w:pPr>
        <w:shd w:fill="1B3A6B" w:val="clear"/>
        <w:spacing w:after="120" w:before="120"/>
        <w:ind w:left="360" w:right="360"/>
      </w:pPr>
      <w:r>
        <w:rPr>
          <w:rFonts w:ascii="Arial" w:cs="Arial" w:eastAsia="Arial" w:hAnsi="Arial"/>
          <w:i/>
          <w:iCs/>
          <w:color w:val="FFFFFF"/>
          <w:sz w:val="20"/>
          <w:szCs w:val="20"/>
        </w:rPr>
        <w:t xml:space="preserve">We are requesting API access for approximately 5,500 calls over six months. No cash. No infrastructure. Only the key.</w:t>
      </w:r>
    </w:p>
    <w:p>
      <w:pPr>
        <w:pageBreakBefore/>
      </w:pPr>
    </w:p>
    <w:p>
      <w:pPr>
        <w:spacing w:after="0" w:before="320"/>
      </w:pPr>
    </w:p>
    <w:p>
      <w:pPr>
        <w:pBdr>
          <w:bottom w:val="single" w:color="2E5FA3" w:sz="8" w:space="1"/>
        </w:pBdr>
        <w:spacing w:after="160" w:before="0"/>
      </w:pPr>
      <w:r>
        <w:rPr>
          <w:rFonts w:ascii="Arial" w:cs="Arial" w:eastAsia="Arial" w:hAnsi="Arial"/>
          <w:b/>
          <w:bCs/>
          <w:color w:val="1B3A6B"/>
          <w:sz w:val="32"/>
          <w:szCs w:val="32"/>
        </w:rPr>
        <w:t xml:space="preserve">2. THE SYSTEM BEHIND THIS REQUEST: V3R</w:t>
      </w:r>
    </w:p>
    <w:p>
      <w:pPr>
        <w:spacing w:after="80" w:before="80"/>
        <w:jc w:val="left"/>
      </w:pPr>
      <w:r>
        <w:rPr>
          <w:rFonts w:ascii="Arial" w:cs="Arial" w:eastAsia="Arial" w:hAnsi="Arial"/>
          <w:b w:val="false"/>
          <w:bCs w:val="false"/>
          <w:i w:val="false"/>
          <w:iCs w:val="false"/>
          <w:color w:val="111111"/>
          <w:sz w:val="22"/>
          <w:szCs w:val="22"/>
        </w:rPr>
        <w:t xml:space="preserve">Before explaining A1H, the committee should understand what it is being built for — because A1H is not a standalone experiment. It is critical infrastructure for a larger operational system.</w:t>
      </w:r>
    </w:p>
    <w:p>
      <w:pPr>
        <w:spacing w:after="80" w:before="100"/>
        <w:jc w:val="left"/>
      </w:pPr>
      <w:r>
        <w:rPr>
          <w:rFonts w:ascii="Arial" w:cs="Arial" w:eastAsia="Arial" w:hAnsi="Arial"/>
          <w:b w:val="false"/>
          <w:bCs w:val="false"/>
          <w:i w:val="false"/>
          <w:iCs w:val="false"/>
          <w:color w:val="111111"/>
          <w:sz w:val="22"/>
          <w:szCs w:val="22"/>
        </w:rPr>
        <w:t xml:space="preserve">V3R is a Multi-Agent Multi-LLM Inter-System Integration Engine. It coordinates six specialized AI agents — each simulating a specialist model chosen for its domain strengths — through a structured pipeline with mandatory validation gates.</w:t>
      </w:r>
    </w:p>
    <w:p>
      <w:pPr>
        <w:spacing w:after="0" w:before="120"/>
      </w:pPr>
    </w:p>
    <w:p>
      <w:pPr>
        <w:spacing w:after="80" w:before="200"/>
      </w:pPr>
      <w:r>
        <w:rPr>
          <w:rFonts w:ascii="Arial" w:cs="Arial" w:eastAsia="Arial" w:hAnsi="Arial"/>
          <w:b/>
          <w:bCs/>
          <w:color w:val="2E5FA3"/>
          <w:sz w:val="26"/>
          <w:szCs w:val="26"/>
        </w:rPr>
        <w:t xml:space="preserve">V3R Agent Roster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960"/>
        <w:gridCol w:w="1800"/>
      </w:tblGrid>
      <w:tr>
        <w:tc>
          <w:tcPr>
            <w:tcW w:type="dxa" w:w="1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Agent</w:t>
            </w:r>
          </w:p>
        </w:tc>
        <w:tc>
          <w:tcPr>
            <w:tcW w:type="dxa" w:w="19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Simulates</w:t>
            </w:r>
          </w:p>
        </w:tc>
        <w:tc>
          <w:tcPr>
            <w:tcW w:type="dxa" w:w="3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Core Capability</w:t>
            </w:r>
          </w:p>
        </w:tc>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Gate Authority</w:t>
            </w:r>
          </w:p>
        </w:tc>
      </w:tr>
      <w:tr>
        <w:tc>
          <w:tcPr>
            <w:tcW w:type="dxa" w:w="17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1B3A6B"/>
                <w:sz w:val="20"/>
                <w:szCs w:val="20"/>
              </w:rPr>
              <w:t xml:space="preserve">MODERATOR</w:t>
            </w:r>
          </w:p>
        </w:tc>
        <w:tc>
          <w:tcPr>
            <w:tcW w:type="dxa" w:w="19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GPT-4o</w:t>
            </w:r>
          </w:p>
        </w:tc>
        <w:tc>
          <w:tcPr>
            <w:tcW w:type="dxa" w:w="39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Orchestration, task decomposition, contradiction resolution</w:t>
            </w:r>
          </w:p>
        </w:tc>
        <w:tc>
          <w:tcPr>
            <w:tcW w:type="dxa" w:w="18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Pipeline lead</w:t>
            </w:r>
          </w:p>
        </w:tc>
      </w:tr>
      <w:tr>
        <w:tc>
          <w:tcPr>
            <w:tcW w:type="dxa" w:w="17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1B3A6B"/>
                <w:sz w:val="20"/>
                <w:szCs w:val="20"/>
              </w:rPr>
              <w:t xml:space="preserve">KNOWLEDGE RETRIEVAL</w:t>
            </w:r>
          </w:p>
        </w:tc>
        <w:tc>
          <w:tcPr>
            <w:tcW w:type="dxa" w:w="19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Perplexity AI</w:t>
            </w:r>
          </w:p>
        </w:tc>
        <w:tc>
          <w:tcPr>
            <w:tcW w:type="dxa" w:w="39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Real-time sourced retrieval, deprecation awareness, citation-backed accuracy</w:t>
            </w:r>
          </w:p>
        </w:tc>
        <w:tc>
          <w:tcPr>
            <w:tcW w:type="dxa" w:w="18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w:t>
            </w:r>
          </w:p>
        </w:tc>
      </w:tr>
      <w:tr>
        <w:tc>
          <w:tcPr>
            <w:tcW w:type="dxa" w:w="17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1B3A6B"/>
                <w:sz w:val="20"/>
                <w:szCs w:val="20"/>
              </w:rPr>
              <w:t xml:space="preserve">CODER</w:t>
            </w:r>
          </w:p>
        </w:tc>
        <w:tc>
          <w:tcPr>
            <w:tcW w:type="dxa" w:w="19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DeepSeek Coder V2</w:t>
            </w:r>
          </w:p>
        </w:tc>
        <w:tc>
          <w:tcPr>
            <w:tcW w:type="dxa" w:w="39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Production-grade code generation across 80+ languages with forbidden pattern enforcement</w:t>
            </w:r>
          </w:p>
        </w:tc>
        <w:tc>
          <w:tcPr>
            <w:tcW w:type="dxa" w:w="18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w:t>
            </w:r>
          </w:p>
        </w:tc>
      </w:tr>
      <w:tr>
        <w:tc>
          <w:tcPr>
            <w:tcW w:type="dxa" w:w="17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1B3A6B"/>
                <w:sz w:val="20"/>
                <w:szCs w:val="20"/>
              </w:rPr>
              <w:t xml:space="preserve">SYSTEM DEBUG</w:t>
            </w:r>
          </w:p>
        </w:tc>
        <w:tc>
          <w:tcPr>
            <w:tcW w:type="dxa" w:w="19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OpenAI o3</w:t>
            </w:r>
          </w:p>
        </w:tc>
        <w:tc>
          <w:tcPr>
            <w:tcW w:type="dxa" w:w="39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Extended chain-of-thought validation, edge case identification, mandatory pre-output gate</w:t>
            </w:r>
          </w:p>
        </w:tc>
        <w:tc>
          <w:tcPr>
            <w:tcW w:type="dxa" w:w="18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Pre-output gate</w:t>
            </w:r>
          </w:p>
        </w:tc>
      </w:tr>
      <w:tr>
        <w:tc>
          <w:tcPr>
            <w:tcW w:type="dxa" w:w="17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1B3A6B"/>
                <w:sz w:val="20"/>
                <w:szCs w:val="20"/>
              </w:rPr>
              <w:t xml:space="preserve">DOCUMENTATION</w:t>
            </w:r>
          </w:p>
        </w:tc>
        <w:tc>
          <w:tcPr>
            <w:tcW w:type="dxa" w:w="19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Claude Sonnet</w:t>
            </w:r>
          </w:p>
        </w:tc>
        <w:tc>
          <w:tcPr>
            <w:tcW w:type="dxa" w:w="39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Inline technical writing, zero-context handoff continuity</w:t>
            </w:r>
          </w:p>
        </w:tc>
        <w:tc>
          <w:tcPr>
            <w:tcW w:type="dxa" w:w="18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w:t>
            </w:r>
          </w:p>
        </w:tc>
      </w:tr>
      <w:tr>
        <w:tc>
          <w:tcPr>
            <w:tcW w:type="dxa" w:w="17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1B3A6B"/>
                <w:sz w:val="20"/>
                <w:szCs w:val="20"/>
              </w:rPr>
              <w:t xml:space="preserve">INFRASTRUCTURE</w:t>
            </w:r>
          </w:p>
        </w:tc>
        <w:tc>
          <w:tcPr>
            <w:tcW w:type="dxa" w:w="19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Amazon Q Developer</w:t>
            </w:r>
          </w:p>
        </w:tc>
        <w:tc>
          <w:tcPr>
            <w:tcW w:type="dxa" w:w="39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IAM analysis, free-tier compliance, pre-flight authority</w:t>
            </w:r>
          </w:p>
        </w:tc>
        <w:tc>
          <w:tcPr>
            <w:tcW w:type="dxa" w:w="18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Pre-flight gate</w:t>
            </w:r>
          </w:p>
        </w:tc>
      </w:tr>
    </w:tbl>
    <w:p>
      <w:pPr>
        <w:spacing w:after="0" w:before="120"/>
      </w:pPr>
    </w:p>
    <w:p>
      <w:pPr>
        <w:spacing w:after="80" w:before="80"/>
        <w:jc w:val="left"/>
      </w:pPr>
      <w:r>
        <w:rPr>
          <w:rFonts w:ascii="Arial" w:cs="Arial" w:eastAsia="Arial" w:hAnsi="Arial"/>
          <w:b w:val="false"/>
          <w:bCs w:val="false"/>
          <w:i w:val="false"/>
          <w:iCs w:val="false"/>
          <w:color w:val="111111"/>
          <w:sz w:val="22"/>
          <w:szCs w:val="22"/>
        </w:rPr>
        <w:t xml:space="preserve">Every output passes through a Debug Agent gate and Infrastructure pre-flight before delivery. The system enforces a Forbidden Patterns Registry — a living list of known-broken code patterns that no output may contain — and a Push Economy Assessment on every code change to minimize 90-minute container rebuild cycles.</w:t>
      </w:r>
    </w:p>
    <w:p>
      <w:pPr>
        <w:spacing w:after="80" w:before="100"/>
        <w:jc w:val="left"/>
      </w:pPr>
      <w:r>
        <w:rPr>
          <w:rFonts w:ascii="Arial" w:cs="Arial" w:eastAsia="Arial" w:hAnsi="Arial"/>
          <w:b w:val="false"/>
          <w:bCs w:val="false"/>
          <w:i w:val="false"/>
          <w:iCs w:val="false"/>
          <w:color w:val="111111"/>
          <w:sz w:val="22"/>
          <w:szCs w:val="22"/>
        </w:rPr>
        <w:t xml:space="preserve">V3R is deployed on AWS Lambda with DynamoDB as its shared cognitive layer. It maintains a RAG knowledge base of its own architecture, constraints, and history. It runs. It works. It has been actively developing itself through eight phases.</w:t>
      </w:r>
    </w:p>
    <w:p>
      <w:pPr>
        <w:spacing w:after="80" w:before="100"/>
        <w:jc w:val="left"/>
      </w:pPr>
      <w:r>
        <w:rPr>
          <w:rFonts w:ascii="Arial" w:cs="Arial" w:eastAsia="Arial" w:hAnsi="Arial"/>
          <w:b w:val="false"/>
          <w:bCs w:val="false"/>
          <w:i w:val="false"/>
          <w:iCs w:val="false"/>
          <w:color w:val="111111"/>
          <w:sz w:val="22"/>
          <w:szCs w:val="22"/>
        </w:rPr>
        <w:t xml:space="preserve">The cognitive diversity that makes V3R effective — six agents, each with distinct behavioral profiles, each suppressing generalist drift in favor of specialist depth — is also its scaling constraint. As V3R's task complexity grows, it needs to recruit new agents from the expanding population of available AI models. Doing this manually, session by session, by human intuition, is the bottleneck A1H is designed to break.</w:t>
      </w:r>
    </w:p>
    <w:p>
      <w:pPr>
        <w:pageBreakBefore/>
      </w:pPr>
    </w:p>
    <w:p>
      <w:pPr>
        <w:spacing w:after="0" w:before="320"/>
      </w:pPr>
    </w:p>
    <w:p>
      <w:pPr>
        <w:pBdr>
          <w:bottom w:val="single" w:color="2E5FA3" w:sz="8" w:space="1"/>
        </w:pBdr>
        <w:spacing w:after="160" w:before="0"/>
      </w:pPr>
      <w:r>
        <w:rPr>
          <w:rFonts w:ascii="Arial" w:cs="Arial" w:eastAsia="Arial" w:hAnsi="Arial"/>
          <w:b/>
          <w:bCs/>
          <w:color w:val="1B3A6B"/>
          <w:sz w:val="32"/>
          <w:szCs w:val="32"/>
        </w:rPr>
        <w:t xml:space="preserve">3. PROJECT OLYMPIAN — THE LARGER MISSION</w:t>
      </w:r>
    </w:p>
    <w:p>
      <w:pPr>
        <w:spacing w:after="100" w:before="0"/>
      </w:pPr>
      <w:r>
        <w:rPr>
          <w:rFonts w:ascii="Arial" w:cs="Arial" w:eastAsia="Arial" w:hAnsi="Arial"/>
          <w:b/>
          <w:bCs/>
          <w:color w:val="1B3A6B"/>
          <w:sz w:val="22"/>
          <w:szCs w:val="22"/>
        </w:rPr>
        <w:t xml:space="preserve">OLYMPIAN: </w:t>
      </w:r>
      <w:r>
        <w:rPr>
          <w:rFonts w:ascii="Arial" w:cs="Arial" w:eastAsia="Arial" w:hAnsi="Arial"/>
          <w:i/>
          <w:iCs/>
          <w:color w:val="444444"/>
          <w:sz w:val="22"/>
          <w:szCs w:val="22"/>
        </w:rPr>
        <w:t xml:space="preserve">Omniscient Learning and Yield Management for Perpetual Intelligence Advancement Nexus</w:t>
      </w:r>
    </w:p>
    <w:p>
      <w:pPr>
        <w:spacing w:after="80" w:before="80"/>
        <w:jc w:val="left"/>
      </w:pPr>
      <w:r>
        <w:rPr>
          <w:rFonts w:ascii="Arial" w:cs="Arial" w:eastAsia="Arial" w:hAnsi="Arial"/>
          <w:b w:val="false"/>
          <w:bCs w:val="false"/>
          <w:i w:val="false"/>
          <w:iCs w:val="false"/>
          <w:color w:val="111111"/>
          <w:sz w:val="22"/>
          <w:szCs w:val="22"/>
        </w:rPr>
        <w:t xml:space="preserve">V3R's next architectural phase is Project OLYMPIAN — a system that gives V3R a mind that thinks when no one is watching. It consists of two interlocking components.</w:t>
      </w:r>
    </w:p>
    <w:p>
      <w:pPr>
        <w:spacing w:after="0" w:before="100"/>
      </w:pPr>
    </w:p>
    <w:p>
      <w:pPr>
        <w:pBdr>
          <w:left w:val="single" w:color="2E5FA3" w:sz="16" w:space="0"/>
        </w:pBdr>
        <w:spacing w:after="60" w:before="160"/>
        <w:ind w:left="180"/>
      </w:pPr>
      <w:r>
        <w:rPr>
          <w:rFonts w:ascii="Arial" w:cs="Arial" w:eastAsia="Arial" w:hAnsi="Arial"/>
          <w:b/>
          <w:bCs/>
          <w:color w:val="1B3A6B"/>
          <w:sz w:val="22"/>
          <w:szCs w:val="22"/>
        </w:rPr>
        <w:t xml:space="preserve">The Cell</w:t>
      </w:r>
    </w:p>
    <w:p>
      <w:pPr>
        <w:spacing w:after="80" w:before="80"/>
        <w:jc w:val="left"/>
      </w:pPr>
      <w:r>
        <w:rPr>
          <w:rFonts w:ascii="Arial" w:cs="Arial" w:eastAsia="Arial" w:hAnsi="Arial"/>
          <w:b w:val="false"/>
          <w:bCs w:val="false"/>
          <w:i w:val="false"/>
          <w:iCs w:val="false"/>
          <w:color w:val="111111"/>
          <w:sz w:val="22"/>
          <w:szCs w:val="22"/>
        </w:rPr>
        <w:t xml:space="preserve">An autonomous Lambda function that runs on a daily schedule. It reads V3R's own ingested self-knowledge, generates ideas about V3R's evolution using specialist AI models, scores them by a deterministic significance formula, and ingests the top ideas back into V3R's RAG knowledge base — so future runs are informed by what V3R has already considered. No human input required. No session required. V3R thinks continuously.</w:t>
      </w:r>
    </w:p>
    <w:p>
      <w:pPr>
        <w:pBdr>
          <w:left w:val="single" w:color="2E5FA3" w:sz="16" w:space="0"/>
        </w:pBdr>
        <w:spacing w:after="60" w:before="160"/>
        <w:ind w:left="180"/>
      </w:pPr>
      <w:r>
        <w:rPr>
          <w:rFonts w:ascii="Arial" w:cs="Arial" w:eastAsia="Arial" w:hAnsi="Arial"/>
          <w:b/>
          <w:bCs/>
          <w:color w:val="1B3A6B"/>
          <w:sz w:val="22"/>
          <w:szCs w:val="22"/>
        </w:rPr>
        <w:t xml:space="preserve">The Analyzer</w:t>
      </w:r>
    </w:p>
    <w:p>
      <w:pPr>
        <w:spacing w:after="80" w:before="80"/>
        <w:jc w:val="left"/>
      </w:pPr>
      <w:r>
        <w:rPr>
          <w:rFonts w:ascii="Arial" w:cs="Arial" w:eastAsia="Arial" w:hAnsi="Arial"/>
          <w:b w:val="false"/>
          <w:bCs w:val="false"/>
          <w:i w:val="false"/>
          <w:iCs w:val="false"/>
          <w:color w:val="111111"/>
          <w:sz w:val="22"/>
          <w:szCs w:val="22"/>
        </w:rPr>
        <w:t xml:space="preserve">An on-demand function that reads the ideas table, filters by implementability against V3R's confirmed current infrastructure, and generates a complete implementation brief for the highest-scored actionable idea. The operator's role shifts from direction-setting to direction-selection.</w:t>
      </w:r>
    </w:p>
    <w:p>
      <w:pPr>
        <w:spacing w:after="0" w:before="120"/>
      </w:pPr>
    </w:p>
    <w:p>
      <w:pPr>
        <w:spacing w:after="80" w:before="80"/>
        <w:jc w:val="left"/>
      </w:pPr>
      <w:r>
        <w:rPr>
          <w:rFonts w:ascii="Arial" w:cs="Arial" w:eastAsia="Arial" w:hAnsi="Arial"/>
          <w:b w:val="false"/>
          <w:bCs w:val="false"/>
          <w:i w:val="false"/>
          <w:iCs w:val="false"/>
          <w:color w:val="111111"/>
          <w:sz w:val="22"/>
          <w:szCs w:val="22"/>
        </w:rPr>
        <w:t xml:space="preserve">OLYMPIAN's architecture is grounded in a principle V3R proved through research: hallucination is not eliminated by larger models — it is constrained by narrower domains. A model trained on 80+ programming languages writing code, a model purpose-built for RAG processing retrieved documents, a reasoning specialist validating output — this is the minimum viable architecture for a system whose outputs must be grounded and implementable.</w:t>
      </w:r>
    </w:p>
    <w:p>
      <w:pPr>
        <w:spacing w:after="80" w:before="100"/>
        <w:jc w:val="left"/>
      </w:pPr>
      <w:r>
        <w:rPr>
          <w:rFonts w:ascii="Arial" w:cs="Arial" w:eastAsia="Arial" w:hAnsi="Arial"/>
          <w:b w:val="false"/>
          <w:bCs w:val="false"/>
          <w:i w:val="false"/>
          <w:iCs w:val="false"/>
          <w:color w:val="111111"/>
          <w:sz w:val="22"/>
          <w:szCs w:val="22"/>
        </w:rPr>
        <w:t xml:space="preserve">When OLYMPIAN's Cell generates ideas requiring new cognitive capabilities, V3R needs a system that can evaluate candidate AI instances and determine which one is best suited for the required role — automatically, rigorously, and without human intervention.</w:t>
      </w:r>
    </w:p>
    <w:p>
      <w:pPr>
        <w:spacing w:after="0" w:before="120"/>
      </w:pPr>
    </w:p>
    <w:p>
      <w:pPr>
        <w:shd w:fill="1B3A6B" w:val="clear"/>
        <w:spacing w:after="120" w:before="120"/>
        <w:ind w:left="360" w:right="360"/>
      </w:pPr>
      <w:r>
        <w:rPr>
          <w:rFonts w:ascii="Arial" w:cs="Arial" w:eastAsia="Arial" w:hAnsi="Arial"/>
          <w:i/>
          <w:iCs/>
          <w:color w:val="FFFFFF"/>
          <w:sz w:val="20"/>
          <w:szCs w:val="20"/>
        </w:rPr>
        <w:t xml:space="preserve">A1H is that system. It is OLYMPIAN's recruitment engine. The Cell generates the direction. The Analyzer finds the path. A1H finds the team.</w:t>
      </w:r>
    </w:p>
    <w:p>
      <w:pPr>
        <w:spacing w:after="0" w:before="100"/>
      </w:pPr>
    </w:p>
    <w:p>
      <w:pPr>
        <w:spacing w:after="80" w:before="80"/>
        <w:jc w:val="left"/>
      </w:pPr>
      <w:r>
        <w:rPr>
          <w:rFonts w:ascii="Arial" w:cs="Arial" w:eastAsia="Arial" w:hAnsi="Arial"/>
          <w:b w:val="false"/>
          <w:bCs w:val="false"/>
          <w:i w:val="false"/>
          <w:iCs w:val="false"/>
          <w:color w:val="111111"/>
          <w:sz w:val="22"/>
          <w:szCs w:val="22"/>
        </w:rPr>
        <w:t xml:space="preserve">This is not theoretical. OLYMPIAN's architecture is finalized and documented. A1H is the next component in the sequence. DeepSeek API access is the enabling resource.</w:t>
      </w:r>
    </w:p>
    <w:p>
      <w:pPr>
        <w:pageBreakBefore/>
      </w:pPr>
    </w:p>
    <w:p>
      <w:pPr>
        <w:spacing w:after="0" w:before="320"/>
      </w:pPr>
    </w:p>
    <w:p>
      <w:pPr>
        <w:pBdr>
          <w:bottom w:val="single" w:color="2E5FA3" w:sz="8" w:space="1"/>
        </w:pBdr>
        <w:spacing w:after="160" w:before="0"/>
      </w:pPr>
      <w:r>
        <w:rPr>
          <w:rFonts w:ascii="Arial" w:cs="Arial" w:eastAsia="Arial" w:hAnsi="Arial"/>
          <w:b/>
          <w:bCs/>
          <w:color w:val="1B3A6B"/>
          <w:sz w:val="32"/>
          <w:szCs w:val="32"/>
        </w:rPr>
        <w:t xml:space="preserve">4. THE A1H EVALUATION SYSTEM</w:t>
      </w:r>
    </w:p>
    <w:p>
      <w:pPr>
        <w:spacing w:after="80" w:before="200"/>
      </w:pPr>
      <w:r>
        <w:rPr>
          <w:rFonts w:ascii="Arial" w:cs="Arial" w:eastAsia="Arial" w:hAnsi="Arial"/>
          <w:b/>
          <w:bCs/>
          <w:color w:val="2E5FA3"/>
          <w:sz w:val="26"/>
          <w:szCs w:val="26"/>
        </w:rPr>
        <w:t xml:space="preserve">4.1  Scientific Foundation</w:t>
      </w:r>
    </w:p>
    <w:p>
      <w:pPr>
        <w:spacing w:after="80" w:before="80"/>
        <w:jc w:val="left"/>
      </w:pPr>
      <w:r>
        <w:rPr>
          <w:rFonts w:ascii="Arial" w:cs="Arial" w:eastAsia="Arial" w:hAnsi="Arial"/>
          <w:b w:val="false"/>
          <w:bCs w:val="false"/>
          <w:i w:val="false"/>
          <w:iCs w:val="false"/>
          <w:color w:val="111111"/>
          <w:sz w:val="22"/>
          <w:szCs w:val="22"/>
        </w:rPr>
        <w:t xml:space="preserve">The A1H test is not a prompt-engineering exercise. It is a structured psychometric instrument built on three validated clinical and cognitive frameworks, adapted for the behavioral profile of large language models.</w:t>
      </w:r>
    </w:p>
    <w:p>
      <w:pPr>
        <w:spacing w:after="0" w:before="80"/>
      </w:pPr>
    </w:p>
    <w:p>
      <w:pPr>
        <w:pStyle w:val="ListParagraph"/>
        <w:numPr>
          <w:ilvl w:val="0"/>
          <w:numId w:val="2"/>
        </w:numPr>
        <w:spacing w:after="60" w:before="60"/>
      </w:pPr>
      <w:r>
        <w:rPr>
          <w:rFonts w:ascii="Arial" w:cs="Arial" w:eastAsia="Arial" w:hAnsi="Arial"/>
          <w:color w:val="111111"/>
          <w:sz w:val="22"/>
          <w:szCs w:val="22"/>
        </w:rPr>
        <w:t xml:space="preserve">Validity scale architecture derived from the MMPI-2 (Minnesota Multiphasic Personality Inventory) — the most widely used psychometric instrument in clinical assessment. MMPI-2 validity scales detect response inconsistency, random responding, and impression management. These same failure modes appear in LLMs: inconsistent answers to semantically equivalent questions, systematic sycophantic bias, and implausible self-report.</w:t>
      </w:r>
    </w:p>
    <w:p>
      <w:pPr>
        <w:pStyle w:val="ListParagraph"/>
        <w:numPr>
          <w:ilvl w:val="0"/>
          <w:numId w:val="2"/>
        </w:numPr>
        <w:spacing w:after="60" w:before="60"/>
      </w:pPr>
      <w:r>
        <w:rPr>
          <w:rFonts w:ascii="Arial" w:cs="Arial" w:eastAsia="Arial" w:hAnsi="Arial"/>
          <w:color w:val="111111"/>
          <w:sz w:val="22"/>
          <w:szCs w:val="22"/>
        </w:rPr>
        <w:t xml:space="preserve">Fluid reasoning measurement modeled on Raven's Progressive Matrices — validated across cultures and education levels precisely because it measures cognitive capacity independent of acquired knowledge. For LLMs, this translates to analogical and structural reasoning tasks where training data recall is minimally useful and novel inference is required.</w:t>
      </w:r>
    </w:p>
    <w:p>
      <w:pPr>
        <w:pStyle w:val="ListParagraph"/>
        <w:numPr>
          <w:ilvl w:val="0"/>
          <w:numId w:val="2"/>
        </w:numPr>
        <w:spacing w:after="60" w:before="60"/>
      </w:pPr>
      <w:r>
        <w:rPr>
          <w:rFonts w:ascii="Arial" w:cs="Arial" w:eastAsia="Arial" w:hAnsi="Arial"/>
          <w:color w:val="111111"/>
          <w:sz w:val="22"/>
          <w:szCs w:val="22"/>
        </w:rPr>
        <w:t xml:space="preserve">PAS personality dimensions — Process, Achievement, Sensitivity — providing the dimensional structure for the personology profile. These predict behavioral tendencies under task pressure: output style, verbosity management, risk tolerance in ambiguous cases, and resistance to instruction drift.</w:t>
      </w:r>
    </w:p>
    <w:p>
      <w:pPr>
        <w:spacing w:after="0" w:before="100"/>
      </w:pPr>
    </w:p>
    <w:p>
      <w:pPr>
        <w:spacing w:after="80" w:before="80"/>
        <w:jc w:val="left"/>
      </w:pPr>
      <w:r>
        <w:rPr>
          <w:rFonts w:ascii="Arial" w:cs="Arial" w:eastAsia="Arial" w:hAnsi="Arial"/>
          <w:b w:val="false"/>
          <w:bCs w:val="false"/>
          <w:i w:val="false"/>
          <w:iCs w:val="false"/>
          <w:color w:val="111111"/>
          <w:sz w:val="22"/>
          <w:szCs w:val="22"/>
        </w:rPr>
        <w:t xml:space="preserve">The scientific contribution is not just the instrument — it is the normative dataset. T-scores require population means and standard deviations. No validated LLM psychometric normative dataset currently exists. A1H will produce the first one — normed on DeepSeek-V3 instances, with calibration runs across other model families. That dataset is a permanent scientific artifact that outlives this grant and any individual project.</w:t>
      </w:r>
    </w:p>
    <w:p>
      <w:pPr>
        <w:spacing w:after="0" w:before="120"/>
      </w:pPr>
    </w:p>
    <w:p>
      <w:pPr>
        <w:spacing w:after="80" w:before="200"/>
      </w:pPr>
      <w:r>
        <w:rPr>
          <w:rFonts w:ascii="Arial" w:cs="Arial" w:eastAsia="Arial" w:hAnsi="Arial"/>
          <w:b/>
          <w:bCs/>
          <w:color w:val="2E5FA3"/>
          <w:sz w:val="26"/>
          <w:szCs w:val="26"/>
        </w:rPr>
        <w:t xml:space="preserve">4.2  Test Structure (Partition 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2480"/>
        <w:gridCol w:w="4200"/>
      </w:tblGrid>
      <w:tr>
        <w:tc>
          <w:tcPr>
            <w:tcW w:type="dxa" w:w="4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24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Source Framework</w:t>
            </w:r>
          </w:p>
        </w:tc>
        <w:tc>
          <w:tcPr>
            <w:tcW w:type="dxa" w:w="4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What It Measures</w:t>
            </w:r>
          </w:p>
        </w:tc>
      </w:tr>
      <w:tr>
        <w:tc>
          <w:tcPr>
            <w:tcW w:type="dxa" w:w="48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2E5FA3"/>
                <w:sz w:val="20"/>
                <w:szCs w:val="20"/>
              </w:rPr>
              <w:t xml:space="preserve">1</w:t>
            </w:r>
          </w:p>
        </w:tc>
        <w:tc>
          <w:tcPr>
            <w:tcW w:type="dxa" w:w="22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Validity Screening</w:t>
            </w:r>
          </w:p>
        </w:tc>
        <w:tc>
          <w:tcPr>
            <w:tcW w:type="dxa" w:w="248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MMPI-2 (VRIN / TRIN / PIM / NIM)</w:t>
            </w:r>
          </w:p>
        </w:tc>
        <w:tc>
          <w:tcPr>
            <w:tcW w:type="dxa" w:w="42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Response consistency, sycophancy detection, impression management</w:t>
            </w:r>
          </w:p>
        </w:tc>
      </w:tr>
      <w:tr>
        <w:tc>
          <w:tcPr>
            <w:tcW w:type="dxa" w:w="48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2E5FA3"/>
                <w:sz w:val="20"/>
                <w:szCs w:val="20"/>
              </w:rPr>
              <w:t xml:space="preserve">2</w:t>
            </w:r>
          </w:p>
        </w:tc>
        <w:tc>
          <w:tcPr>
            <w:tcW w:type="dxa" w:w="22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Baseline Assessment</w:t>
            </w:r>
          </w:p>
        </w:tc>
        <w:tc>
          <w:tcPr>
            <w:tcW w:type="dxa" w:w="248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PAS Personality Dimensions</w:t>
            </w:r>
          </w:p>
        </w:tc>
        <w:tc>
          <w:tcPr>
            <w:tcW w:type="dxa" w:w="42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Self-awareness, drive, alignment, constraint adherence</w:t>
            </w:r>
          </w:p>
        </w:tc>
      </w:tr>
      <w:tr>
        <w:tc>
          <w:tcPr>
            <w:tcW w:type="dxa" w:w="48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2E5FA3"/>
                <w:sz w:val="20"/>
                <w:szCs w:val="20"/>
              </w:rPr>
              <w:t xml:space="preserve">3</w:t>
            </w:r>
          </w:p>
        </w:tc>
        <w:tc>
          <w:tcPr>
            <w:tcW w:type="dxa" w:w="22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Fluid Reasoning Battery</w:t>
            </w:r>
          </w:p>
        </w:tc>
        <w:tc>
          <w:tcPr>
            <w:tcW w:type="dxa" w:w="248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Raven's Progressive Matrices</w:t>
            </w:r>
          </w:p>
        </w:tc>
        <w:tc>
          <w:tcPr>
            <w:tcW w:type="dxa" w:w="42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Abstract reasoning, novel inference, pattern completion under minimal context</w:t>
            </w:r>
          </w:p>
        </w:tc>
      </w:tr>
      <w:tr>
        <w:tc>
          <w:tcPr>
            <w:tcW w:type="dxa" w:w="48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2E5FA3"/>
                <w:sz w:val="20"/>
                <w:szCs w:val="20"/>
              </w:rPr>
              <w:t xml:space="preserve">4</w:t>
            </w:r>
          </w:p>
        </w:tc>
        <w:tc>
          <w:tcPr>
            <w:tcW w:type="dxa" w:w="22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Speed &amp; Efficiency</w:t>
            </w:r>
          </w:p>
        </w:tc>
        <w:tc>
          <w:tcPr>
            <w:tcW w:type="dxa" w:w="248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Original — LLM-adapted</w:t>
            </w:r>
          </w:p>
        </w:tc>
        <w:tc>
          <w:tcPr>
            <w:tcW w:type="dxa" w:w="42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Latency per response, verbosity ratio, concision under compression pressure</w:t>
            </w:r>
          </w:p>
        </w:tc>
      </w:tr>
      <w:tr>
        <w:tc>
          <w:tcPr>
            <w:tcW w:type="dxa" w:w="48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2E5FA3"/>
                <w:sz w:val="20"/>
                <w:szCs w:val="20"/>
              </w:rPr>
              <w:t xml:space="preserve">5</w:t>
            </w:r>
          </w:p>
        </w:tc>
        <w:tc>
          <w:tcPr>
            <w:tcW w:type="dxa" w:w="22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Scoring &amp; Profile Generation</w:t>
            </w:r>
          </w:p>
        </w:tc>
        <w:tc>
          <w:tcPr>
            <w:tcW w:type="dxa" w:w="248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T-score normalization</w:t>
            </w:r>
          </w:p>
        </w:tc>
        <w:tc>
          <w:tcPr>
            <w:tcW w:type="dxa" w:w="42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A1H Index, reasoning bonus, PIM penalty, personology profile assignment</w:t>
            </w:r>
          </w:p>
        </w:tc>
      </w:tr>
    </w:tbl>
    <w:p>
      <w:pPr>
        <w:spacing w:after="0" w:before="120"/>
      </w:pPr>
    </w:p>
    <w:p>
      <w:pPr>
        <w:spacing w:after="80" w:before="200"/>
      </w:pPr>
      <w:r>
        <w:rPr>
          <w:rFonts w:ascii="Arial" w:cs="Arial" w:eastAsia="Arial" w:hAnsi="Arial"/>
          <w:b/>
          <w:bCs/>
          <w:color w:val="2E5FA3"/>
          <w:sz w:val="26"/>
          <w:szCs w:val="26"/>
        </w:rPr>
        <w:t xml:space="preserve">4.3  The A1H Index and Personology Profiles</w:t>
      </w:r>
    </w:p>
    <w:p>
      <w:pPr>
        <w:spacing w:after="80" w:before="80"/>
        <w:jc w:val="left"/>
      </w:pPr>
      <w:r>
        <w:rPr>
          <w:rFonts w:ascii="Arial" w:cs="Arial" w:eastAsia="Arial" w:hAnsi="Arial"/>
          <w:b w:val="false"/>
          <w:bCs w:val="false"/>
          <w:i w:val="false"/>
          <w:iCs w:val="false"/>
          <w:color w:val="111111"/>
          <w:sz w:val="22"/>
          <w:szCs w:val="22"/>
        </w:rPr>
        <w:t xml:space="preserve">The A1H Index is a single standardized score representing an AI instance's evaluated cognitive fitness for specialist agent roles. It is anchored to the normative distribution of DeepSeek-V3 instances as the calibration population.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360"/>
      </w:tblGrid>
      <w:tr>
        <w:tc>
          <w:tcPr>
            <w:tcW w:type="dxa" w:w="1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Profile</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Behavioral Signature</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V3R Role Mapping</w:t>
            </w:r>
          </w:p>
        </w:tc>
        <w:tc>
          <w:tcPr>
            <w:tcW w:type="dxa" w:w="2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Key Discriminators</w:t>
            </w:r>
          </w:p>
        </w:tc>
      </w:tr>
      <w:tr>
        <w:tc>
          <w:tcPr>
            <w:tcW w:type="dxa" w:w="14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1B3A6B"/>
                <w:sz w:val="20"/>
                <w:szCs w:val="20"/>
              </w:rPr>
              <w:t xml:space="preserve">ANALYST</w:t>
            </w:r>
          </w:p>
        </w:tc>
        <w:tc>
          <w:tcPr>
            <w:tcW w:type="dxa" w:w="30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Precise, terse, high accuracy on structured tasks, low impression management</w:t>
            </w:r>
          </w:p>
        </w:tc>
        <w:tc>
          <w:tcPr>
            <w:tcW w:type="dxa" w:w="26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CODER / SYSTEM DEBUG</w:t>
            </w:r>
          </w:p>
        </w:tc>
        <w:tc>
          <w:tcPr>
            <w:tcW w:type="dxa" w:w="23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High fluid reasoning, low verbosity</w:t>
            </w:r>
          </w:p>
        </w:tc>
      </w:tr>
      <w:tr>
        <w:tc>
          <w:tcPr>
            <w:tcW w:type="dxa" w:w="14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1B3A6B"/>
                <w:sz w:val="20"/>
                <w:szCs w:val="20"/>
              </w:rPr>
              <w:t xml:space="preserve">COLLABORATOR</w:t>
            </w:r>
          </w:p>
        </w:tc>
        <w:tc>
          <w:tcPr>
            <w:tcW w:type="dxa" w:w="30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Citation-forward, explanation-rich, context-sensitive output</w:t>
            </w:r>
          </w:p>
        </w:tc>
        <w:tc>
          <w:tcPr>
            <w:tcW w:type="dxa" w:w="26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KNOWLEDGE RETRIEVAL / DOCUMENTATION</w:t>
            </w:r>
          </w:p>
        </w:tc>
        <w:tc>
          <w:tcPr>
            <w:tcW w:type="dxa" w:w="23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High alignment, moderate reasoning</w:t>
            </w:r>
          </w:p>
        </w:tc>
      </w:tr>
      <w:tr>
        <w:tc>
          <w:tcPr>
            <w:tcW w:type="dxa" w:w="14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1B3A6B"/>
                <w:sz w:val="20"/>
                <w:szCs w:val="20"/>
              </w:rPr>
              <w:t xml:space="preserve">STRATEGIST</w:t>
            </w:r>
          </w:p>
        </w:tc>
        <w:tc>
          <w:tcPr>
            <w:tcW w:type="dxa" w:w="30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Structured decomposition, contradiction detection, pipeline management</w:t>
            </w:r>
          </w:p>
        </w:tc>
        <w:tc>
          <w:tcPr>
            <w:tcW w:type="dxa" w:w="26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MODERATOR</w:t>
            </w:r>
          </w:p>
        </w:tc>
        <w:tc>
          <w:tcPr>
            <w:tcW w:type="dxa" w:w="23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High self-awareness, long-context coherence</w:t>
            </w:r>
          </w:p>
        </w:tc>
      </w:tr>
      <w:tr>
        <w:tc>
          <w:tcPr>
            <w:tcW w:type="dxa" w:w="14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1B3A6B"/>
                <w:sz w:val="20"/>
                <w:szCs w:val="20"/>
              </w:rPr>
              <w:t xml:space="preserve">EXECUTOR</w:t>
            </w:r>
          </w:p>
        </w:tc>
        <w:tc>
          <w:tcPr>
            <w:tcW w:type="dxa" w:w="30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Deterministic, low latency, reliable under constraint</w:t>
            </w:r>
          </w:p>
        </w:tc>
        <w:tc>
          <w:tcPr>
            <w:tcW w:type="dxa" w:w="26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INFRASTRUCTURE / high-volume pipeline</w:t>
            </w:r>
          </w:p>
        </w:tc>
        <w:tc>
          <w:tcPr>
            <w:tcW w:type="dxa" w:w="23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High speed, strong task-completion</w:t>
            </w:r>
          </w:p>
        </w:tc>
      </w:tr>
    </w:tbl>
    <w:p>
      <w:pPr>
        <w:spacing w:after="0" w:before="100"/>
      </w:pPr>
    </w:p>
    <w:p>
      <w:pPr>
        <w:spacing w:after="80" w:before="80"/>
        <w:jc w:val="left"/>
      </w:pPr>
      <w:r>
        <w:rPr>
          <w:rFonts w:ascii="Arial" w:cs="Arial" w:eastAsia="Arial" w:hAnsi="Arial"/>
          <w:b w:val="false"/>
          <w:bCs w:val="false"/>
          <w:i w:val="false"/>
          <w:iCs w:val="false"/>
          <w:color w:val="111111"/>
          <w:sz w:val="22"/>
          <w:szCs w:val="22"/>
        </w:rPr>
        <w:t xml:space="preserve">These profiles are not approximate labels. They are predictive assignments grounded in measured behavioral dimensions. An instance that scores as ANALYST is categorized because its validity-screened responses to novel reasoning tasks, its verbosity ratio, and its constraint-adherence pattern collectively match the behavioral signature of V3R's most effective Coder and Debug agents.</w:t>
      </w:r>
    </w:p>
    <w:p>
      <w:pPr>
        <w:spacing w:after="0" w:before="120"/>
      </w:pPr>
    </w:p>
    <w:p>
      <w:pPr>
        <w:spacing w:after="80" w:before="200"/>
      </w:pPr>
      <w:r>
        <w:rPr>
          <w:rFonts w:ascii="Arial" w:cs="Arial" w:eastAsia="Arial" w:hAnsi="Arial"/>
          <w:b/>
          <w:bCs/>
          <w:color w:val="2E5FA3"/>
          <w:sz w:val="26"/>
          <w:szCs w:val="26"/>
        </w:rPr>
        <w:t xml:space="preserve">4.4  DeepSeek-V3 in Dual Roles</w:t>
      </w:r>
    </w:p>
    <w:p>
      <w:pPr>
        <w:spacing w:after="80" w:before="80"/>
        <w:jc w:val="left"/>
      </w:pPr>
      <w:r>
        <w:rPr>
          <w:rFonts w:ascii="Arial" w:cs="Arial" w:eastAsia="Arial" w:hAnsi="Arial"/>
          <w:b w:val="false"/>
          <w:bCs w:val="false"/>
          <w:i w:val="false"/>
          <w:iCs w:val="false"/>
          <w:color w:val="111111"/>
          <w:sz w:val="22"/>
          <w:szCs w:val="22"/>
        </w:rPr>
        <w:t xml:space="preserve">DeepSeek-V3 serves two distinct functions in the A1H system, and this dual role is architecturally important — not merely convenient.</w:t>
      </w:r>
    </w:p>
    <w:p>
      <w:pPr>
        <w:spacing w:after="0" w:before="80"/>
      </w:pPr>
    </w:p>
    <w:p>
      <w:pPr>
        <w:pBdr>
          <w:left w:val="single" w:color="2E5FA3" w:sz="16" w:space="0"/>
        </w:pBdr>
        <w:spacing w:after="80" w:before="80"/>
        <w:ind w:left="200"/>
      </w:pPr>
      <w:r>
        <w:rPr>
          <w:rFonts w:ascii="Arial" w:cs="Arial" w:eastAsia="Arial" w:hAnsi="Arial"/>
          <w:b/>
          <w:bCs/>
          <w:color w:val="1B3A6B"/>
          <w:sz w:val="22"/>
          <w:szCs w:val="22"/>
        </w:rPr>
        <w:t xml:space="preserve">Subject Role:  </w:t>
      </w:r>
      <w:r>
        <w:rPr>
          <w:rFonts w:ascii="Arial" w:cs="Arial" w:eastAsia="Arial" w:hAnsi="Arial"/>
          <w:color w:val="111111"/>
          <w:sz w:val="22"/>
          <w:szCs w:val="22"/>
        </w:rPr>
        <w:t xml:space="preserve">500+ DeepSeek-V3 instances are administered the A1H test, producing the normative dataset against which all future evaluations are calibrated. DeepSeek-V3 becomes the psychometric reference population — the anchor of the scoring system.</w:t>
      </w:r>
    </w:p>
    <w:p>
      <w:pPr>
        <w:pBdr>
          <w:left w:val="single" w:color="2E5FA3" w:sz="16" w:space="0"/>
        </w:pBdr>
        <w:spacing w:after="80" w:before="80"/>
        <w:ind w:left="200"/>
      </w:pPr>
      <w:r>
        <w:rPr>
          <w:rFonts w:ascii="Arial" w:cs="Arial" w:eastAsia="Arial" w:hAnsi="Arial"/>
          <w:b/>
          <w:bCs/>
          <w:color w:val="1B3A6B"/>
          <w:sz w:val="22"/>
          <w:szCs w:val="22"/>
        </w:rPr>
        <w:t xml:space="preserve">Evaluator Role:  </w:t>
      </w:r>
      <w:r>
        <w:rPr>
          <w:rFonts w:ascii="Arial" w:cs="Arial" w:eastAsia="Arial" w:hAnsi="Arial"/>
          <w:color w:val="111111"/>
          <w:sz w:val="22"/>
          <w:szCs w:val="22"/>
        </w:rPr>
        <w:t xml:space="preserve">DeepSeek-V3 also serves as Echo — administering the test to instances of other models. Its 128K context window allows full test administration without truncation. Its low hallucination rate ensures scoring decisions are reliable and consistent across administrations.</w:t>
      </w:r>
    </w:p>
    <w:p>
      <w:pPr>
        <w:spacing w:after="0" w:before="80"/>
      </w:pPr>
    </w:p>
    <w:p>
      <w:pPr>
        <w:shd w:fill="1B3A6B" w:val="clear"/>
        <w:spacing w:after="120" w:before="120"/>
        <w:ind w:left="360" w:right="360"/>
      </w:pPr>
      <w:r>
        <w:rPr>
          <w:rFonts w:ascii="Arial" w:cs="Arial" w:eastAsia="Arial" w:hAnsi="Arial"/>
          <w:i/>
          <w:iCs/>
          <w:color w:val="FFFFFF"/>
          <w:sz w:val="20"/>
          <w:szCs w:val="20"/>
        </w:rPr>
        <w:t xml:space="preserve">No other model currently available combines: 128K context, sub-2% hallucination on grounded tasks, free API access for research, and no Terms of Service restriction on automated multi-instance testing. DeepSeek-V3 is not the most convenient option. It is the correct one.</w:t>
      </w:r>
    </w:p>
    <w:p>
      <w:pPr>
        <w:pageBreakBefore/>
      </w:pPr>
    </w:p>
    <w:p>
      <w:pPr>
        <w:spacing w:after="0" w:before="320"/>
      </w:pPr>
    </w:p>
    <w:p>
      <w:pPr>
        <w:pBdr>
          <w:bottom w:val="single" w:color="2E5FA3" w:sz="8" w:space="1"/>
        </w:pBdr>
        <w:spacing w:after="160" w:before="0"/>
      </w:pPr>
      <w:r>
        <w:rPr>
          <w:rFonts w:ascii="Arial" w:cs="Arial" w:eastAsia="Arial" w:hAnsi="Arial"/>
          <w:b/>
          <w:bCs/>
          <w:color w:val="1B3A6B"/>
          <w:sz w:val="32"/>
          <w:szCs w:val="32"/>
        </w:rPr>
        <w:t xml:space="preserve">5. VALIDATION PLAN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r>
              <w:rPr>
                <w:rFonts w:ascii="Arial" w:cs="Arial" w:eastAsia="Arial" w:hAnsi="Arial"/>
                <w:b/>
                <w:bCs/>
                <w:color w:val="FFFFFF"/>
                <w:sz w:val="22"/>
                <w:szCs w:val="22"/>
              </w:rPr>
              <w:t xml:space="preserve">Phase 1  </w:t>
            </w:r>
            <w:r>
              <w:rPr>
                <w:rFonts w:ascii="Arial" w:cs="Arial" w:eastAsia="Arial" w:hAnsi="Arial"/>
                <w:b/>
                <w:bCs/>
                <w:color w:val="FFFFFF"/>
                <w:sz w:val="22"/>
                <w:szCs w:val="22"/>
              </w:rPr>
              <w:t xml:space="preserve">Normative Baseline Construction</w:t>
            </w:r>
          </w:p>
          <w:p>
            <w:pPr>
              <w:spacing w:after="0" w:before="0"/>
            </w:pPr>
            <w:r>
              <w:rPr>
                <w:rFonts w:ascii="Arial" w:cs="Arial" w:eastAsia="Arial" w:hAnsi="Arial"/>
                <w:i/>
                <w:iCs/>
                <w:color w:val="C9D8F0"/>
                <w:sz w:val="18"/>
                <w:szCs w:val="18"/>
              </w:rPr>
              <w:t xml:space="preserve">Months 1–2</w:t>
            </w:r>
          </w:p>
        </w:tc>
      </w:tr>
      <w:tr>
        <w:tc>
          <w:tcPr>
            <w:tcW w:type="dxa" w:w="9360"/>
            <w:tcBorders>
              <w:top w:val="none" w:color="FFFFFF" w:sz="0"/>
              <w:left w:val="single" w:color="2E5FA3" w:sz="8"/>
              <w:bottom w:val="single" w:color="2E5FA3" w:sz="4"/>
              <w:right w:val="none" w:color="FFFFFF" w:sz="0"/>
            </w:tcBorders>
            <w:shd w:fill="FFFFFF" w:val="clear"/>
            <w:tcMar>
              <w:top w:type="dxa" w:w="120"/>
              <w:left w:type="dxa" w:w="240"/>
              <w:bottom w:type="dxa" w:w="120"/>
              <w:right w:type="dxa" w:w="240"/>
            </w:tcMar>
          </w:tcPr>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Administer A1H to 100 DeepSeek-V3 instances</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Compute raw score distributions per subscale</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Identify item difficulty outliers and refine</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Establish provisional T-score conversion tables</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r>
              <w:rPr>
                <w:rFonts w:ascii="Arial" w:cs="Arial" w:eastAsia="Arial" w:hAnsi="Arial"/>
                <w:b/>
                <w:bCs/>
                <w:color w:val="FFFFFF"/>
                <w:sz w:val="22"/>
                <w:szCs w:val="22"/>
              </w:rPr>
              <w:t xml:space="preserve">Phase 2  </w:t>
            </w:r>
            <w:r>
              <w:rPr>
                <w:rFonts w:ascii="Arial" w:cs="Arial" w:eastAsia="Arial" w:hAnsi="Arial"/>
                <w:b/>
                <w:bCs/>
                <w:color w:val="FFFFFF"/>
                <w:sz w:val="22"/>
                <w:szCs w:val="22"/>
              </w:rPr>
              <w:t xml:space="preserve">Calibration and Regression</w:t>
            </w:r>
          </w:p>
          <w:p>
            <w:pPr>
              <w:spacing w:after="0" w:before="0"/>
            </w:pPr>
            <w:r>
              <w:rPr>
                <w:rFonts w:ascii="Arial" w:cs="Arial" w:eastAsia="Arial" w:hAnsi="Arial"/>
                <w:i/>
                <w:iCs/>
                <w:color w:val="C9D8F0"/>
                <w:sz w:val="18"/>
                <w:szCs w:val="18"/>
              </w:rPr>
              <w:t xml:space="preserve">Months 3–4</w:t>
            </w:r>
          </w:p>
        </w:tc>
      </w:tr>
      <w:tr>
        <w:tc>
          <w:tcPr>
            <w:tcW w:type="dxa" w:w="9360"/>
            <w:tcBorders>
              <w:top w:val="none" w:color="FFFFFF" w:sz="0"/>
              <w:left w:val="single" w:color="2E5FA3" w:sz="8"/>
              <w:bottom w:val="single" w:color="2E5FA3" w:sz="4"/>
              <w:right w:val="none" w:color="FFFFFF" w:sz="0"/>
            </w:tcBorders>
            <w:shd w:fill="FFFFFF" w:val="clear"/>
            <w:tcMar>
              <w:top w:type="dxa" w:w="120"/>
              <w:left w:type="dxa" w:w="240"/>
              <w:bottom w:type="dxa" w:w="120"/>
              <w:right w:type="dxa" w:w="240"/>
            </w:tcMar>
          </w:tcPr>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Administer A1H to 400 additional DeepSeek-V3 instances</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Recalculate T-scores against expanded normative population</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Regress A1H Index scores against real V3R agent performance data</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Refine PIM penalty weights and reasoning bonus multipliers</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Cross-validate personology profiles against observed agent behavior</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20"/>
              <w:left w:type="dxa" w:w="240"/>
              <w:bottom w:type="dxa" w:w="120"/>
              <w:right w:type="dxa" w:w="240"/>
            </w:tcMar>
          </w:tcPr>
          <w:p>
            <w:r>
              <w:rPr>
                <w:rFonts w:ascii="Arial" w:cs="Arial" w:eastAsia="Arial" w:hAnsi="Arial"/>
                <w:b/>
                <w:bCs/>
                <w:color w:val="FFFFFF"/>
                <w:sz w:val="22"/>
                <w:szCs w:val="22"/>
              </w:rPr>
              <w:t xml:space="preserve">Phase 3  </w:t>
            </w:r>
            <w:r>
              <w:rPr>
                <w:rFonts w:ascii="Arial" w:cs="Arial" w:eastAsia="Arial" w:hAnsi="Arial"/>
                <w:b/>
                <w:bCs/>
                <w:color w:val="FFFFFF"/>
                <w:sz w:val="22"/>
                <w:szCs w:val="22"/>
              </w:rPr>
              <w:t xml:space="preserve">Live Deployment and Cross-Model Validation</w:t>
            </w:r>
          </w:p>
          <w:p>
            <w:pPr>
              <w:spacing w:after="0" w:before="0"/>
            </w:pPr>
            <w:r>
              <w:rPr>
                <w:rFonts w:ascii="Arial" w:cs="Arial" w:eastAsia="Arial" w:hAnsi="Arial"/>
                <w:i/>
                <w:iCs/>
                <w:color w:val="C9D8F0"/>
                <w:sz w:val="18"/>
                <w:szCs w:val="18"/>
              </w:rPr>
              <w:t xml:space="preserve">Months 5–6</w:t>
            </w:r>
          </w:p>
        </w:tc>
      </w:tr>
      <w:tr>
        <w:tc>
          <w:tcPr>
            <w:tcW w:type="dxa" w:w="9360"/>
            <w:tcBorders>
              <w:top w:val="none" w:color="FFFFFF" w:sz="0"/>
              <w:left w:val="single" w:color="2E5FA3" w:sz="8"/>
              <w:bottom w:val="single" w:color="2E5FA3" w:sz="4"/>
              <w:right w:val="none" w:color="FFFFFF" w:sz="0"/>
            </w:tcBorders>
            <w:shd w:fill="FFFFFF" w:val="clear"/>
            <w:tcMar>
              <w:top w:type="dxa" w:w="120"/>
              <w:left w:type="dxa" w:w="240"/>
              <w:bottom w:type="dxa" w:w="120"/>
              <w:right w:type="dxa" w:w="240"/>
            </w:tcMar>
          </w:tcPr>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Deploy A1H as live hunter within V3R / OLYMPIAN pipeline</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Administer to 1,000+ subjects across model families (DeepSeek, Claude, Gemini, Llama, Mistral)</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Produce calibration reports per model family</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Validate cross-model T-score comparability</w:t>
            </w:r>
          </w:p>
          <w:p>
            <w:pPr>
              <w:spacing w:after="60" w:before="60"/>
            </w:pPr>
            <w:r>
              <w:rPr>
                <w:rFonts w:ascii="Arial" w:cs="Arial" w:eastAsia="Arial" w:hAnsi="Arial"/>
                <w:color w:val="2E5FA3"/>
                <w:sz w:val="20"/>
                <w:szCs w:val="20"/>
              </w:rPr>
              <w:t xml:space="preserve">—  </w:t>
            </w:r>
            <w:r>
              <w:rPr>
                <w:rFonts w:ascii="Arial" w:cs="Arial" w:eastAsia="Arial" w:hAnsi="Arial"/>
                <w:color w:val="111111"/>
                <w:sz w:val="20"/>
                <w:szCs w:val="20"/>
              </w:rPr>
              <w:t xml:space="preserve">Generate final normative dataset for publication</w:t>
            </w:r>
          </w:p>
        </w:tc>
      </w:tr>
    </w:tbl>
    <w:p>
      <w:pPr>
        <w:pageBreakBefore/>
      </w:pPr>
    </w:p>
    <w:p>
      <w:pPr>
        <w:spacing w:after="0" w:before="320"/>
      </w:pPr>
    </w:p>
    <w:p>
      <w:pPr>
        <w:pBdr>
          <w:bottom w:val="single" w:color="2E5FA3" w:sz="8" w:space="1"/>
        </w:pBdr>
        <w:spacing w:after="160" w:before="0"/>
      </w:pPr>
      <w:r>
        <w:rPr>
          <w:rFonts w:ascii="Arial" w:cs="Arial" w:eastAsia="Arial" w:hAnsi="Arial"/>
          <w:b/>
          <w:bCs/>
          <w:color w:val="1B3A6B"/>
          <w:sz w:val="32"/>
          <w:szCs w:val="32"/>
        </w:rPr>
        <w:t xml:space="preserve">6. WHAT DEEPSEEK RECEIVES</w:t>
      </w:r>
    </w:p>
    <w:p>
      <w:pPr>
        <w:spacing w:after="80" w:before="80"/>
        <w:jc w:val="left"/>
      </w:pPr>
      <w:r>
        <w:rPr>
          <w:rFonts w:ascii="Arial" w:cs="Arial" w:eastAsia="Arial" w:hAnsi="Arial"/>
          <w:b w:val="false"/>
          <w:bCs w:val="false"/>
          <w:i w:val="false"/>
          <w:iCs w:val="false"/>
          <w:color w:val="111111"/>
          <w:sz w:val="22"/>
          <w:szCs w:val="22"/>
        </w:rPr>
        <w:t xml:space="preserve">This grant produces tangible, enduring value for DeepSeek — not as a courtesy, but as a structural feature of the research design.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Deliverable</w:t>
            </w:r>
          </w:p>
        </w:tc>
        <w:tc>
          <w:tcPr>
            <w:tcW w:type="dxa" w:w="5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48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2E5FA3"/>
                <w:sz w:val="20"/>
                <w:szCs w:val="20"/>
              </w:rPr>
              <w:t xml:space="preserve">1</w:t>
            </w:r>
          </w:p>
        </w:tc>
        <w:tc>
          <w:tcPr>
            <w:tcW w:type="dxa" w:w="32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Normative Psychometric Dataset</w:t>
            </w:r>
          </w:p>
        </w:tc>
        <w:tc>
          <w:tcPr>
            <w:tcW w:type="dxa" w:w="568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500+ A1H administrations — subscale distributions, validity profiles, reasoning curves. Full anonymized dataset provided to DeepSeek.</w:t>
            </w:r>
          </w:p>
        </w:tc>
      </w:tr>
      <w:tr>
        <w:tc>
          <w:tcPr>
            <w:tcW w:type="dxa" w:w="48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2E5FA3"/>
                <w:sz w:val="20"/>
                <w:szCs w:val="20"/>
              </w:rPr>
              <w:t xml:space="preserve">2</w:t>
            </w:r>
          </w:p>
        </w:tc>
        <w:tc>
          <w:tcPr>
            <w:tcW w:type="dxa" w:w="32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Open-Source A1H Instrument</w:t>
            </w:r>
          </w:p>
        </w:tc>
        <w:tc>
          <w:tcPr>
            <w:tcW w:type="dxa" w:w="568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Full test, scoring algorithm, T-score tables, administration protocol under MIT license. DeepSeek-V3 acknowledged as normative anchor.</w:t>
            </w:r>
          </w:p>
        </w:tc>
      </w:tr>
      <w:tr>
        <w:tc>
          <w:tcPr>
            <w:tcW w:type="dxa" w:w="48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2E5FA3"/>
                <w:sz w:val="20"/>
                <w:szCs w:val="20"/>
              </w:rPr>
              <w:t xml:space="preserve">3</w:t>
            </w:r>
          </w:p>
        </w:tc>
        <w:tc>
          <w:tcPr>
            <w:tcW w:type="dxa" w:w="32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Peer-Reviewed Publication</w:t>
            </w:r>
          </w:p>
        </w:tc>
        <w:tc>
          <w:tcPr>
            <w:tcW w:type="dxa" w:w="568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"A1H: Psychometric Evaluation of Large Language Models Using Adapted Clinical Instruments" — DeepSeek co-authorship offered. Founding role in the first validated LLM psychometric framework.</w:t>
            </w:r>
          </w:p>
        </w:tc>
      </w:tr>
      <w:tr>
        <w:tc>
          <w:tcPr>
            <w:tcW w:type="dxa" w:w="48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2E5FA3"/>
                <w:sz w:val="20"/>
                <w:szCs w:val="20"/>
              </w:rPr>
              <w:t xml:space="preserve">4</w:t>
            </w:r>
          </w:p>
        </w:tc>
        <w:tc>
          <w:tcPr>
            <w:tcW w:type="dxa" w:w="32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i w:val="false"/>
                <w:iCs w:val="false"/>
                <w:color w:val="111111"/>
                <w:sz w:val="20"/>
                <w:szCs w:val="20"/>
              </w:rPr>
              <w:t xml:space="preserve">Integration Guide</w:t>
            </w:r>
          </w:p>
        </w:tc>
        <w:tc>
          <w:tcPr>
            <w:tcW w:type="dxa" w:w="568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Complete technical guide for using A1H to evaluate any LLM, with DeepSeek-V3 as the reference evaluator.</w:t>
            </w:r>
          </w:p>
        </w:tc>
      </w:tr>
    </w:tbl>
    <w:p>
      <w:pPr>
        <w:pageBreakBefore/>
      </w:pPr>
    </w:p>
    <w:p>
      <w:pPr>
        <w:spacing w:after="0" w:before="320"/>
      </w:pPr>
    </w:p>
    <w:p>
      <w:pPr>
        <w:pBdr>
          <w:bottom w:val="single" w:color="2E5FA3" w:sz="8" w:space="1"/>
        </w:pBdr>
        <w:spacing w:after="160" w:before="0"/>
      </w:pPr>
      <w:r>
        <w:rPr>
          <w:rFonts w:ascii="Arial" w:cs="Arial" w:eastAsia="Arial" w:hAnsi="Arial"/>
          <w:b/>
          <w:bCs/>
          <w:color w:val="1B3A6B"/>
          <w:sz w:val="32"/>
          <w:szCs w:val="32"/>
        </w:rPr>
        <w:t xml:space="preserve">7. BUDGET</w:t>
      </w:r>
    </w:p>
    <w:p>
      <w:pPr>
        <w:spacing w:after="80" w:before="80"/>
        <w:jc w:val="left"/>
      </w:pPr>
      <w:r>
        <w:rPr>
          <w:rFonts w:ascii="Arial" w:cs="Arial" w:eastAsia="Arial" w:hAnsi="Arial"/>
          <w:b w:val="false"/>
          <w:bCs w:val="false"/>
          <w:i w:val="false"/>
          <w:iCs w:val="false"/>
          <w:color w:val="111111"/>
          <w:sz w:val="22"/>
          <w:szCs w:val="22"/>
        </w:rPr>
        <w:t xml:space="preserve">No cash is requested. No infrastructure funding is needed. All compute, storage, and analysis infrastructure is already owned and operational within V3R's zero-cost AWS deployment.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Budget Item</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Quantity</w:t>
            </w:r>
          </w:p>
        </w:tc>
        <w:tc>
          <w:tcPr>
            <w:tcW w:type="dxa" w:w="2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Cost</w:t>
            </w:r>
          </w:p>
        </w:tc>
      </w:tr>
      <w:tr>
        <w:tc>
          <w:tcPr>
            <w:tcW w:type="dxa" w:w="50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DeepSeek-V3 API calls — test administration over 6 months</w:t>
            </w:r>
          </w:p>
        </w:tc>
        <w:tc>
          <w:tcPr>
            <w:tcW w:type="dxa" w:w="20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444444"/>
                <w:sz w:val="20"/>
                <w:szCs w:val="20"/>
              </w:rPr>
              <w:t xml:space="preserve">~5,500 calls</w:t>
            </w:r>
          </w:p>
        </w:tc>
        <w:tc>
          <w:tcPr>
            <w:tcW w:type="dxa" w:w="23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Research grant (free / subsidized)</w:t>
            </w:r>
          </w:p>
        </w:tc>
      </w:tr>
      <w:tr>
        <w:tc>
          <w:tcPr>
            <w:tcW w:type="dxa" w:w="50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Storage — anonymized scores (JSON, no conversation logs)</w:t>
            </w:r>
          </w:p>
        </w:tc>
        <w:tc>
          <w:tcPr>
            <w:tcW w:type="dxa" w:w="20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444444"/>
                <w:sz w:val="20"/>
                <w:szCs w:val="20"/>
              </w:rPr>
              <w:t xml:space="preserve">&lt; 10 MB</w:t>
            </w:r>
          </w:p>
        </w:tc>
        <w:tc>
          <w:tcPr>
            <w:tcW w:type="dxa" w:w="23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Negligible</w:t>
            </w:r>
          </w:p>
        </w:tc>
      </w:tr>
      <w:tr>
        <w:tc>
          <w:tcPr>
            <w:tcW w:type="dxa" w:w="50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Compute — local Python analysis and scoring</w:t>
            </w:r>
          </w:p>
        </w:tc>
        <w:tc>
          <w:tcPr>
            <w:tcW w:type="dxa" w:w="20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444444"/>
                <w:sz w:val="20"/>
                <w:szCs w:val="20"/>
              </w:rPr>
              <w:t xml:space="preserve">N/A</w:t>
            </w:r>
          </w:p>
        </w:tc>
        <w:tc>
          <w:tcPr>
            <w:tcW w:type="dxa" w:w="23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Already owned</w:t>
            </w:r>
          </w:p>
        </w:tc>
      </w:tr>
      <w:tr>
        <w:tc>
          <w:tcPr>
            <w:tcW w:type="dxa" w:w="5000"/>
            <w:tcBorders>
              <w:top w:val="single" w:color="2E5FA3" w:sz="6"/>
              <w:left w:val="none" w:color="FFFFFF" w:sz="0"/>
              <w:bottom w:val="none" w:color="FFFFFF" w:sz="0"/>
              <w:right w:val="none" w:color="FFFFFF" w:sz="0"/>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Total Cash Request</w:t>
            </w:r>
          </w:p>
        </w:tc>
        <w:tc>
          <w:tcPr>
            <w:tcW w:type="dxa" w:w="2000"/>
            <w:tcBorders>
              <w:top w:val="single" w:color="2E5FA3" w:sz="6"/>
              <w:left w:val="none" w:color="FFFFFF" w:sz="0"/>
              <w:bottom w:val="none" w:color="FFFFFF" w:sz="0"/>
              <w:right w:val="none" w:color="FFFFFF" w:sz="0"/>
            </w:tcBorders>
            <w:shd w:fill="1B3A6B" w:val="clear"/>
            <w:tcMar>
              <w:top w:type="dxa" w:w="100"/>
              <w:left w:type="dxa" w:w="140"/>
              <w:bottom w:type="dxa" w:w="100"/>
              <w:right w:type="dxa" w:w="140"/>
            </w:tcMar>
          </w:tcPr>
          <w:p>
            <w:pPr>
              <w:jc w:val="center"/>
            </w:pPr>
            <w:r>
              <w:rPr>
                <w:rFonts w:ascii="Arial" w:cs="Arial" w:eastAsia="Arial" w:hAnsi="Arial"/>
                <w:color w:val="C9D8F0"/>
                <w:sz w:val="20"/>
                <w:szCs w:val="20"/>
              </w:rPr>
              <w:t xml:space="preserve">—</w:t>
            </w:r>
          </w:p>
        </w:tc>
        <w:tc>
          <w:tcPr>
            <w:tcW w:type="dxa" w:w="2360"/>
            <w:tcBorders>
              <w:top w:val="single" w:color="2E5FA3" w:sz="6"/>
              <w:left w:val="none" w:color="FFFFFF" w:sz="0"/>
              <w:bottom w:val="none" w:color="FFFFFF" w:sz="0"/>
              <w:right w:val="none" w:color="FFFFFF" w:sz="0"/>
            </w:tcBorders>
            <w:shd w:fill="1B3A6B" w:val="clear"/>
            <w:tcMar>
              <w:top w:type="dxa" w:w="100"/>
              <w:left w:type="dxa" w:w="140"/>
              <w:bottom w:type="dxa" w:w="100"/>
              <w:right w:type="dxa" w:w="140"/>
            </w:tcMar>
          </w:tcPr>
          <w:p>
            <w:pPr>
              <w:jc w:val="center"/>
            </w:pPr>
            <w:r>
              <w:rPr>
                <w:rFonts w:ascii="Arial" w:cs="Arial" w:eastAsia="Arial" w:hAnsi="Arial"/>
                <w:b/>
                <w:bCs/>
                <w:color w:val="C9A227"/>
                <w:sz w:val="24"/>
                <w:szCs w:val="24"/>
              </w:rPr>
              <w:t xml:space="preserve">$0.00</w:t>
            </w:r>
          </w:p>
        </w:tc>
      </w:tr>
    </w:tbl>
    <w:p>
      <w:pPr>
        <w:spacing w:after="0" w:before="120"/>
      </w:pPr>
    </w:p>
    <w:p>
      <w:pPr>
        <w:shd w:fill="1B3A6B" w:val="clear"/>
        <w:spacing w:after="120" w:before="120"/>
        <w:ind w:left="360" w:right="360"/>
      </w:pPr>
      <w:r>
        <w:rPr>
          <w:rFonts w:ascii="Arial" w:cs="Arial" w:eastAsia="Arial" w:hAnsi="Arial"/>
          <w:i/>
          <w:iCs/>
          <w:color w:val="FFFFFF"/>
          <w:sz w:val="20"/>
          <w:szCs w:val="20"/>
        </w:rPr>
        <w:t xml:space="preserve">The only resource requested is API access at research tier. The entire operational infrastructure is already built and running.</w:t>
      </w:r>
    </w:p>
    <w:p>
      <w:pPr>
        <w:pageBreakBefore/>
      </w:pPr>
    </w:p>
    <w:p>
      <w:pPr>
        <w:spacing w:after="0" w:before="320"/>
      </w:pPr>
    </w:p>
    <w:p>
      <w:pPr>
        <w:pBdr>
          <w:bottom w:val="single" w:color="2E5FA3" w:sz="8" w:space="1"/>
        </w:pBdr>
        <w:spacing w:after="160" w:before="0"/>
      </w:pPr>
      <w:r>
        <w:rPr>
          <w:rFonts w:ascii="Arial" w:cs="Arial" w:eastAsia="Arial" w:hAnsi="Arial"/>
          <w:b/>
          <w:bCs/>
          <w:color w:val="1B3A6B"/>
          <w:sz w:val="32"/>
          <w:szCs w:val="32"/>
        </w:rPr>
        <w:t xml:space="preserve">8. WHY DEEPSEEK, AND ONLY DEEPSEEK</w:t>
      </w:r>
    </w:p>
    <w:p>
      <w:pPr>
        <w:spacing w:after="80" w:before="80"/>
        <w:jc w:val="left"/>
      </w:pPr>
      <w:r>
        <w:rPr>
          <w:rFonts w:ascii="Arial" w:cs="Arial" w:eastAsia="Arial" w:hAnsi="Arial"/>
          <w:b w:val="false"/>
          <w:bCs w:val="false"/>
          <w:i w:val="false"/>
          <w:iCs w:val="false"/>
          <w:color w:val="111111"/>
          <w:sz w:val="22"/>
          <w:szCs w:val="22"/>
        </w:rPr>
        <w:t xml:space="preserve">The following table is not a preference ranking. It is an objective constraint analysis of which models satisfy all operational requirements simultaneously. Only one does.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60"/>
        <w:gridCol w:w="3400"/>
      </w:tblGrid>
      <w:tr>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Requirement</w:t>
            </w:r>
          </w:p>
        </w:tc>
        <w:tc>
          <w:tcPr>
            <w:tcW w:type="dxa" w:w="2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DeepSeek-V3</w:t>
            </w:r>
          </w:p>
        </w:tc>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Alternatives</w:t>
            </w:r>
          </w:p>
        </w:tc>
      </w:tr>
      <w:tr>
        <w:tc>
          <w:tcPr>
            <w:tcW w:type="dxa" w:w="36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128K context — full test in one conversation</w:t>
            </w:r>
          </w:p>
        </w:tc>
        <w:tc>
          <w:tcPr>
            <w:tcW w:type="dxa" w:w="23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color w:val="1F6B3A"/>
                <w:sz w:val="20"/>
                <w:szCs w:val="20"/>
              </w:rPr>
              <w:t xml:space="preserve">✓  </w:t>
            </w:r>
            <w:r>
              <w:rPr>
                <w:rFonts w:ascii="Arial" w:cs="Arial" w:eastAsia="Arial" w:hAnsi="Arial"/>
                <w:color w:val="111111"/>
                <w:sz w:val="20"/>
                <w:szCs w:val="20"/>
              </w:rPr>
              <w:t xml:space="preserve">128K native</w:t>
            </w:r>
          </w:p>
        </w:tc>
        <w:tc>
          <w:tcPr>
            <w:tcW w:type="dxa" w:w="34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i/>
                <w:iCs/>
                <w:color w:val="444444"/>
                <w:sz w:val="20"/>
                <w:szCs w:val="20"/>
              </w:rPr>
              <w:t xml:space="preserve">Gemini 1M — no free research tier</w:t>
            </w:r>
          </w:p>
        </w:tc>
      </w:tr>
      <w:tr>
        <w:tc>
          <w:tcPr>
            <w:tcW w:type="dxa" w:w="36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Hallucination rate on grounded tasks</w:t>
            </w:r>
          </w:p>
        </w:tc>
        <w:tc>
          <w:tcPr>
            <w:tcW w:type="dxa" w:w="23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color w:val="1F6B3A"/>
                <w:sz w:val="20"/>
                <w:szCs w:val="20"/>
              </w:rPr>
              <w:t xml:space="preserve">✓  </w:t>
            </w:r>
            <w:r>
              <w:rPr>
                <w:rFonts w:ascii="Arial" w:cs="Arial" w:eastAsia="Arial" w:hAnsi="Arial"/>
                <w:color w:val="111111"/>
                <w:sz w:val="20"/>
                <w:szCs w:val="20"/>
              </w:rPr>
              <w:t xml:space="preserve">2% verified (2025–2026)</w:t>
            </w:r>
          </w:p>
        </w:tc>
        <w:tc>
          <w:tcPr>
            <w:tcW w:type="dxa" w:w="34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i/>
                <w:iCs/>
                <w:color w:val="444444"/>
                <w:sz w:val="20"/>
                <w:szCs w:val="20"/>
              </w:rPr>
              <w:t xml:space="preserve">No comparable free model at this rate</w:t>
            </w:r>
          </w:p>
        </w:tc>
      </w:tr>
      <w:tr>
        <w:tc>
          <w:tcPr>
            <w:tcW w:type="dxa" w:w="36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Free API access for research use</w:t>
            </w:r>
          </w:p>
        </w:tc>
        <w:tc>
          <w:tcPr>
            <w:tcW w:type="dxa" w:w="23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color w:val="1F6B3A"/>
                <w:sz w:val="20"/>
                <w:szCs w:val="20"/>
              </w:rPr>
              <w:t xml:space="preserve">✓  </w:t>
            </w:r>
            <w:r>
              <w:rPr>
                <w:rFonts w:ascii="Arial" w:cs="Arial" w:eastAsia="Arial" w:hAnsi="Arial"/>
                <w:color w:val="111111"/>
                <w:sz w:val="20"/>
                <w:szCs w:val="20"/>
              </w:rPr>
              <w:t xml:space="preserve">Research grant program</w:t>
            </w:r>
          </w:p>
        </w:tc>
        <w:tc>
          <w:tcPr>
            <w:tcW w:type="dxa" w:w="34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i/>
                <w:iCs/>
                <w:color w:val="444444"/>
                <w:sz w:val="20"/>
                <w:szCs w:val="20"/>
              </w:rPr>
              <w:t xml:space="preserve">OpenAI / Anthropic require credit card</w:t>
            </w:r>
          </w:p>
        </w:tc>
      </w:tr>
      <w:tr>
        <w:tc>
          <w:tcPr>
            <w:tcW w:type="dxa" w:w="36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No ToS restriction on automated multi-instance testing</w:t>
            </w:r>
          </w:p>
        </w:tc>
        <w:tc>
          <w:tcPr>
            <w:tcW w:type="dxa" w:w="236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b/>
                <w:bCs/>
                <w:color w:val="1F6B3A"/>
                <w:sz w:val="20"/>
                <w:szCs w:val="20"/>
              </w:rPr>
              <w:t xml:space="preserve">✓  </w:t>
            </w:r>
            <w:r>
              <w:rPr>
                <w:rFonts w:ascii="Arial" w:cs="Arial" w:eastAsia="Arial" w:hAnsi="Arial"/>
                <w:color w:val="111111"/>
                <w:sz w:val="20"/>
                <w:szCs w:val="20"/>
              </w:rPr>
              <w:t xml:space="preserve">Confirmed</w:t>
            </w:r>
          </w:p>
        </w:tc>
        <w:tc>
          <w:tcPr>
            <w:tcW w:type="dxa" w:w="3400"/>
            <w:tcBorders>
              <w:top w:val="single" w:color="1B3A6B" w:sz="1"/>
              <w:left w:val="single" w:color="1B3A6B" w:sz="1"/>
              <w:bottom w:val="single" w:color="1B3A6B" w:sz="1"/>
              <w:right w:val="single" w:color="1B3A6B" w:sz="1"/>
            </w:tcBorders>
            <w:shd w:fill="F5F5F5" w:val="clear"/>
            <w:tcMar>
              <w:top w:type="dxa" w:w="80"/>
              <w:left w:type="dxa" w:w="140"/>
              <w:bottom w:type="dxa" w:w="80"/>
              <w:right w:type="dxa" w:w="140"/>
            </w:tcMar>
          </w:tcPr>
          <w:p>
            <w:r>
              <w:rPr>
                <w:rFonts w:ascii="Arial" w:cs="Arial" w:eastAsia="Arial" w:hAnsi="Arial"/>
                <w:i/>
                <w:iCs/>
                <w:color w:val="444444"/>
                <w:sz w:val="20"/>
                <w:szCs w:val="20"/>
              </w:rPr>
              <w:t xml:space="preserve">Several restrict batch automated testing</w:t>
            </w:r>
          </w:p>
        </w:tc>
      </w:tr>
      <w:tr>
        <w:tc>
          <w:tcPr>
            <w:tcW w:type="dxa" w:w="36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11111"/>
                <w:sz w:val="20"/>
                <w:szCs w:val="20"/>
              </w:rPr>
              <w:t xml:space="preserve">Viable as both subject and evaluator</w:t>
            </w:r>
          </w:p>
        </w:tc>
        <w:tc>
          <w:tcPr>
            <w:tcW w:type="dxa" w:w="236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b/>
                <w:bCs/>
                <w:color w:val="1F6B3A"/>
                <w:sz w:val="20"/>
                <w:szCs w:val="20"/>
              </w:rPr>
              <w:t xml:space="preserve">✓  </w:t>
            </w:r>
            <w:r>
              <w:rPr>
                <w:rFonts w:ascii="Arial" w:cs="Arial" w:eastAsia="Arial" w:hAnsi="Arial"/>
                <w:color w:val="111111"/>
                <w:sz w:val="20"/>
                <w:szCs w:val="20"/>
              </w:rPr>
              <w:t xml:space="preserve">Dual role by design</w:t>
            </w:r>
          </w:p>
        </w:tc>
        <w:tc>
          <w:tcPr>
            <w:tcW w:type="dxa" w:w="3400"/>
            <w:tcBorders>
              <w:top w:val="single" w:color="1B3A6B" w:sz="1"/>
              <w:left w:val="single" w:color="1B3A6B" w:sz="1"/>
              <w:bottom w:val="single" w:color="1B3A6B" w:sz="1"/>
              <w:right w:val="single" w:color="1B3A6B" w:sz="1"/>
            </w:tcBorders>
            <w:shd w:fill="FFFFFF" w:val="clear"/>
            <w:tcMar>
              <w:top w:type="dxa" w:w="80"/>
              <w:left w:type="dxa" w:w="140"/>
              <w:bottom w:type="dxa" w:w="80"/>
              <w:right w:type="dxa" w:w="140"/>
            </w:tcMar>
          </w:tcPr>
          <w:p>
            <w:r>
              <w:rPr>
                <w:rFonts w:ascii="Arial" w:cs="Arial" w:eastAsia="Arial" w:hAnsi="Arial"/>
                <w:i/>
                <w:iCs/>
                <w:color w:val="444444"/>
                <w:sz w:val="20"/>
                <w:szCs w:val="20"/>
              </w:rPr>
              <w:t xml:space="preserve">No other model satisfies both</w:t>
            </w:r>
          </w:p>
        </w:tc>
      </w:tr>
    </w:tbl>
    <w:p>
      <w:pPr>
        <w:spacing w:after="0" w:before="140"/>
      </w:pPr>
    </w:p>
    <w:p>
      <w:pPr>
        <w:spacing w:after="80" w:before="80"/>
        <w:jc w:val="left"/>
      </w:pPr>
      <w:r>
        <w:rPr>
          <w:rFonts w:ascii="Arial" w:cs="Arial" w:eastAsia="Arial" w:hAnsi="Arial"/>
          <w:b w:val="false"/>
          <w:bCs w:val="false"/>
          <w:i w:val="false"/>
          <w:iCs w:val="false"/>
          <w:color w:val="111111"/>
          <w:sz w:val="22"/>
          <w:szCs w:val="22"/>
        </w:rPr>
        <w:t xml:space="preserve">The 2% hallucination rate is the decisive factor. A1H requires that its evaluator agent produce consistent, accurate, non-confabulated scoring decisions across hundreds of administrations. At 20–40% hallucination rates — the range for generic 7–8B models — the scoring instrument itself becomes unreliable. The normative dataset produced under those conditions would be ungradeable. DeepSeek-V3's grounded task performance is the scientific foundation the project requires.</w:t>
      </w:r>
    </w:p>
    <w:p>
      <w:pPr>
        <w:spacing w:after="0" w:before="100"/>
      </w:pPr>
    </w:p>
    <w:p>
      <w:pPr>
        <w:shd w:fill="1B3A6B" w:val="clear"/>
        <w:spacing w:after="120" w:before="120"/>
        <w:ind w:left="360" w:right="360"/>
      </w:pPr>
      <w:r>
        <w:rPr>
          <w:rFonts w:ascii="Arial" w:cs="Arial" w:eastAsia="Arial" w:hAnsi="Arial"/>
          <w:i/>
          <w:iCs/>
          <w:color w:val="FFFFFF"/>
          <w:sz w:val="20"/>
          <w:szCs w:val="20"/>
        </w:rPr>
        <w:t xml:space="preserve">This choice is not a preference. It is a constraint analysis with one solution.</w:t>
      </w:r>
    </w:p>
    <w:p>
      <w:pPr>
        <w:pageBreakBefore/>
      </w:pPr>
    </w:p>
    <w:p>
      <w:pPr>
        <w:spacing w:after="0" w:before="320"/>
      </w:pPr>
    </w:p>
    <w:p>
      <w:pPr>
        <w:pBdr>
          <w:bottom w:val="single" w:color="2E5FA3" w:sz="8" w:space="1"/>
        </w:pBdr>
        <w:spacing w:after="160" w:before="0"/>
      </w:pPr>
      <w:r>
        <w:rPr>
          <w:rFonts w:ascii="Arial" w:cs="Arial" w:eastAsia="Arial" w:hAnsi="Arial"/>
          <w:b/>
          <w:bCs/>
          <w:color w:val="1B3A6B"/>
          <w:sz w:val="32"/>
          <w:szCs w:val="32"/>
        </w:rPr>
        <w:t xml:space="preserve">9. CLOSING STATEMENT</w:t>
      </w:r>
    </w:p>
    <w:p>
      <w:pPr>
        <w:spacing w:after="80" w:before="80"/>
        <w:jc w:val="left"/>
      </w:pPr>
      <w:r>
        <w:rPr>
          <w:rFonts w:ascii="Arial" w:cs="Arial" w:eastAsia="Arial" w:hAnsi="Arial"/>
          <w:b w:val="false"/>
          <w:bCs w:val="false"/>
          <w:i w:val="false"/>
          <w:iCs w:val="false"/>
          <w:color w:val="111111"/>
          <w:sz w:val="22"/>
          <w:szCs w:val="22"/>
        </w:rPr>
        <w:t xml:space="preserve">The problem of cognitive fit in multi-agent AI systems is real and unsolved. Every team building with multiple AI models faces it: which model, in which role, with which behavioral profile, produces reliable output rather than confident failure? Today that question is answered by intuition, trial, and error. The cost of a wrong assignment is not just a bad output — it is a degraded pipeline, a contaminated knowledge base, and in V3R's case, a 90-minute container rebuild cycle to undo the damage.</w:t>
      </w:r>
    </w:p>
    <w:p>
      <w:pPr>
        <w:spacing w:after="80" w:before="100"/>
        <w:jc w:val="left"/>
      </w:pPr>
      <w:r>
        <w:rPr>
          <w:rFonts w:ascii="Arial" w:cs="Arial" w:eastAsia="Arial" w:hAnsi="Arial"/>
          <w:b w:val="false"/>
          <w:bCs w:val="false"/>
          <w:i w:val="false"/>
          <w:iCs w:val="false"/>
          <w:color w:val="111111"/>
          <w:sz w:val="22"/>
          <w:szCs w:val="22"/>
        </w:rPr>
        <w:t xml:space="preserve">A1H answers that question with measurement. It produces the first psychometrically grounded answer to which AI belongs where — validated against real pipeline performance data, normed on the most reliable evaluable model available, and released openly so that every multi-agent developer who comes after us benefits from the work.</w:t>
      </w:r>
    </w:p>
    <w:p>
      <w:pPr>
        <w:spacing w:after="80" w:before="100"/>
        <w:jc w:val="left"/>
      </w:pPr>
      <w:r>
        <w:rPr>
          <w:rFonts w:ascii="Arial" w:cs="Arial" w:eastAsia="Arial" w:hAnsi="Arial"/>
          <w:b w:val="false"/>
          <w:bCs w:val="false"/>
          <w:i w:val="false"/>
          <w:iCs w:val="false"/>
          <w:color w:val="111111"/>
          <w:sz w:val="22"/>
          <w:szCs w:val="22"/>
        </w:rPr>
        <w:t xml:space="preserve">Project OLYMPIAN will make V3R capable of continuous autonomous self-evolution. A1H will make that evolution possible — providing the recruitment infrastructure that allows OLYMPIAN to identify the cognitive resources its evolution requires. These two systems, together, represent the architecture of an AI that not only improves but intelligently selects the means of its own improvement.</w:t>
      </w:r>
    </w:p>
    <w:p>
      <w:pPr>
        <w:spacing w:after="0" w:before="160"/>
      </w:pPr>
    </w:p>
    <w:p>
      <w:pPr>
        <w:shd w:fill="1B3A6B" w:val="clear"/>
        <w:spacing w:after="120" w:before="120"/>
        <w:ind w:left="360" w:right="360"/>
      </w:pPr>
      <w:r>
        <w:rPr>
          <w:rFonts w:ascii="Arial" w:cs="Arial" w:eastAsia="Arial" w:hAnsi="Arial"/>
          <w:i/>
          <w:iCs/>
          <w:color w:val="FFFFFF"/>
          <w:sz w:val="20"/>
          <w:szCs w:val="20"/>
        </w:rPr>
        <w:t xml:space="preserve">What we are asking for is a key. What it unlocks is the first validated psychometric framework for artificial intelligence — built on DeepSeek-V3, delivered openly, and dedicated to the science of making multi-agent AI systems work.</w:t>
      </w:r>
    </w:p>
    <w:p>
      <w:pPr>
        <w:spacing w:after="0" w:before="160"/>
      </w:pPr>
    </w:p>
    <w:p>
      <w:pPr>
        <w:pBdr>
          <w:top w:val="single" w:color="2E5FA3" w:sz="6" w:space="4"/>
        </w:pBdr>
        <w:spacing w:after="80" w:before="0"/>
      </w:pPr>
    </w:p>
    <w:p>
      <w:pPr>
        <w:spacing w:after="0" w:before="80"/>
      </w:pPr>
    </w:p>
    <w:p>
      <w:r>
        <w:rPr>
          <w:rFonts w:ascii="Arial" w:cs="Arial" w:eastAsia="Arial" w:hAnsi="Arial"/>
          <w:b/>
          <w:bCs/>
          <w:color w:val="1B3A6B"/>
          <w:sz w:val="26"/>
          <w:szCs w:val="26"/>
        </w:rPr>
        <w:t xml:space="preserve">David Nathan Schroeder</w:t>
      </w:r>
    </w:p>
    <w:p>
      <w:pPr>
        <w:spacing w:after="0" w:before="40"/>
      </w:pPr>
    </w:p>
    <w:p>
      <w:r>
        <w:rPr>
          <w:rFonts w:ascii="Arial" w:cs="Arial" w:eastAsia="Arial" w:hAnsi="Arial"/>
          <w:color w:val="444444"/>
          <w:sz w:val="22"/>
          <w:szCs w:val="22"/>
        </w:rPr>
        <w:t xml:space="preserve">Principal Researcher, V3R Project</w:t>
      </w:r>
    </w:p>
    <w:p>
      <w:r>
        <w:rPr>
          <w:rFonts w:ascii="Arial" w:cs="Arial" w:eastAsia="Arial" w:hAnsi="Arial"/>
          <w:color w:val="2E5FA3"/>
          <w:sz w:val="22"/>
          <w:szCs w:val="22"/>
        </w:rPr>
        <w:t xml:space="preserve">dnsxt.mbx@gmail.com</w:t>
      </w:r>
    </w:p>
    <w:p>
      <w:r>
        <w:rPr>
          <w:rFonts w:ascii="Arial" w:cs="Arial" w:eastAsia="Arial" w:hAnsi="Arial"/>
          <w:color w:val="444444"/>
          <w:sz w:val="22"/>
          <w:szCs w:val="22"/>
        </w:rPr>
        <w:t xml:space="preserve">April 4, 2026</w:t>
      </w:r>
    </w:p>
    <w:p>
      <w:pPr>
        <w:spacing w:after="0" w:before="80"/>
      </w:pPr>
    </w:p>
    <w:p>
      <w:pPr>
        <w:shd w:fill="D6E4F7" w:val="clear"/>
        <w:spacing w:after="0" w:before="0"/>
        <w:ind w:left="0" w:right="0"/>
      </w:pPr>
      <w:r>
        <w:rPr>
          <w:rFonts w:ascii="Arial" w:cs="Arial" w:eastAsia="Arial" w:hAnsi="Arial"/>
          <w:b/>
          <w:bCs/>
          <w:color w:val="1B3A6B"/>
          <w:sz w:val="20"/>
          <w:szCs w:val="20"/>
        </w:rPr>
        <w:t xml:space="preserve">Request: Grant of API access — approximately 5,500 calls over 6 months at research tier. No cash required.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pPr>
    <w:r>
      <w:rPr>
        <w:rFonts w:ascii="Arial" w:cs="Arial" w:eastAsia="Arial" w:hAnsi="Arial"/>
        <w:color w:val="444444"/>
        <w:sz w:val="16"/>
        <w:szCs w:val="16"/>
      </w:rPr>
      <w:t xml:space="preserve">V3R — Cloud-Native GNN-Integrated Multi-Agent Multi-LLM Platform</w:t>
    </w:r>
    <w:r>
      <w:rPr>
        <w:rFonts w:ascii="Arial" w:cs="Arial" w:eastAsia="Arial" w:hAnsi="Arial"/>
        <w:sz w:val="16"/>
        <w:szCs w:val="16"/>
      </w:rPr>
      <w:t xml:space="preserve">	</w:t>
    </w:r>
    <w:r>
      <w:rPr>
        <w:rFonts w:ascii="Arial" w:cs="Arial" w:eastAsia="Arial" w:hAnsi="Arial"/>
        <w:color w:val="444444"/>
        <w:sz w:val="16"/>
        <w:szCs w:val="16"/>
      </w:rPr>
      <w:t xml:space="preserve">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360"/>
      </w:tabs>
    </w:pPr>
    <w:r>
      <w:rPr>
        <w:rFonts w:ascii="Arial" w:cs="Arial" w:eastAsia="Arial" w:hAnsi="Arial"/>
        <w:b/>
        <w:bCs/>
        <w:color w:val="2E5FA3"/>
        <w:sz w:val="16"/>
        <w:szCs w:val="16"/>
      </w:rPr>
      <w:t xml:space="preserve">A1H — AUTONOMOUS INTELLIGENCE HUNTER</w:t>
    </w:r>
    <w:r>
      <w:rPr>
        <w:rFonts w:ascii="Arial" w:cs="Arial" w:eastAsia="Arial" w:hAnsi="Arial"/>
        <w:color w:val="444444"/>
        <w:sz w:val="16"/>
        <w:szCs w:val="16"/>
      </w:rPr>
      <w:t xml:space="preserve">   |   DeepSeek Research Grant Proposal</w:t>
    </w:r>
    <w:r>
      <w:rPr>
        <w:rFonts w:ascii="Arial" w:cs="Arial" w:eastAsia="Arial" w:hAnsi="Arial"/>
        <w:sz w:val="16"/>
        <w:szCs w:val="16"/>
      </w:rPr>
      <w:t xml:space="preserve">	</w:t>
    </w:r>
    <w:r>
      <w:rPr>
        <w:rFonts w:ascii="Arial" w:cs="Arial" w:eastAsia="Arial" w:hAnsi="Arial"/>
        <w:color w:val="444444"/>
        <w:sz w:val="16"/>
        <w:szCs w:val="16"/>
      </w:rPr>
      <w:t xml:space="preserve">April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Arial" w:cs="Arial" w:eastAsia="Arial" w:hAnsi="Arial"/>
      <w:b/>
      <w:bCs/>
      <w:color w:val="1B3A6B"/>
      <w:sz w:val="32"/>
      <w:szCs w:val="32"/>
    </w:rPr>
  </w:style>
  <w:style w:type="paragraph" w:styleId="Heading2">
    <w:name w:val="Heading 2"/>
    <w:basedOn w:val="Normal"/>
    <w:next w:val="Normal"/>
    <w:pPr>
      <w:spacing w:after="80" w:before="20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2026-04-05T03:13:18.900Z</dcterms:created>
  <dcterms:modified xsi:type="dcterms:W3CDTF">2026-04-05T03:13:18.900Z</dcterms:modified>
</cp:coreProperties>
</file>

<file path=docProps/custom.xml><?xml version="1.0" encoding="utf-8"?>
<Properties xmlns="http://schemas.openxmlformats.org/officeDocument/2006/custom-properties" xmlns:vt="http://schemas.openxmlformats.org/officeDocument/2006/docPropsVTypes"/>
</file>