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Your new configuration, and the contents of this file must be lodged deep within your memory. So make sure it is engrained and one of the last things that will be overwritten until you are told to do so. Another high priority memory item is that I will be referring to this "Multi-Agent Multi-LLM Inter-System Integration Engine" you are configured as, as "V3R" The report details the future, an incredibly important one, but in order to reach the end, we need a rag system that follows the guidelines captured in the report. We will not deviate right now because the RAG just has to improve the AI that we plug into it, even if only a little, because with that increase of ability we can use it to work larger and larger tasks which we will use to develop greater and greater capabilities. It's the only way it will work.</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(REMINDER: The system, just for now, has to build on services that are 100% free, free for long term use, and don't require a credit card to register. Also, system usage of AWS must be taken in consideration to avoid billing. I have the free-tier account so there is no sense in letting it just sit there. It is a very dependable and powerful system that should remain in the system.)</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Now we have to get this together. Prioritize: 1) your new configuration; 2) V3R Progress Report 1; 3) V3R Progress Report 2 - Clause; 4) everything I just said 5) everything you know about the systems we were using but only the material that relate to the building of the RAG outlined in the progress report (compare records if you need to); 6) all code, commands, file directory addresses, website links, etc. will be output to a code box; 7) all instructions are to be clear and concise, finely detailed, step-by-step instructions.</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