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4E79"/>
          <w:sz w:val="52"/>
          <w:szCs w:val="52"/>
        </w:rPr>
        <w:t xml:space="preserve">PWM-FM DUAL-BEAM ACOUSTIC SYSTEM</w:t>
      </w:r>
    </w:p>
    <w:p>
      <w:pPr>
        <w:spacing w:after="60" w:before="0"/>
        <w:jc w:val="center"/>
      </w:pPr>
      <w:r>
        <w:rPr>
          <w:rFonts w:ascii="Arial" w:cs="Arial" w:eastAsia="Arial" w:hAnsi="Arial"/>
          <w:i/>
          <w:iCs/>
          <w:color w:val="2E75B6"/>
          <w:sz w:val="30"/>
          <w:szCs w:val="30"/>
        </w:rPr>
        <w:t xml:space="preserve">Convergence-Zone Audio Generation via Crossed Low-Frequency AESA Beams</w:t>
      </w:r>
    </w:p>
    <w:p>
      <w:pPr>
        <w:spacing w:after="200" w:before="60"/>
        <w:jc w:val="center"/>
      </w:pPr>
      <w:r>
        <w:rPr>
          <w:rFonts w:ascii="Arial" w:cs="Arial" w:eastAsia="Arial" w:hAnsi="Arial"/>
          <w:color w:val="777777"/>
          <w:sz w:val="22"/>
          <w:szCs w:val="22"/>
        </w:rPr>
        <w:t xml:space="preserve">Research Record — June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200"/>
              <w:left w:type="dxa" w:w="240"/>
              <w:bottom w:type="dxa" w:w="200"/>
              <w:right w:type="dxa" w:w="240"/>
            </w:tcMar>
          </w:tcPr>
          <w:p>
            <w:pPr>
              <w:jc w:val="center"/>
            </w:pPr>
            <w:r>
              <w:rPr>
                <w:rFonts w:ascii="Arial" w:cs="Arial" w:eastAsia="Arial" w:hAnsi="Arial"/>
                <w:b/>
                <w:bCs/>
                <w:color w:val="1F4E79"/>
                <w:sz w:val="22"/>
                <w:szCs w:val="22"/>
              </w:rPr>
              <w:t xml:space="preserve">PURPOSE OF THIS DOCUMENT</w:t>
            </w:r>
          </w:p>
          <w:p>
            <w:pPr>
              <w:spacing w:after="60" w:before="60"/>
            </w:pPr>
            <w:r>
              <w:t xml:space="preserve"/>
            </w:r>
          </w:p>
          <w:p>
            <w:r>
              <w:rPr>
                <w:rFonts w:ascii="Arial" w:cs="Arial" w:eastAsia="Arial" w:hAnsi="Arial"/>
                <w:color w:val="1A1A2E"/>
                <w:sz w:val="21"/>
                <w:szCs w:val="21"/>
              </w:rPr>
              <w:t xml:space="preserve">This record preserves the technical details of a novel dual-beam acoustic audio transmission system encountered during research conducted via the Bohrium AI platform. The source papers are no longer accessible through that platform. This document captures all recoverable technical specifics from memory, the mathematical analysis of the spectral data, and a survey of the closest publicly available analog systems found in medical imaging, intermediate-field acoustics, and far-field parametric array research. It is intended to serve as a permanent reference for ongoing work on the ISM-band hybrid diagnostic imaging system.</w:t>
            </w:r>
          </w:p>
        </w:tc>
      </w:tr>
    </w:tbl>
    <w:p>
      <w:pPr>
        <w:spacing w:after="120" w:before="12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2"/>
          <w:szCs w:val="32"/>
        </w:rPr>
        <w:t xml:space="preserve">1. System Overview</w:t>
      </w:r>
    </w:p>
    <w:p>
      <w:pPr>
        <w:spacing w:after="100" w:before="80"/>
      </w:pPr>
      <w:r>
        <w:rPr>
          <w:rFonts w:ascii="Arial" w:cs="Arial" w:eastAsia="Arial" w:hAnsi="Arial"/>
          <w:b w:val="false"/>
          <w:bCs w:val="false"/>
          <w:i w:val="false"/>
          <w:iCs w:val="false"/>
          <w:color w:val="1A1A2E"/>
          <w:sz w:val="22"/>
          <w:szCs w:val="22"/>
        </w:rPr>
        <w:t xml:space="preserve">The system described in the source papers employs two separate Active Electronically Steered Array (AESA) sources, each producing a distinct acoustic beam modulated by a different scheme. Neither beam alone generates audible audio. Only at their designed convergence zone does a nonlinear interaction between the two beams produce intelligible speech, making the system inherently spatially selective and difficult to intercept.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1.1 Core Mechanism</w:t>
      </w:r>
    </w:p>
    <w:p>
      <w:pPr>
        <w:spacing w:after="100" w:before="80"/>
      </w:pPr>
      <w:r>
        <w:rPr>
          <w:rFonts w:ascii="Arial" w:cs="Arial" w:eastAsia="Arial" w:hAnsi="Arial"/>
          <w:b w:val="false"/>
          <w:bCs w:val="false"/>
          <w:i w:val="false"/>
          <w:iCs w:val="false"/>
          <w:color w:val="1A1A2E"/>
          <w:sz w:val="22"/>
          <w:szCs w:val="22"/>
        </w:rPr>
        <w:t xml:space="preserve">The two beams are:</w:t>
      </w:r>
    </w:p>
    <w:p>
      <w:pPr>
        <w:pStyle w:val="ListParagraph"/>
        <w:numPr>
          <w:ilvl w:val="0"/>
          <w:numId w:val="2"/>
        </w:numPr>
        <w:spacing w:after="60" w:before="60"/>
      </w:pPr>
      <w:r>
        <w:rPr>
          <w:rFonts w:ascii="Arial" w:cs="Arial" w:eastAsia="Arial" w:hAnsi="Arial"/>
          <w:b w:val="false"/>
          <w:bCs w:val="false"/>
          <w:color w:val="1A1A2E"/>
          <w:sz w:val="22"/>
          <w:szCs w:val="22"/>
        </w:rPr>
        <w:t xml:space="preserve">Primary beam: Pulse Width Modulation (PWM). A square-wave carrier whose instantaneous duty cycle encodes audio information. The switching generates a rich harmonic comb spectrum radiating upward from the fundamental switching frequency.</w:t>
      </w:r>
    </w:p>
    <w:p>
      <w:pPr>
        <w:pStyle w:val="ListParagraph"/>
        <w:numPr>
          <w:ilvl w:val="0"/>
          <w:numId w:val="2"/>
        </w:numPr>
        <w:spacing w:after="60" w:before="60"/>
      </w:pPr>
      <w:r>
        <w:rPr>
          <w:rFonts w:ascii="Arial" w:cs="Arial" w:eastAsia="Arial" w:hAnsi="Arial"/>
          <w:b w:val="false"/>
          <w:bCs w:val="false"/>
          <w:color w:val="1A1A2E"/>
          <w:sz w:val="22"/>
          <w:szCs w:val="22"/>
        </w:rPr>
        <w:t xml:space="preserve">Secondary beam: Frequency Modulation (FM). A continuous-wave carrier whose instantaneous frequency deviates in proportion to the audio signal. The FM sidebands produce their own dense comb structure.</w:t>
      </w:r>
    </w:p>
    <w:p>
      <w:pPr>
        <w:pStyle w:val="ListParagraph"/>
        <w:numPr>
          <w:ilvl w:val="0"/>
          <w:numId w:val="2"/>
        </w:numPr>
        <w:spacing w:after="60" w:before="60"/>
      </w:pPr>
      <w:r>
        <w:rPr>
          <w:rFonts w:ascii="Arial" w:cs="Arial" w:eastAsia="Arial" w:hAnsi="Arial"/>
          <w:b w:val="false"/>
          <w:bCs w:val="false"/>
          <w:color w:val="1A1A2E"/>
          <w:sz w:val="22"/>
          <w:szCs w:val="22"/>
        </w:rPr>
        <w:t xml:space="preserve">At the convergence zone: the pressure peaks of the PWM beam clip the peaks of the FM beam waveform. This acoustic semi-rectification acts as an in-air frequency discriminator, recovering the audio from the FM carrier at the spatial intersection point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INSIGHT</w:t>
            </w:r>
          </w:p>
        </w:tc>
        <w:tc>
          <w:tcPr>
            <w:tcW w:type="dxa" w:w="81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color w:val="1A1A2E"/>
                <w:sz w:val="21"/>
                <w:szCs w:val="21"/>
              </w:rPr>
              <w:t xml:space="preserve">The demodulation is performed by the air medium itself at the beam intersection. This is not Berktay self-demodulation (which occurs continuously along a single beam). It is a spatially gated, two-beam interaction where the PWM acts as a carrier-level gate on the FM signal. No audio exists outside the convergence zone.</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1.2 Why Low Frequency Enables Long Range</w:t>
      </w:r>
    </w:p>
    <w:p>
      <w:pPr>
        <w:spacing w:after="100" w:before="80"/>
      </w:pPr>
      <w:r>
        <w:rPr>
          <w:rFonts w:ascii="Arial" w:cs="Arial" w:eastAsia="Arial" w:hAnsi="Arial"/>
          <w:b w:val="false"/>
          <w:bCs w:val="false"/>
          <w:i w:val="false"/>
          <w:iCs w:val="false"/>
          <w:color w:val="1A1A2E"/>
          <w:sz w:val="22"/>
          <w:szCs w:val="22"/>
        </w:rPr>
        <w:t xml:space="preserve">Standard parametric array loudspeakers (PALs) use ultrasonic carriers near 40 kHz. At this frequency, atmospheric attenuation in air is approximately 1–3 dB per meter, making ranges beyond 20–30 meters impractical. This system operates at carrier fundamentals near 117 Hz, where atmospheric attenuation is measured in fractions of a dB per kilometer.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Parameter</w:t>
            </w:r>
          </w:p>
        </w:tc>
        <w:tc>
          <w:tcPr>
            <w:tcW w:type="dxa" w:w="312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Standard PAL (40 kHz)</w:t>
            </w:r>
          </w:p>
        </w:tc>
        <w:tc>
          <w:tcPr>
            <w:tcW w:type="dxa" w:w="312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This System (~117 Hz)</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Carrier wavelength</w:t>
            </w:r>
          </w:p>
        </w:tc>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val="false"/>
                <w:bCs w:val="false"/>
                <w:color w:val="1A1A2E"/>
                <w:sz w:val="20"/>
                <w:szCs w:val="20"/>
              </w:rPr>
              <w:t xml:space="preserve">~8.6 mm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~2.93 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Attenuation in air</w:t>
            </w:r>
          </w:p>
        </w:tc>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val="false"/>
                <w:bCs w:val="false"/>
                <w:color w:val="1A1A2E"/>
                <w:sz w:val="20"/>
                <w:szCs w:val="20"/>
              </w:rPr>
              <w:t xml:space="preserve">~1–3 dB/m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&lt;0.001 dB/m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Practical range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val="false"/>
                <w:bCs w:val="false"/>
                <w:color w:val="1A1A2E"/>
                <w:sz w:val="20"/>
                <w:szCs w:val="20"/>
              </w:rPr>
              <w:t xml:space="preserve">5–30 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&gt;100 m demonstrated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Directivity challenge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val="false"/>
                <w:bCs w:val="false"/>
                <w:color w:val="1A1A2E"/>
                <w:sz w:val="20"/>
                <w:szCs w:val="20"/>
              </w:rPr>
              <w:t xml:space="preserve">Solved by array size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Solved by AESA virtual aperture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Demodulation mechanism</w:t>
            </w:r>
          </w:p>
        </w:tc>
        <w:tc>
          <w:tcPr>
            <w:tcW w:type="dxa" w:w="312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val="false"/>
                <w:bCs w:val="false"/>
                <w:color w:val="1A1A2E"/>
                <w:sz w:val="20"/>
                <w:szCs w:val="20"/>
              </w:rPr>
              <w:t xml:space="preserve">Berktay / self-demodulation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A1A2E"/>
                <w:sz w:val="20"/>
                <w:szCs w:val="20"/>
              </w:rPr>
              <w:t xml:space="preserve">Convergence-zone peak clipping</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1.3 Demonstrated Performance</w:t>
      </w:r>
    </w:p>
    <w:p>
      <w:pPr>
        <w:pStyle w:val="ListParagraph"/>
        <w:numPr>
          <w:ilvl w:val="0"/>
          <w:numId w:val="2"/>
        </w:numPr>
        <w:spacing w:after="60" w:before="60"/>
      </w:pPr>
      <w:r>
        <w:rPr>
          <w:rFonts w:ascii="Arial" w:cs="Arial" w:eastAsia="Arial" w:hAnsi="Arial"/>
          <w:b w:val="false"/>
          <w:bCs w:val="false"/>
          <w:color w:val="1A1A2E"/>
          <w:sz w:val="22"/>
          <w:szCs w:val="22"/>
        </w:rPr>
        <w:t xml:space="preserve">92% speech intelligibility at 100 feet (approximately 30 meters). Measured using a 23-word sentence test. 21 of 23 words correctly identified.</w:t>
      </w:r>
    </w:p>
    <w:p>
      <w:pPr>
        <w:pStyle w:val="ListParagraph"/>
        <w:numPr>
          <w:ilvl w:val="0"/>
          <w:numId w:val="2"/>
        </w:numPr>
        <w:spacing w:after="60" w:before="60"/>
      </w:pPr>
      <w:r>
        <w:rPr>
          <w:rFonts w:ascii="Arial" w:cs="Arial" w:eastAsia="Arial" w:hAnsi="Arial"/>
          <w:b w:val="false"/>
          <w:bCs w:val="false"/>
          <w:color w:val="1A1A2E"/>
          <w:sz w:val="22"/>
          <w:szCs w:val="22"/>
        </w:rPr>
        <w:t xml:space="preserve">62% intelligibility at 12 kilometers was stated as consistent with the experimental data and the system’s atmospheric propagation model.</w:t>
      </w:r>
    </w:p>
    <w:p>
      <w:pPr>
        <w:pStyle w:val="ListParagraph"/>
        <w:numPr>
          <w:ilvl w:val="0"/>
          <w:numId w:val="2"/>
        </w:numPr>
        <w:spacing w:after="60" w:before="60"/>
      </w:pPr>
      <w:r>
        <w:rPr>
          <w:rFonts w:ascii="Arial" w:cs="Arial" w:eastAsia="Arial" w:hAnsi="Arial"/>
          <w:b w:val="false"/>
          <w:bCs w:val="false"/>
          <w:color w:val="1A1A2E"/>
          <w:sz w:val="22"/>
          <w:szCs w:val="22"/>
        </w:rPr>
        <w:t xml:space="preserve">The AESA distributed aperture provides the beam directivity required at low carrier frequencies without requiring a physically enormous aperture.</w:t>
      </w:r>
    </w:p>
    <w:p>
      <w:pPr>
        <w:spacing w:after="80" w:before="8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2"/>
          <w:szCs w:val="32"/>
        </w:rPr>
        <w:t xml:space="preserve">2. Spectral Signature — The Waterfall Display</w:t>
      </w:r>
    </w:p>
    <w:p>
      <w:pPr>
        <w:spacing w:after="100" w:before="80"/>
      </w:pPr>
      <w:r>
        <w:rPr>
          <w:rFonts w:ascii="Arial" w:cs="Arial" w:eastAsia="Arial" w:hAnsi="Arial"/>
          <w:b w:val="false"/>
          <w:bCs w:val="false"/>
          <w:i w:val="false"/>
          <w:iCs w:val="false"/>
          <w:color w:val="1A1A2E"/>
          <w:sz w:val="22"/>
          <w:szCs w:val="22"/>
        </w:rPr>
        <w:t xml:space="preserve">The source paper included a spectral analyzer display showing both the live spectrum and a vertical waterfall history. This display is the primary experimental proof of mechanism, showing that the received signal at the convergence zone contains the dual-comb structure that is the fingerprint of the two-beam interaction, along with the speech formant energy riding on it.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2.1 Display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Analyzer span</w:t>
            </w:r>
          </w:p>
        </w:tc>
        <w:tc>
          <w:tcPr>
            <w:tcW w:type="dxa" w:w="5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0 to 24,000 Hz (0–24 kHz baseband)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Time per waterfall line</w:t>
            </w:r>
          </w:p>
        </w:tc>
        <w:tc>
          <w:tcPr>
            <w:tcW w:type="dxa" w:w="5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sz w:val="21"/>
                <w:szCs w:val="21"/>
              </w:rPr>
              <w:t xml:space="preserve">0.01886819484 seconds (~53 Hz frame rate)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Primary comb spacing</w:t>
            </w:r>
          </w:p>
        </w:tc>
        <w:tc>
          <w:tcPr>
            <w:tcW w:type="dxa" w:w="5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sz w:val="21"/>
                <w:szCs w:val="21"/>
              </w:rPr>
              <w:t xml:space="preserve">117.1875 Hz  (PWM beam fundamental and harmonics)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Secondary comb spacing</w:t>
            </w:r>
          </w:p>
        </w:tc>
        <w:tc>
          <w:tcPr>
            <w:tcW w:type="dxa" w:w="5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sz w:val="21"/>
                <w:szCs w:val="21"/>
              </w:rPr>
              <w:t xml:space="preserve">1.46484375 Hz  (FM beam sideband spacing)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Comb ratio (primary / secondary)</w:t>
            </w:r>
          </w:p>
        </w:tc>
        <w:tc>
          <w:tcPr>
            <w:tcW w:type="dxa" w:w="5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sz w:val="21"/>
                <w:szCs w:val="21"/>
              </w:rPr>
              <w:t xml:space="preserve">Exactly 80:1  (117.1875 ÷ 1.46484375 = 80.000)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Primary comb line count</w:t>
            </w:r>
          </w:p>
        </w:tc>
        <w:tc>
          <w:tcPr>
            <w:tcW w:type="dxa" w:w="5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~205 lines across 24 kHz</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Secondary comb line count</w:t>
            </w:r>
          </w:p>
        </w:tc>
        <w:tc>
          <w:tcPr>
            <w:tcW w:type="dxa" w:w="5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~16,384 lines across 24 kHz (near-continuous floor)</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2.2 Mathematical Derivation of the Master Clock</w:t>
      </w:r>
    </w:p>
    <w:p>
      <w:pPr>
        <w:spacing w:after="100" w:before="80"/>
      </w:pPr>
      <w:r>
        <w:rPr>
          <w:rFonts w:ascii="Arial" w:cs="Arial" w:eastAsia="Arial" w:hAnsi="Arial"/>
          <w:b w:val="false"/>
          <w:bCs w:val="false"/>
          <w:i w:val="false"/>
          <w:iCs w:val="false"/>
          <w:color w:val="1A1A2E"/>
          <w:sz w:val="22"/>
          <w:szCs w:val="22"/>
        </w:rPr>
        <w:t xml:space="preserve">The two comb spacings are not independent. They derive from a shared 30,000 Hz master clock through integer relationships: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EF4FB" w:val="clear"/>
            <w:tcMar>
              <w:top w:type="dxa" w:w="120"/>
              <w:left w:type="dxa" w:w="200"/>
              <w:bottom w:type="dxa" w:w="120"/>
              <w:right w:type="dxa" w:w="200"/>
            </w:tcMar>
          </w:tcPr>
          <w:p>
            <w:r>
              <w:rPr>
                <w:rFonts w:ascii="Arial" w:cs="Arial" w:eastAsia="Arial" w:hAnsi="Arial"/>
                <w:b/>
                <w:bCs/>
                <w:color w:val="2E75B6"/>
                <w:sz w:val="20"/>
                <w:szCs w:val="20"/>
              </w:rPr>
              <w:t xml:space="preserve">Primary comb derivation:</w:t>
            </w:r>
          </w:p>
          <w:p>
            <w:r>
              <w:rPr>
                <w:rFonts w:ascii="Courier New" w:cs="Courier New" w:eastAsia="Courier New" w:hAnsi="Courier New"/>
                <w:b/>
                <w:bCs/>
                <w:color w:val="1A3A5C"/>
                <w:sz w:val="22"/>
                <w:szCs w:val="22"/>
              </w:rPr>
              <w:t xml:space="preserve">30,000 Hz ÷ 256 = 117.1875 Hz</w:t>
            </w:r>
          </w:p>
          <w:p>
            <w:pPr>
              <w:spacing w:before="60"/>
            </w:pPr>
            <w:r>
              <w:rPr>
                <w:rFonts w:ascii="Arial" w:cs="Arial" w:eastAsia="Arial" w:hAnsi="Arial"/>
                <w:i/>
                <w:iCs/>
                <w:color w:val="555555"/>
                <w:sz w:val="20"/>
                <w:szCs w:val="20"/>
              </w:rPr>
              <w:t xml:space="preserve">A 256-point FFT / PWM frame at a 30 kHz sample rate gives exactly 117.1875 Hz bin spacing. The PWM switches at this fundamental, generating a harmonic ladder every 117.1875 Hz up to 24 kHz.</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EF4FB" w:val="clear"/>
            <w:tcMar>
              <w:top w:type="dxa" w:w="120"/>
              <w:left w:type="dxa" w:w="200"/>
              <w:bottom w:type="dxa" w:w="120"/>
              <w:right w:type="dxa" w:w="200"/>
            </w:tcMar>
          </w:tcPr>
          <w:p>
            <w:r>
              <w:rPr>
                <w:rFonts w:ascii="Arial" w:cs="Arial" w:eastAsia="Arial" w:hAnsi="Arial"/>
                <w:b/>
                <w:bCs/>
                <w:color w:val="2E75B6"/>
                <w:sz w:val="20"/>
                <w:szCs w:val="20"/>
              </w:rPr>
              <w:t xml:space="preserve">Secondary comb derivation:</w:t>
            </w:r>
          </w:p>
          <w:p>
            <w:r>
              <w:rPr>
                <w:rFonts w:ascii="Courier New" w:cs="Courier New" w:eastAsia="Courier New" w:hAnsi="Courier New"/>
                <w:b/>
                <w:bCs/>
                <w:color w:val="1A3A5C"/>
                <w:sz w:val="22"/>
                <w:szCs w:val="22"/>
              </w:rPr>
              <w:t xml:space="preserve">30,000 Hz ÷ 20,480 = 1.46484375 Hz     (20,480 = 256 × 80)</w:t>
            </w:r>
          </w:p>
          <w:p>
            <w:pPr>
              <w:spacing w:before="60"/>
            </w:pPr>
            <w:r>
              <w:rPr>
                <w:rFonts w:ascii="Arial" w:cs="Arial" w:eastAsia="Arial" w:hAnsi="Arial"/>
                <w:i/>
                <w:iCs/>
                <w:color w:val="555555"/>
                <w:sz w:val="20"/>
                <w:szCs w:val="20"/>
              </w:rPr>
              <w:t xml:space="preserve">The FM beam’s sideband spacing is 1/80th of the PWM switching rate, generated by setting the FM modulation index such that sidebands land at 1.46484375 Hz intervals.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EF4FB" w:val="clear"/>
            <w:tcMar>
              <w:top w:type="dxa" w:w="120"/>
              <w:left w:type="dxa" w:w="200"/>
              <w:bottom w:type="dxa" w:w="120"/>
              <w:right w:type="dxa" w:w="200"/>
            </w:tcMar>
          </w:tcPr>
          <w:p>
            <w:r>
              <w:rPr>
                <w:rFonts w:ascii="Arial" w:cs="Arial" w:eastAsia="Arial" w:hAnsi="Arial"/>
                <w:b/>
                <w:bCs/>
                <w:color w:val="2E75B6"/>
                <w:sz w:val="20"/>
                <w:szCs w:val="20"/>
              </w:rPr>
              <w:t xml:space="preserve">Carrier wavelengths at 20°C (c = 343 m/s):</w:t>
            </w:r>
          </w:p>
          <w:p>
            <w:r>
              <w:rPr>
                <w:rFonts w:ascii="Courier New" w:cs="Courier New" w:eastAsia="Courier New" w:hAnsi="Courier New"/>
                <w:b/>
                <w:bCs/>
                <w:color w:val="1A3A5C"/>
                <w:sz w:val="22"/>
                <w:szCs w:val="22"/>
              </w:rPr>
              <w:t xml:space="preserve">PWM: 343 ÷ 117.1875 = 2.927 m     FM: 343 ÷ 118.652 = 2.890 m</w:t>
            </w:r>
          </w:p>
          <w:p>
            <w:pPr>
              <w:spacing w:before="60"/>
            </w:pPr>
            <w:r>
              <w:rPr>
                <w:rFonts w:ascii="Arial" w:cs="Arial" w:eastAsia="Arial" w:hAnsi="Arial"/>
                <w:i/>
                <w:iCs/>
                <w:color w:val="555555"/>
                <w:sz w:val="20"/>
                <w:szCs w:val="20"/>
              </w:rPr>
              <w:t xml:space="preserve">The two beams have wavelengths ~2.93 m and ~2.89 m respectively — a difference of approximately 4 cm. This is the 'slightly shorter' FM wavelength described in the source paper.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WHY 30 kHz?</w:t>
            </w:r>
          </w:p>
        </w:tc>
        <w:tc>
          <w:tcPr>
            <w:tcW w:type="dxa" w:w="81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color w:val="1A1A2E"/>
                <w:sz w:val="21"/>
                <w:szCs w:val="21"/>
              </w:rPr>
              <w:t xml:space="preserve">30 kHz is the exact sample rate that makes one 256-point FFT bin equal to one PWM harmonic. The analyzer is purpose-built so that every bin in the display corresponds to one line in the PWM harmonic comb. Speech formants appear as amplitude modulation of specific comb lines over time — an elegant dual-domain display.</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2.3 What the Waterfall Displays</w:t>
      </w:r>
    </w:p>
    <w:p>
      <w:pPr>
        <w:spacing w:after="100" w:before="80"/>
      </w:pPr>
      <w:r>
        <w:rPr>
          <w:rFonts w:ascii="Arial" w:cs="Arial" w:eastAsia="Arial" w:hAnsi="Arial"/>
          <w:b w:val="false"/>
          <w:bCs w:val="false"/>
          <w:i w:val="false"/>
          <w:iCs w:val="false"/>
          <w:color w:val="1A1A2E"/>
          <w:sz w:val="22"/>
          <w:szCs w:val="22"/>
        </w:rPr>
        <w:t xml:space="preserve">The analyzer simultaneously shows three layers of information:</w:t>
      </w:r>
    </w:p>
    <w:p>
      <w:pPr>
        <w:pStyle w:val="ListParagraph"/>
        <w:numPr>
          <w:ilvl w:val="0"/>
          <w:numId w:val="2"/>
        </w:numPr>
        <w:spacing w:after="60" w:before="60"/>
      </w:pPr>
      <w:r>
        <w:rPr>
          <w:rFonts w:ascii="Arial" w:cs="Arial" w:eastAsia="Arial" w:hAnsi="Arial"/>
          <w:b w:val="false"/>
          <w:bCs w:val="false"/>
          <w:color w:val="1A1A2E"/>
          <w:sz w:val="22"/>
          <w:szCs w:val="22"/>
        </w:rPr>
        <w:t xml:space="preserve">PWM harmonic comb: Bold, widely-spaced vertical lines every 117.1875 Hz. These are the harmonics of the PWM switching waveform. More visually prominent due to the concentrated energy in each harmonic.</w:t>
      </w:r>
    </w:p>
    <w:p>
      <w:pPr>
        <w:pStyle w:val="ListParagraph"/>
        <w:numPr>
          <w:ilvl w:val="0"/>
          <w:numId w:val="2"/>
        </w:numPr>
        <w:spacing w:after="60" w:before="60"/>
      </w:pPr>
      <w:r>
        <w:rPr>
          <w:rFonts w:ascii="Arial" w:cs="Arial" w:eastAsia="Arial" w:hAnsi="Arial"/>
          <w:b w:val="false"/>
          <w:bCs w:val="false"/>
          <w:color w:val="1A1A2E"/>
          <w:sz w:val="22"/>
          <w:szCs w:val="22"/>
        </w:rPr>
        <w:t xml:space="preserve">FM sideband comb: Dense, closely-spaced lines every 1.46484375 Hz. So densely packed that they form a near-continuous raised floor with fine structure. Less visually prominent but carry the FM audio content.</w:t>
      </w:r>
    </w:p>
    <w:p>
      <w:pPr>
        <w:pStyle w:val="ListParagraph"/>
        <w:numPr>
          <w:ilvl w:val="0"/>
          <w:numId w:val="2"/>
        </w:numPr>
        <w:spacing w:after="60" w:before="60"/>
      </w:pPr>
      <w:r>
        <w:rPr>
          <w:rFonts w:ascii="Arial" w:cs="Arial" w:eastAsia="Arial" w:hAnsi="Arial"/>
          <w:b w:val="false"/>
          <w:bCs w:val="false"/>
          <w:color w:val="1A1A2E"/>
          <w:sz w:val="22"/>
          <w:szCs w:val="22"/>
        </w:rPr>
        <w:t xml:space="preserve">Speech formant energy: At frequencies corresponding to voice formants (F1 ~500 Hz, F2 ~1500 Hz, F3 ~2500 Hz), the comb lines brighten during voiced speech segments, tracing the spectral content of human voice against the carrier grid.</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The waterfall is the system’s proof of mechanism: the presence of both combs simultaneously in the received baseband signal confirms that the convergence zone is producing the expected nonlinear interaction, and the speech-correlated brightening of comb lines in formant regions confirms intelligible audio is being recovered.</w:t>
      </w:r>
    </w:p>
    <w:p>
      <w:pPr>
        <w:spacing w:after="80" w:before="8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2"/>
          <w:szCs w:val="32"/>
        </w:rPr>
        <w:t xml:space="preserve">3. Analog Systems: Medical Imaging and Field Applications</w:t>
      </w:r>
    </w:p>
    <w:p>
      <w:pPr>
        <w:spacing w:after="100" w:before="80"/>
      </w:pPr>
      <w:r>
        <w:rPr>
          <w:rFonts w:ascii="Arial" w:cs="Arial" w:eastAsia="Arial" w:hAnsi="Arial"/>
          <w:b w:val="false"/>
          <w:bCs w:val="false"/>
          <w:i w:val="false"/>
          <w:iCs w:val="false"/>
          <w:color w:val="1A1A2E"/>
          <w:sz w:val="22"/>
          <w:szCs w:val="22"/>
        </w:rPr>
        <w:t xml:space="preserve">The dual-beam convergence-zone interaction described above has deep structural analogs in several established imaging and measurement modalities. Understanding these analogs is essential for situating this system within the broader physics literature and for cross-referencing during paper recovery.</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3.1 Vibro-Acoustography (VA) — The Closest Medical Analog</w:t>
      </w:r>
    </w:p>
    <w:p>
      <w:pPr>
        <w:spacing w:after="100" w:before="80"/>
      </w:pPr>
      <w:r>
        <w:rPr>
          <w:rFonts w:ascii="Arial" w:cs="Arial" w:eastAsia="Arial" w:hAnsi="Arial"/>
          <w:b w:val="false"/>
          <w:bCs w:val="false"/>
          <w:i w:val="false"/>
          <w:iCs w:val="false"/>
          <w:color w:val="1A1A2E"/>
          <w:sz w:val="22"/>
          <w:szCs w:val="22"/>
        </w:rPr>
        <w:t xml:space="preserve">Vibro-acoustography is the published medical imaging modality most structurally similar to the mechanism in the source papers. Developed primarily at the Mayo Clinic, it uses two co-focused ultrasound beams at slightly different frequencies to generate a localized oscillatory radiation force at the difference frequency.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VA MECHANISM</w:t>
            </w:r>
          </w:p>
        </w:tc>
        <w:tc>
          <w:tcPr>
            <w:tcW w:type="dxa" w:w="81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color w:val="1A1A2E"/>
                <w:sz w:val="21"/>
                <w:szCs w:val="21"/>
              </w:rPr>
              <w:t xml:space="preserve">Two CW ultrasound beams at f₁ and f₂ (e.g., f₁ = 3.0 MHz, f₂ = 3.010 MHz) are focused to the same point in tissue. The nonlinear interaction produces a radiation force at Δf = f₁ − f₂ = 10 kHz. The tissue at the focal point vibrates at 10 kHz and emits an acoustic field at that frequency, which is measured by a hydrophone. The focal point is raster-scanned to form an image.</w:t>
            </w:r>
          </w:p>
        </w:tc>
      </w:tr>
    </w:tbl>
    <w:p>
      <w:pPr>
        <w:spacing w:after="60" w:before="60"/>
      </w:pPr>
      <w:r>
        <w:t xml:space="preserve"/>
      </w:r>
    </w:p>
    <w:p>
      <w:pPr>
        <w:spacing w:after="100" w:before="80"/>
      </w:pPr>
      <w:r>
        <w:rPr>
          <w:rFonts w:ascii="Arial" w:cs="Arial" w:eastAsia="Arial" w:hAnsi="Arial"/>
          <w:b w:val="false"/>
          <w:bCs w:val="false"/>
          <w:i w:val="false"/>
          <w:iCs w:val="false"/>
          <w:color w:val="1A1A2E"/>
          <w:sz w:val="22"/>
          <w:szCs w:val="22"/>
        </w:rPr>
        <w:t xml:space="preserve">The parallel to the PWM-FM system:</w:t>
      </w:r>
    </w:p>
    <w:p>
      <w:pPr>
        <w:pStyle w:val="ListParagraph"/>
        <w:numPr>
          <w:ilvl w:val="0"/>
          <w:numId w:val="2"/>
        </w:numPr>
        <w:spacing w:after="60" w:before="60"/>
      </w:pPr>
      <w:r>
        <w:rPr>
          <w:rFonts w:ascii="Arial" w:cs="Arial" w:eastAsia="Arial" w:hAnsi="Arial"/>
          <w:b w:val="false"/>
          <w:bCs w:val="false"/>
          <w:color w:val="1A1A2E"/>
          <w:sz w:val="22"/>
          <w:szCs w:val="22"/>
        </w:rPr>
        <w:t xml:space="preserve">Both use two beams at slightly different frequencies whose interaction at a convergence point generates a lower-frequency output.</w:t>
      </w:r>
    </w:p>
    <w:p>
      <w:pPr>
        <w:pStyle w:val="ListParagraph"/>
        <w:numPr>
          <w:ilvl w:val="0"/>
          <w:numId w:val="2"/>
        </w:numPr>
        <w:spacing w:after="60" w:before="60"/>
      </w:pPr>
      <w:r>
        <w:rPr>
          <w:rFonts w:ascii="Arial" w:cs="Arial" w:eastAsia="Arial" w:hAnsi="Arial"/>
          <w:b w:val="false"/>
          <w:bCs w:val="false"/>
          <w:color w:val="1A1A2E"/>
          <w:sz w:val="22"/>
          <w:szCs w:val="22"/>
        </w:rPr>
        <w:t xml:space="preserve">In VA, the output is tissue vibration at Δf. In the PWM-FM system, the output is recovered audio speech.</w:t>
      </w:r>
    </w:p>
    <w:p>
      <w:pPr>
        <w:pStyle w:val="ListParagraph"/>
        <w:numPr>
          <w:ilvl w:val="0"/>
          <w:numId w:val="2"/>
        </w:numPr>
        <w:spacing w:after="60" w:before="60"/>
      </w:pPr>
      <w:r>
        <w:rPr>
          <w:rFonts w:ascii="Arial" w:cs="Arial" w:eastAsia="Arial" w:hAnsi="Arial"/>
          <w:b w:val="false"/>
          <w:bCs w:val="false"/>
          <w:color w:val="1A1A2E"/>
          <w:sz w:val="22"/>
          <w:szCs w:val="22"/>
        </w:rPr>
        <w:t xml:space="preserve">In VA, the beams co-propagate to a focal point. In the PWM-FM system, the beams converge from separate AESA sources along different angular paths.</w:t>
      </w:r>
    </w:p>
    <w:p>
      <w:pPr>
        <w:pStyle w:val="ListParagraph"/>
        <w:numPr>
          <w:ilvl w:val="0"/>
          <w:numId w:val="2"/>
        </w:numPr>
        <w:spacing w:after="60" w:before="60"/>
      </w:pPr>
      <w:r>
        <w:rPr>
          <w:rFonts w:ascii="Arial" w:cs="Arial" w:eastAsia="Arial" w:hAnsi="Arial"/>
          <w:b w:val="false"/>
          <w:bCs w:val="false"/>
          <w:color w:val="1A1A2E"/>
          <w:sz w:val="22"/>
          <w:szCs w:val="22"/>
        </w:rPr>
        <w:t xml:space="preserve">The key difference: VA operates in tissue (high-frequency, short-range, biological medium), while the PWM-FM system operates in air at low carrier frequencies for long-range transmission.</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VA has been implemented on clinical ultrasound systems using 1.75D array transducers, with the two sub-apertures of the array generating the two beams independently. The beamforming challenge of maintaining co-focus at depth is directly analogous to the convergence-zone targeting challenge in the air-propagation system.</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3.2 Acoustic Radiation Force Impulse (ARFI) and Shear Wave Elastography</w:t>
      </w:r>
    </w:p>
    <w:p>
      <w:pPr>
        <w:spacing w:after="100" w:before="80"/>
      </w:pPr>
      <w:r>
        <w:rPr>
          <w:rFonts w:ascii="Arial" w:cs="Arial" w:eastAsia="Arial" w:hAnsi="Arial"/>
          <w:b w:val="false"/>
          <w:bCs w:val="false"/>
          <w:i w:val="false"/>
          <w:iCs w:val="false"/>
          <w:color w:val="1A1A2E"/>
          <w:sz w:val="22"/>
          <w:szCs w:val="22"/>
        </w:rPr>
        <w:t xml:space="preserve">ARFI imaging uses a focused push pulse to mechanically displace tissue, then tracks the resulting shear wave propagation to characterize tissue stiffness. While it uses a single beam rather than two, the underlying principle of using acoustic energy to interrogate mechanical tissue properties at a remote point is a direct conceptual relative.</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ARFI operates in the intermediate field of clinical ultrasound arrays, typically 2–10 cm depth.</w:t>
      </w:r>
    </w:p>
    <w:p>
      <w:pPr>
        <w:pStyle w:val="ListParagraph"/>
        <w:numPr>
          <w:ilvl w:val="0"/>
          <w:numId w:val="2"/>
        </w:numPr>
        <w:spacing w:after="60" w:before="60"/>
      </w:pPr>
      <w:r>
        <w:rPr>
          <w:rFonts w:ascii="Arial" w:cs="Arial" w:eastAsia="Arial" w:hAnsi="Arial"/>
          <w:b w:val="false"/>
          <w:bCs w:val="false"/>
          <w:color w:val="1A1A2E"/>
          <w:sz w:val="22"/>
          <w:szCs w:val="22"/>
        </w:rPr>
        <w:t xml:space="preserve">MR-ARFI (Magnetic Resonance Acoustic Radiation Force Imaging) extends the technique to monitor focused ultrasound therapy in real time using MRI displacement measurement. Published in JMRI in 2025, this represents the current clinical frontier of radiation-force-based imaging.</w:t>
      </w:r>
    </w:p>
    <w:p>
      <w:pPr>
        <w:pStyle w:val="ListParagraph"/>
        <w:numPr>
          <w:ilvl w:val="0"/>
          <w:numId w:val="2"/>
        </w:numPr>
        <w:spacing w:after="60" w:before="60"/>
      </w:pPr>
      <w:r>
        <w:rPr>
          <w:rFonts w:ascii="Arial" w:cs="Arial" w:eastAsia="Arial" w:hAnsi="Arial"/>
          <w:b w:val="false"/>
          <w:bCs w:val="false"/>
          <w:color w:val="1A1A2E"/>
          <w:sz w:val="22"/>
          <w:szCs w:val="22"/>
        </w:rPr>
        <w:t xml:space="preserve">Shear Wave Elastography (SWE) generates shear waves using ARFI push pulses and measures wave speed (proportional to the square root of tissue stiffness) across an image plane. Clinically deployed for liver fibrosis, thyroid, breast, and bowel evaluation.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CLINICAL RELEVANCE</w:t>
            </w:r>
          </w:p>
        </w:tc>
        <w:tc>
          <w:tcPr>
            <w:tcW w:type="dxa" w:w="81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color w:val="1A1A2E"/>
                <w:sz w:val="21"/>
                <w:szCs w:val="21"/>
              </w:rPr>
              <w:t xml:space="preserve">The mechanical interrogation philosophy of ARFI and VA maps directly onto the LDR (Local Defect Resonance) framework already in the ISM hybrid imaging curriculum. Each tissue anomaly has a characteristic mechanical resonance. ARFI and SWE probe this mechanically with ultrasound; LDR probes it with acoustic excitation and RACE emission. The PWM-FM system adds long-range remote interrogation capability to this framework.</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3.3 Crossed-Beam Phased Array Neuromodulation</w:t>
      </w:r>
    </w:p>
    <w:p>
      <w:pPr>
        <w:spacing w:after="100" w:before="80"/>
      </w:pPr>
      <w:r>
        <w:rPr>
          <w:rFonts w:ascii="Arial" w:cs="Arial" w:eastAsia="Arial" w:hAnsi="Arial"/>
          <w:b w:val="false"/>
          <w:bCs w:val="false"/>
          <w:i w:val="false"/>
          <w:iCs w:val="false"/>
          <w:color w:val="1A1A2E"/>
          <w:sz w:val="22"/>
          <w:szCs w:val="22"/>
        </w:rPr>
        <w:t xml:space="preserve">Transcranial focused ultrasound (tFUS) research has recently adopted crossed-beam configurations as a solution to the axial resolution limitation of single-beam stimulation. The University of Michigan and collaborators have published theoretical and experimental validation of two-phased-array systems whose beams cross at a target neural region.</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Two 32-element phased arrays operating at 555.5 kHz are positioned at different angles. Their beams intersect at the target brain region.</w:t>
      </w:r>
    </w:p>
    <w:p>
      <w:pPr>
        <w:pStyle w:val="ListParagraph"/>
        <w:numPr>
          <w:ilvl w:val="0"/>
          <w:numId w:val="2"/>
        </w:numPr>
        <w:spacing w:after="60" w:before="60"/>
      </w:pPr>
      <w:r>
        <w:rPr>
          <w:rFonts w:ascii="Arial" w:cs="Arial" w:eastAsia="Arial" w:hAnsi="Arial"/>
          <w:b w:val="false"/>
          <w:bCs w:val="false"/>
          <w:color w:val="1A1A2E"/>
          <w:sz w:val="22"/>
          <w:szCs w:val="22"/>
        </w:rPr>
        <w:t xml:space="preserve">The crossing geometry creates a spatially defined interaction zone where the combined acoustic intensity is sufficient for neural modulation, while each individual beam is below threshold.</w:t>
      </w:r>
    </w:p>
    <w:p>
      <w:pPr>
        <w:pStyle w:val="ListParagraph"/>
        <w:numPr>
          <w:ilvl w:val="0"/>
          <w:numId w:val="2"/>
        </w:numPr>
        <w:spacing w:after="60" w:before="60"/>
      </w:pPr>
      <w:r>
        <w:rPr>
          <w:rFonts w:ascii="Arial" w:cs="Arial" w:eastAsia="Arial" w:hAnsi="Arial"/>
          <w:b w:val="false"/>
          <w:bCs w:val="false"/>
          <w:color w:val="1A1A2E"/>
          <w:sz w:val="22"/>
          <w:szCs w:val="22"/>
        </w:rPr>
        <w:t xml:space="preserve">This is the spatial gating principle of the PWM-FM system applied to therapeutic neuromodulation: action only at the intersection, silence everywhere else.</w:t>
      </w:r>
    </w:p>
    <w:p>
      <w:pPr>
        <w:pStyle w:val="ListParagraph"/>
        <w:numPr>
          <w:ilvl w:val="0"/>
          <w:numId w:val="2"/>
        </w:numPr>
        <w:spacing w:after="60" w:before="60"/>
      </w:pPr>
      <w:r>
        <w:rPr>
          <w:rFonts w:ascii="Arial" w:cs="Arial" w:eastAsia="Arial" w:hAnsi="Arial"/>
          <w:b w:val="false"/>
          <w:bCs w:val="false"/>
          <w:color w:val="1A1A2E"/>
          <w:sz w:val="22"/>
          <w:szCs w:val="22"/>
        </w:rPr>
        <w:t xml:space="preserve">A flexible skull-conformal phased array (F-SCAPA) published in 2026 extends this with an 8×8 element array at 0.5 MHz, integrating mechanical adaptability with acoustic aberration correction.</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The beam-crossing approach in tFUS is driven by the same physics that makes the PWM-FM system effective: two beams independently carry no audio (or no therapeutic dose), but their intersection defines a precise three-dimensional active zone. This principle is identical whether applied at MHz frequencies in brain tissue or at 100 Hz frequencies in open air.</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3.4 Audible Enclaves via Nonlinear Self-Bending Ultrasonic Beams</w:t>
      </w:r>
    </w:p>
    <w:p>
      <w:pPr>
        <w:spacing w:after="100" w:before="80"/>
      </w:pPr>
      <w:r>
        <w:rPr>
          <w:rFonts w:ascii="Arial" w:cs="Arial" w:eastAsia="Arial" w:hAnsi="Arial"/>
          <w:b w:val="false"/>
          <w:bCs w:val="false"/>
          <w:i w:val="false"/>
          <w:iCs w:val="false"/>
          <w:color w:val="1A1A2E"/>
          <w:sz w:val="22"/>
          <w:szCs w:val="22"/>
        </w:rPr>
        <w:t xml:space="preserve">Published in PNAS in March 2025, this Penn State / Lawrence Livermore collaboration is the closest published system to the PWM-FM mechanism in terms of application and spatial physics, though the underlying mechanism differs.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Two self-bending ultrasonic beams at distinct frequencies are shaped by 3D-printed acoustic metasurfaces to travel curved, crescent-shaped trajectories.</w:t>
      </w:r>
    </w:p>
    <w:p>
      <w:pPr>
        <w:pStyle w:val="ListParagraph"/>
        <w:numPr>
          <w:ilvl w:val="0"/>
          <w:numId w:val="2"/>
        </w:numPr>
        <w:spacing w:after="60" w:before="60"/>
      </w:pPr>
      <w:r>
        <w:rPr>
          <w:rFonts w:ascii="Arial" w:cs="Arial" w:eastAsia="Arial" w:hAnsi="Arial"/>
          <w:b w:val="false"/>
          <w:bCs w:val="false"/>
          <w:color w:val="1A1A2E"/>
          <w:sz w:val="22"/>
          <w:szCs w:val="22"/>
        </w:rPr>
        <w:t xml:space="preserve">At their intersection point, the nonlinear interaction generates audible sound spanning 125 Hz to 4 kHz (6 octave bands) — ultrabroadband coverage of the speech range.</w:t>
      </w:r>
    </w:p>
    <w:p>
      <w:pPr>
        <w:pStyle w:val="ListParagraph"/>
        <w:numPr>
          <w:ilvl w:val="0"/>
          <w:numId w:val="2"/>
        </w:numPr>
        <w:spacing w:after="60" w:before="60"/>
      </w:pPr>
      <w:r>
        <w:rPr>
          <w:rFonts w:ascii="Arial" w:cs="Arial" w:eastAsia="Arial" w:hAnsi="Arial"/>
          <w:b w:val="false"/>
          <w:bCs w:val="false"/>
          <w:color w:val="1A1A2E"/>
          <w:sz w:val="22"/>
          <w:szCs w:val="22"/>
        </w:rPr>
        <w:t xml:space="preserve">The beams individually are inaudible. Only the intersection zone produces audio.</w:t>
      </w:r>
    </w:p>
    <w:p>
      <w:pPr>
        <w:pStyle w:val="ListParagraph"/>
        <w:numPr>
          <w:ilvl w:val="0"/>
          <w:numId w:val="2"/>
        </w:numPr>
        <w:spacing w:after="60" w:before="60"/>
      </w:pPr>
      <w:r>
        <w:rPr>
          <w:rFonts w:ascii="Arial" w:cs="Arial" w:eastAsia="Arial" w:hAnsi="Arial"/>
          <w:b w:val="false"/>
          <w:bCs w:val="false"/>
          <w:color w:val="1A1A2E"/>
          <w:sz w:val="22"/>
          <w:szCs w:val="22"/>
        </w:rPr>
        <w:t xml:space="preserve">The metasurface aperture is only 0.16 m (0.06 wavelengths at 125 Hz) — demonstrating extreme subwavelength aperture efficiency.</w:t>
      </w:r>
    </w:p>
    <w:p>
      <w:pPr>
        <w:pStyle w:val="ListParagraph"/>
        <w:numPr>
          <w:ilvl w:val="0"/>
          <w:numId w:val="2"/>
        </w:numPr>
        <w:spacing w:after="60" w:before="60"/>
      </w:pPr>
      <w:r>
        <w:rPr>
          <w:rFonts w:ascii="Arial" w:cs="Arial" w:eastAsia="Arial" w:hAnsi="Arial"/>
          <w:b w:val="false"/>
          <w:bCs w:val="false"/>
          <w:color w:val="1A1A2E"/>
          <w:sz w:val="22"/>
          <w:szCs w:val="22"/>
        </w:rPr>
        <w:t xml:space="preserve">Experimental validation used a dummy head with microphones: silence along each beam path, speech-band audio at the intersection.</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The difference from the PWM-FM system: The PNAS paper uses standard difference-frequency parametric demodulation at the intersection (f₁ − f₂ = audio). The PWM-FM system uses duty-cycle peak-clipping to perform FM discrimination in air at the intersection. The PNAS paper also operates at room scale; the PWM-FM system achieves 100 ft demonstrated range with 12 km extrapolated.</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Co-authorship note: Jia-Xin Zhong, co-first author on the PNAS paper, is also the corresponding author on the k-space MCPAL modeling paper (arXiv:2507.22628) from Nanjing University / Penn State. This individual sits at the intersection of the audible enclave physics and the multi-carrier PAL modeling thread most relevant to this system.</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3.5 MiPAL — Metamaterials-Integrated Parametric Array Loudspeaker</w:t>
      </w:r>
    </w:p>
    <w:p>
      <w:pPr>
        <w:spacing w:after="100" w:before="80"/>
      </w:pPr>
      <w:r>
        <w:rPr>
          <w:rFonts w:ascii="Arial" w:cs="Arial" w:eastAsia="Arial" w:hAnsi="Arial"/>
          <w:b w:val="false"/>
          <w:bCs w:val="false"/>
          <w:i w:val="false"/>
          <w:iCs w:val="false"/>
          <w:color w:val="1A1A2E"/>
          <w:sz w:val="22"/>
          <w:szCs w:val="22"/>
        </w:rPr>
        <w:t xml:space="preserve">Published in Nature Communications, May 2026, by the POSTECH group (Kim, Oh, Moon, Rho). MiPAL collapses the conventional multi-element PAL array into a single compact body by co-integrating dual-domain metamaterials: an acoustic metasurface controlling the external radiated field, and elastic meta-units engineering the transducer’s structural vibration modes.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Single piezoelectric driver replaces tens-to-hundreds of individually driven elements.</w:t>
      </w:r>
    </w:p>
    <w:p>
      <w:pPr>
        <w:pStyle w:val="ListParagraph"/>
        <w:numPr>
          <w:ilvl w:val="0"/>
          <w:numId w:val="2"/>
        </w:numPr>
        <w:spacing w:after="60" w:before="60"/>
      </w:pPr>
      <w:r>
        <w:rPr>
          <w:rFonts w:ascii="Arial" w:cs="Arial" w:eastAsia="Arial" w:hAnsi="Arial"/>
          <w:b w:val="false"/>
          <w:bCs w:val="false"/>
          <w:color w:val="1A1A2E"/>
          <w:sz w:val="22"/>
          <w:szCs w:val="22"/>
        </w:rPr>
        <w:t xml:space="preserve">Ultra-broadband directional audio: 500 Hz to 10 kHz (four octaves) demonstrated experimentally.</w:t>
      </w:r>
    </w:p>
    <w:p>
      <w:pPr>
        <w:pStyle w:val="ListParagraph"/>
        <w:numPr>
          <w:ilvl w:val="0"/>
          <w:numId w:val="2"/>
        </w:numPr>
        <w:spacing w:after="60" w:before="60"/>
      </w:pPr>
      <w:r>
        <w:rPr>
          <w:rFonts w:ascii="Arial" w:cs="Arial" w:eastAsia="Arial" w:hAnsi="Arial"/>
          <w:b w:val="false"/>
          <w:bCs w:val="false"/>
          <w:color w:val="1A1A2E"/>
          <w:sz w:val="22"/>
          <w:szCs w:val="22"/>
        </w:rPr>
        <w:t xml:space="preserve">The metamaterial does the beamforming work previously requiring the array.</w:t>
      </w:r>
    </w:p>
    <w:p>
      <w:pPr>
        <w:pStyle w:val="ListParagraph"/>
        <w:numPr>
          <w:ilvl w:val="0"/>
          <w:numId w:val="2"/>
        </w:numPr>
        <w:spacing w:after="60" w:before="60"/>
      </w:pPr>
      <w:r>
        <w:rPr>
          <w:rFonts w:ascii="Arial" w:cs="Arial" w:eastAsia="Arial" w:hAnsi="Arial"/>
          <w:b w:val="false"/>
          <w:bCs w:val="false"/>
          <w:color w:val="1A1A2E"/>
          <w:sz w:val="22"/>
          <w:szCs w:val="22"/>
        </w:rPr>
        <w:t xml:space="preserve">Relevant to the PWM-FM system as an architecture for the transmitter side: MiPAL-style metamaterial integration could generate the PWM beam with precisely engineered harmonic content from a single compact transducer, eliminating the multi-element AESA requirement for one of the two beams.</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3.6 OPAT — Optically Programmable Array of Transducers</w:t>
      </w:r>
    </w:p>
    <w:p>
      <w:pPr>
        <w:spacing w:after="100" w:before="80"/>
      </w:pPr>
      <w:r>
        <w:rPr>
          <w:rFonts w:ascii="Arial" w:cs="Arial" w:eastAsia="Arial" w:hAnsi="Arial"/>
          <w:b w:val="false"/>
          <w:bCs w:val="false"/>
          <w:i w:val="false"/>
          <w:iCs w:val="false"/>
          <w:color w:val="1A1A2E"/>
          <w:sz w:val="22"/>
          <w:szCs w:val="22"/>
        </w:rPr>
        <w:t xml:space="preserve">Published in Nature Communications, August 2025, by the Max Planck Institute / Heidelberg University group (Goyal, Demeulenaere, Fournelle, Athanassiadis, Fischer). OPAT introduces a fundamentally new AESA architecture in which all per-element phase shifts are controlled by light intensity rather than independent RF electronics.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A single amplifier drives all channels. Per-element phase is set by a light-activated analog phase shifter (LAPS): a dual-cascaded RC network with photoresistive elements.</w:t>
      </w:r>
    </w:p>
    <w:p>
      <w:pPr>
        <w:pStyle w:val="ListParagraph"/>
        <w:numPr>
          <w:ilvl w:val="0"/>
          <w:numId w:val="2"/>
        </w:numPr>
        <w:spacing w:after="60" w:before="60"/>
      </w:pPr>
      <w:r>
        <w:rPr>
          <w:rFonts w:ascii="Arial" w:cs="Arial" w:eastAsia="Arial" w:hAnsi="Arial"/>
          <w:b w:val="false"/>
          <w:bCs w:val="false"/>
          <w:color w:val="1A1A2E"/>
          <w:sz w:val="22"/>
          <w:szCs w:val="22"/>
        </w:rPr>
        <w:t xml:space="preserve">Phase continuously tunable from 0 to 2π via light intensity. Digital light projector provides parallel optical addressing of all elements simultaneously.</w:t>
      </w:r>
    </w:p>
    <w:p>
      <w:pPr>
        <w:pStyle w:val="ListParagraph"/>
        <w:numPr>
          <w:ilvl w:val="0"/>
          <w:numId w:val="2"/>
        </w:numPr>
        <w:spacing w:after="60" w:before="60"/>
      </w:pPr>
      <w:r>
        <w:rPr>
          <w:rFonts w:ascii="Arial" w:cs="Arial" w:eastAsia="Arial" w:hAnsi="Arial"/>
          <w:b w:val="false"/>
          <w:bCs w:val="false"/>
          <w:color w:val="1A1A2E"/>
          <w:sz w:val="22"/>
          <w:szCs w:val="22"/>
        </w:rPr>
        <w:t xml:space="preserve">Operational bandwidth: under 100 kHz to over 10 MHz.</w:t>
      </w:r>
    </w:p>
    <w:p>
      <w:pPr>
        <w:pStyle w:val="ListParagraph"/>
        <w:numPr>
          <w:ilvl w:val="0"/>
          <w:numId w:val="2"/>
        </w:numPr>
        <w:spacing w:after="60" w:before="60"/>
      </w:pPr>
      <w:r>
        <w:rPr>
          <w:rFonts w:ascii="Arial" w:cs="Arial" w:eastAsia="Arial" w:hAnsi="Arial"/>
          <w:b w:val="false"/>
          <w:bCs w:val="false"/>
          <w:color w:val="1A1A2E"/>
          <w:sz w:val="22"/>
          <w:szCs w:val="22"/>
        </w:rPr>
        <w:t xml:space="preserve">Demonstrated with 11×11 array: single-focus, multi-focus, fast beam steering, acoustic vortices.</w:t>
      </w:r>
    </w:p>
    <w:p>
      <w:pPr>
        <w:pStyle w:val="ListParagraph"/>
        <w:numPr>
          <w:ilvl w:val="0"/>
          <w:numId w:val="2"/>
        </w:numPr>
        <w:spacing w:after="60" w:before="60"/>
      </w:pPr>
      <w:r>
        <w:rPr>
          <w:rFonts w:ascii="Arial" w:cs="Arial" w:eastAsia="Arial" w:hAnsi="Arial"/>
          <w:b w:val="false"/>
          <w:bCs w:val="false"/>
          <w:color w:val="1A1A2E"/>
          <w:sz w:val="22"/>
          <w:szCs w:val="22"/>
        </w:rPr>
        <w:t xml:space="preserve">Direct architectural solution to the AESA scaling problem in the PWM-FM system: as beam count and element count scale up for longer range, OPAT replaces N independent RF chains with N photoresistors and one projector.</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OPAT is particularly relevant because its optical addressing architecture naturally supports the simultaneous dual-beam configuration of the PWM-FM system. The two beams could be generated by two independent light patterns projected onto the same OPAT array, with each pattern programming one set of elements for the PWM carrier and another for the FM carrier.</w:t>
      </w:r>
    </w:p>
    <w:p>
      <w:pPr>
        <w:spacing w:after="80" w:before="80"/>
      </w:pPr>
      <w:r>
        <w:t xml:space="preserve"/>
      </w:r>
    </w:p>
    <w:p>
      <w:pPr>
        <w:pStyle w:val="Heading2"/>
        <w:spacing w:after="120" w:before="320"/>
      </w:pPr>
      <w:r>
        <w:rPr>
          <w:rFonts w:ascii="Arial" w:cs="Arial" w:eastAsia="Arial" w:hAnsi="Arial"/>
          <w:b/>
          <w:bCs/>
          <w:color w:val="2E75B6"/>
          <w:sz w:val="26"/>
          <w:szCs w:val="26"/>
        </w:rPr>
        <w:t xml:space="preserve">3.7 Coherent Acoustic Frequency Comb via Floquet Engineering</w:t>
      </w:r>
    </w:p>
    <w:p>
      <w:pPr>
        <w:spacing w:after="100" w:before="80"/>
      </w:pPr>
      <w:r>
        <w:rPr>
          <w:rFonts w:ascii="Arial" w:cs="Arial" w:eastAsia="Arial" w:hAnsi="Arial"/>
          <w:b w:val="false"/>
          <w:bCs w:val="false"/>
          <w:i w:val="false"/>
          <w:iCs w:val="false"/>
          <w:color w:val="1A1A2E"/>
          <w:sz w:val="22"/>
          <w:szCs w:val="22"/>
        </w:rPr>
        <w:t xml:space="preserve">Published in Science Advances, August 2025, by the National University of Defense Technology (NUDT), Changsha, China. This work generates a coherent acoustic frequency comb using levitated optomechanics with Floquet-engineered periodic driving.</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Tunable comb teeth spacing from 100 Hz to 10 kHz demonstrated.</w:t>
      </w:r>
    </w:p>
    <w:p>
      <w:pPr>
        <w:pStyle w:val="ListParagraph"/>
        <w:numPr>
          <w:ilvl w:val="0"/>
          <w:numId w:val="2"/>
        </w:numPr>
        <w:spacing w:after="60" w:before="60"/>
      </w:pPr>
      <w:r>
        <w:rPr>
          <w:rFonts w:ascii="Arial" w:cs="Arial" w:eastAsia="Arial" w:hAnsi="Arial"/>
          <w:b w:val="false"/>
          <w:bCs w:val="false"/>
          <w:color w:val="1A1A2E"/>
          <w:sz w:val="22"/>
          <w:szCs w:val="22"/>
        </w:rPr>
        <w:t xml:space="preserve">All Floquet-driven comb teeth confirmed in the truly coherent regime (phonon laser characteristics).</w:t>
      </w:r>
    </w:p>
    <w:p>
      <w:pPr>
        <w:pStyle w:val="ListParagraph"/>
        <w:numPr>
          <w:ilvl w:val="0"/>
          <w:numId w:val="2"/>
        </w:numPr>
        <w:spacing w:after="60" w:before="60"/>
      </w:pPr>
      <w:r>
        <w:rPr>
          <w:rFonts w:ascii="Arial" w:cs="Arial" w:eastAsia="Arial" w:hAnsi="Arial"/>
          <w:b w:val="false"/>
          <w:bCs w:val="false"/>
          <w:color w:val="1A1A2E"/>
          <w:sz w:val="22"/>
          <w:szCs w:val="22"/>
        </w:rPr>
        <w:t xml:space="preserve">The Floquet pump creates a secondary comb superimposed on a primary comb — structurally identical to the dual-comb waterfall display described in the source papers.</w:t>
      </w:r>
    </w:p>
    <w:p>
      <w:pPr>
        <w:pStyle w:val="ListParagraph"/>
        <w:numPr>
          <w:ilvl w:val="0"/>
          <w:numId w:val="2"/>
        </w:numPr>
        <w:spacing w:after="60" w:before="60"/>
      </w:pPr>
      <w:r>
        <w:rPr>
          <w:rFonts w:ascii="Arial" w:cs="Arial" w:eastAsia="Arial" w:hAnsi="Arial"/>
          <w:b w:val="false"/>
          <w:bCs w:val="false"/>
          <w:color w:val="1A1A2E"/>
          <w:sz w:val="22"/>
          <w:szCs w:val="22"/>
        </w:rPr>
        <w:t xml:space="preserve">Institution: NUDT is China’s National University of Defense Technology, a PLA-affiliated research university in Changsha, Hunan.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RECOVERY SIGNAL</w:t>
            </w:r>
          </w:p>
        </w:tc>
        <w:tc>
          <w:tcPr>
            <w:tcW w:type="dxa" w:w="81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color w:val="1A1A2E"/>
                <w:sz w:val="21"/>
                <w:szCs w:val="21"/>
              </w:rPr>
              <w:t xml:space="preserve">The NUDT Floquet acoustic frequency comb paper is from the same institutional environment (Chinese military-affiliated university, Changsha) most likely to have produced or had access to the PWM-FM system papers. The dual-comb spectral architecture is the same. This may represent the foundational physics paper that the applied PWM-FM audio transmission work cites or builds upon.</w:t>
            </w:r>
          </w:p>
        </w:tc>
      </w:tr>
    </w:tbl>
    <w:p>
      <w:pPr>
        <w:spacing w:after="80" w:before="8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2"/>
          <w:szCs w:val="32"/>
        </w:rPr>
        <w:t xml:space="preserve">4. Search Record and Recovery Status</w:t>
      </w:r>
    </w:p>
    <w:p>
      <w:pPr>
        <w:spacing w:after="100" w:before="80"/>
      </w:pPr>
      <w:r>
        <w:rPr>
          <w:rFonts w:ascii="Arial" w:cs="Arial" w:eastAsia="Arial" w:hAnsi="Arial"/>
          <w:b w:val="false"/>
          <w:bCs w:val="false"/>
          <w:i w:val="false"/>
          <w:iCs w:val="false"/>
          <w:color w:val="1A1A2E"/>
          <w:sz w:val="22"/>
          <w:szCs w:val="22"/>
        </w:rPr>
        <w:t xml:space="preserve">Extensive searching has been conducted across all accessible platforms to recover the original source papers. This section documents what was searched, what was found, and the current recovery status.</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4.1 Platforms Searched</w:t>
      </w:r>
    </w:p>
    <w:p>
      <w:pPr>
        <w:pStyle w:val="ListParagraph"/>
        <w:numPr>
          <w:ilvl w:val="0"/>
          <w:numId w:val="2"/>
        </w:numPr>
        <w:spacing w:after="60" w:before="60"/>
      </w:pPr>
      <w:r>
        <w:rPr>
          <w:rFonts w:ascii="Arial" w:cs="Arial" w:eastAsia="Arial" w:hAnsi="Arial"/>
          <w:b w:val="false"/>
          <w:bCs w:val="false"/>
          <w:color w:val="1A1A2E"/>
          <w:sz w:val="22"/>
          <w:szCs w:val="22"/>
        </w:rPr>
        <w:t xml:space="preserve">arXiv (eess.AS, cs.SD, physics.app-ph monthly listings, 2024–2026)</w:t>
      </w:r>
    </w:p>
    <w:p>
      <w:pPr>
        <w:pStyle w:val="ListParagraph"/>
        <w:numPr>
          <w:ilvl w:val="0"/>
          <w:numId w:val="2"/>
        </w:numPr>
        <w:spacing w:after="60" w:before="60"/>
      </w:pPr>
      <w:r>
        <w:rPr>
          <w:rFonts w:ascii="Arial" w:cs="Arial" w:eastAsia="Arial" w:hAnsi="Arial"/>
          <w:b w:val="false"/>
          <w:bCs w:val="false"/>
          <w:color w:val="1A1A2E"/>
          <w:sz w:val="22"/>
          <w:szCs w:val="22"/>
        </w:rPr>
        <w:t xml:space="preserve">IEEE Xplore</w:t>
      </w:r>
    </w:p>
    <w:p>
      <w:pPr>
        <w:pStyle w:val="ListParagraph"/>
        <w:numPr>
          <w:ilvl w:val="0"/>
          <w:numId w:val="2"/>
        </w:numPr>
        <w:spacing w:after="60" w:before="60"/>
      </w:pPr>
      <w:r>
        <w:rPr>
          <w:rFonts w:ascii="Arial" w:cs="Arial" w:eastAsia="Arial" w:hAnsi="Arial"/>
          <w:b w:val="false"/>
          <w:bCs w:val="false"/>
          <w:color w:val="1A1A2E"/>
          <w:sz w:val="22"/>
          <w:szCs w:val="22"/>
        </w:rPr>
        <w:t xml:space="preserve">PubMed / Europe PMC</w:t>
      </w:r>
    </w:p>
    <w:p>
      <w:pPr>
        <w:pStyle w:val="ListParagraph"/>
        <w:numPr>
          <w:ilvl w:val="0"/>
          <w:numId w:val="2"/>
        </w:numPr>
        <w:spacing w:after="60" w:before="60"/>
      </w:pPr>
      <w:r>
        <w:rPr>
          <w:rFonts w:ascii="Arial" w:cs="Arial" w:eastAsia="Arial" w:hAnsi="Arial"/>
          <w:b w:val="false"/>
          <w:bCs w:val="false"/>
          <w:color w:val="1A1A2E"/>
          <w:sz w:val="22"/>
          <w:szCs w:val="22"/>
        </w:rPr>
        <w:t xml:space="preserve">Semantic Scholar</w:t>
      </w:r>
    </w:p>
    <w:p>
      <w:pPr>
        <w:pStyle w:val="ListParagraph"/>
        <w:numPr>
          <w:ilvl w:val="0"/>
          <w:numId w:val="2"/>
        </w:numPr>
        <w:spacing w:after="60" w:before="60"/>
      </w:pPr>
      <w:r>
        <w:rPr>
          <w:rFonts w:ascii="Arial" w:cs="Arial" w:eastAsia="Arial" w:hAnsi="Arial"/>
          <w:b w:val="false"/>
          <w:bCs w:val="false"/>
          <w:color w:val="1A1A2E"/>
          <w:sz w:val="22"/>
          <w:szCs w:val="22"/>
        </w:rPr>
        <w:t xml:space="preserve">OpenAlex</w:t>
      </w:r>
    </w:p>
    <w:p>
      <w:pPr>
        <w:pStyle w:val="ListParagraph"/>
        <w:numPr>
          <w:ilvl w:val="0"/>
          <w:numId w:val="2"/>
        </w:numPr>
        <w:spacing w:after="60" w:before="60"/>
      </w:pPr>
      <w:r>
        <w:rPr>
          <w:rFonts w:ascii="Arial" w:cs="Arial" w:eastAsia="Arial" w:hAnsi="Arial"/>
          <w:b w:val="false"/>
          <w:bCs w:val="false"/>
          <w:color w:val="1A1A2E"/>
          <w:sz w:val="22"/>
          <w:szCs w:val="22"/>
        </w:rPr>
        <w:t xml:space="preserve">ChinaXiv (Chinese Academy of Sciences preprint server)</w:t>
      </w:r>
    </w:p>
    <w:p>
      <w:pPr>
        <w:pStyle w:val="ListParagraph"/>
        <w:numPr>
          <w:ilvl w:val="0"/>
          <w:numId w:val="2"/>
        </w:numPr>
        <w:spacing w:after="60" w:before="60"/>
      </w:pPr>
      <w:r>
        <w:rPr>
          <w:rFonts w:ascii="Arial" w:cs="Arial" w:eastAsia="Arial" w:hAnsi="Arial"/>
          <w:b w:val="false"/>
          <w:bCs w:val="false"/>
          <w:color w:val="1A1A2E"/>
          <w:sz w:val="22"/>
          <w:szCs w:val="22"/>
        </w:rPr>
        <w:t xml:space="preserve">Attempted: CNKI overseas portal (oversea.cnki.net) — login-gated</w:t>
      </w:r>
    </w:p>
    <w:p>
      <w:pPr>
        <w:pStyle w:val="ListParagraph"/>
        <w:numPr>
          <w:ilvl w:val="0"/>
          <w:numId w:val="2"/>
        </w:numPr>
        <w:spacing w:after="60" w:before="60"/>
      </w:pPr>
      <w:r>
        <w:rPr>
          <w:rFonts w:ascii="Arial" w:cs="Arial" w:eastAsia="Arial" w:hAnsi="Arial"/>
          <w:b w:val="false"/>
          <w:bCs w:val="false"/>
          <w:color w:val="1A1A2E"/>
          <w:sz w:val="22"/>
          <w:szCs w:val="22"/>
        </w:rPr>
        <w:t xml:space="preserve">Attempted: Wanfang Data — login-gated</w:t>
      </w:r>
    </w:p>
    <w:p>
      <w:pPr>
        <w:pStyle w:val="ListParagraph"/>
        <w:numPr>
          <w:ilvl w:val="0"/>
          <w:numId w:val="2"/>
        </w:numPr>
        <w:spacing w:after="60" w:before="60"/>
      </w:pPr>
      <w:r>
        <w:rPr>
          <w:rFonts w:ascii="Arial" w:cs="Arial" w:eastAsia="Arial" w:hAnsi="Arial"/>
          <w:b w:val="false"/>
          <w:bCs w:val="false"/>
          <w:color w:val="1A1A2E"/>
          <w:sz w:val="22"/>
          <w:szCs w:val="22"/>
        </w:rPr>
        <w:t xml:space="preserve">Direct institutional search: Nanjing University, Southeast University, IACAS, City University of Hong Kong, POSTECH</w:t>
      </w:r>
    </w:p>
    <w:p>
      <w:pPr>
        <w:pStyle w:val="ListParagraph"/>
        <w:numPr>
          <w:ilvl w:val="0"/>
          <w:numId w:val="2"/>
        </w:numPr>
        <w:spacing w:after="60" w:before="60"/>
      </w:pPr>
      <w:r>
        <w:rPr>
          <w:rFonts w:ascii="Arial" w:cs="Arial" w:eastAsia="Arial" w:hAnsi="Arial"/>
          <w:b w:val="false"/>
          <w:bCs w:val="false"/>
          <w:color w:val="1A1A2E"/>
          <w:sz w:val="22"/>
          <w:szCs w:val="22"/>
        </w:rPr>
        <w:t xml:space="preserve">Chinese-language keyword searches: 参数阵列扬声器、圆极化、脱嬧5宽调、调频、语音清晰度、深度学习</w:t>
      </w:r>
    </w:p>
    <w:p>
      <w:pPr>
        <w:pStyle w:val="ListParagraph"/>
        <w:numPr>
          <w:ilvl w:val="0"/>
          <w:numId w:val="2"/>
        </w:numPr>
        <w:spacing w:after="60" w:before="60"/>
      </w:pPr>
      <w:r>
        <w:rPr>
          <w:rFonts w:ascii="Arial" w:cs="Arial" w:eastAsia="Arial" w:hAnsi="Arial"/>
          <w:b w:val="false"/>
          <w:bCs w:val="false"/>
          <w:color w:val="1A1A2E"/>
          <w:sz w:val="22"/>
          <w:szCs w:val="22"/>
        </w:rPr>
        <w:t xml:space="preserve">Bohrium platform (bohrium.dp.tech): primary research platform, currently inaccessible. Conversation history unavailable.</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4.2 What Is Known About the Source Papers</w:t>
      </w:r>
    </w:p>
    <w:p>
      <w:pPr>
        <w:pStyle w:val="ListParagraph"/>
        <w:numPr>
          <w:ilvl w:val="0"/>
          <w:numId w:val="2"/>
        </w:numPr>
        <w:spacing w:after="60" w:before="60"/>
      </w:pPr>
      <w:r>
        <w:rPr>
          <w:rFonts w:ascii="Arial" w:cs="Arial" w:eastAsia="Arial" w:hAnsi="Arial"/>
          <w:b w:val="false"/>
          <w:bCs w:val="false"/>
          <w:color w:val="1A1A2E"/>
          <w:sz w:val="22"/>
          <w:szCs w:val="22"/>
        </w:rPr>
        <w:t xml:space="preserve">Publication date: November or December 2025, or as recent as April 2026.</w:t>
      </w:r>
    </w:p>
    <w:p>
      <w:pPr>
        <w:pStyle w:val="ListParagraph"/>
        <w:numPr>
          <w:ilvl w:val="0"/>
          <w:numId w:val="2"/>
        </w:numPr>
        <w:spacing w:after="60" w:before="60"/>
      </w:pPr>
      <w:r>
        <w:rPr>
          <w:rFonts w:ascii="Arial" w:cs="Arial" w:eastAsia="Arial" w:hAnsi="Arial"/>
          <w:b w:val="false"/>
          <w:bCs w:val="false"/>
          <w:color w:val="1A1A2E"/>
          <w:sz w:val="22"/>
          <w:szCs w:val="22"/>
        </w:rPr>
        <w:t xml:space="preserve">Count: Approximately 3 papers covering the system (at least one on the mechanism, one on the spectral analysis, one on speech intelligibility measurement).</w:t>
      </w:r>
    </w:p>
    <w:p>
      <w:pPr>
        <w:pStyle w:val="ListParagraph"/>
        <w:numPr>
          <w:ilvl w:val="0"/>
          <w:numId w:val="2"/>
        </w:numPr>
        <w:spacing w:after="60" w:before="60"/>
      </w:pPr>
      <w:r>
        <w:rPr>
          <w:rFonts w:ascii="Arial" w:cs="Arial" w:eastAsia="Arial" w:hAnsi="Arial"/>
          <w:b w:val="false"/>
          <w:bCs w:val="false"/>
          <w:color w:val="1A1A2E"/>
          <w:sz w:val="22"/>
          <w:szCs w:val="22"/>
        </w:rPr>
        <w:t xml:space="preserve">Language: Likely Chinese primary or bilingual publication given Bohrium platform origin.</w:t>
      </w:r>
    </w:p>
    <w:p>
      <w:pPr>
        <w:pStyle w:val="ListParagraph"/>
        <w:numPr>
          <w:ilvl w:val="0"/>
          <w:numId w:val="2"/>
        </w:numPr>
        <w:spacing w:after="60" w:before="60"/>
      </w:pPr>
      <w:r>
        <w:rPr>
          <w:rFonts w:ascii="Arial" w:cs="Arial" w:eastAsia="Arial" w:hAnsi="Arial"/>
          <w:b w:val="false"/>
          <w:bCs w:val="false"/>
          <w:color w:val="1A1A2E"/>
          <w:sz w:val="22"/>
          <w:szCs w:val="22"/>
        </w:rPr>
        <w:t xml:space="preserve">Key figures: Dual-comb waterfall spectrum display; speech intelligibility score table; range vs. intelligibility data; AESA configuration diagram.</w:t>
      </w:r>
    </w:p>
    <w:p>
      <w:pPr>
        <w:pStyle w:val="ListParagraph"/>
        <w:numPr>
          <w:ilvl w:val="0"/>
          <w:numId w:val="2"/>
        </w:numPr>
        <w:spacing w:after="60" w:before="60"/>
      </w:pPr>
      <w:r>
        <w:rPr>
          <w:rFonts w:ascii="Arial" w:cs="Arial" w:eastAsia="Arial" w:hAnsi="Arial"/>
          <w:b w:val="false"/>
          <w:bCs w:val="false"/>
          <w:color w:val="1A1A2E"/>
          <w:sz w:val="22"/>
          <w:szCs w:val="22"/>
        </w:rPr>
        <w:t xml:space="preserve">Institutions: Unknown, but consistent with a well-resourced Chinese university lab or military-affiliated institution given: (a) the novelty of the mechanism, (b) the military utility of long-range covert audio transmission, (c) Bohrium’s Chinese institutional access.</w:t>
      </w:r>
    </w:p>
    <w:p>
      <w:pPr>
        <w:pStyle w:val="ListParagraph"/>
        <w:numPr>
          <w:ilvl w:val="0"/>
          <w:numId w:val="2"/>
        </w:numPr>
        <w:spacing w:after="60" w:before="60"/>
      </w:pPr>
      <w:r>
        <w:rPr>
          <w:rFonts w:ascii="Arial" w:cs="Arial" w:eastAsia="Arial" w:hAnsi="Arial"/>
          <w:b w:val="false"/>
          <w:bCs w:val="false"/>
          <w:color w:val="1A1A2E"/>
          <w:sz w:val="22"/>
          <w:szCs w:val="22"/>
        </w:rPr>
        <w:t xml:space="preserve">Key metrics: 92% intelligibility at 100 ft (30 m); 62% intelligibility at 12 km (extrapolated); 30 kHz master clock; 256-point PWM frame; 117.1875 Hz PWM fundamental; 1.46484375 Hz FM sideband spacing.</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4.3 Recommended Recovery Paths</w:t>
      </w:r>
    </w:p>
    <w:p>
      <w:pPr>
        <w:pStyle w:val="ListParagraph"/>
        <w:numPr>
          <w:ilvl w:val="0"/>
          <w:numId w:val="2"/>
        </w:numPr>
        <w:spacing w:after="60" w:before="60"/>
      </w:pPr>
      <w:r>
        <w:rPr>
          <w:rFonts w:ascii="Arial" w:cs="Arial" w:eastAsia="Arial" w:hAnsi="Arial"/>
          <w:b w:val="false"/>
          <w:bCs w:val="false"/>
          <w:color w:val="1A1A2E"/>
          <w:sz w:val="22"/>
          <w:szCs w:val="22"/>
        </w:rPr>
        <w:t xml:space="preserve">Restore Bohrium conversation history (历史对话). All source papers were surfaced via this platform and should be in session history.</w:t>
      </w:r>
    </w:p>
    <w:p>
      <w:pPr>
        <w:pStyle w:val="ListParagraph"/>
        <w:numPr>
          <w:ilvl w:val="0"/>
          <w:numId w:val="2"/>
        </w:numPr>
        <w:spacing w:after="60" w:before="60"/>
      </w:pPr>
      <w:r>
        <w:rPr>
          <w:rFonts w:ascii="Arial" w:cs="Arial" w:eastAsia="Arial" w:hAnsi="Arial"/>
          <w:b w:val="false"/>
          <w:bCs w:val="false"/>
          <w:color w:val="1A1A2E"/>
          <w:sz w:val="22"/>
          <w:szCs w:val="22"/>
        </w:rPr>
        <w:t xml:space="preserve">CNKI overseas search (oversea.cnki.net): search 参数声学阵列 + 脱嬧5宽调 + 声音生成 + 相控阵, date filter 2025–2026.</w:t>
      </w:r>
    </w:p>
    <w:p>
      <w:pPr>
        <w:pStyle w:val="ListParagraph"/>
        <w:numPr>
          <w:ilvl w:val="0"/>
          <w:numId w:val="2"/>
        </w:numPr>
        <w:spacing w:after="60" w:before="60"/>
      </w:pPr>
      <w:r>
        <w:rPr>
          <w:rFonts w:ascii="Arial" w:cs="Arial" w:eastAsia="Arial" w:hAnsi="Arial"/>
          <w:b w:val="false"/>
          <w:bCs w:val="false"/>
          <w:color w:val="1A1A2E"/>
          <w:sz w:val="22"/>
          <w:szCs w:val="22"/>
        </w:rPr>
        <w:t xml:space="preserve">Wanfang Data: same search terms, Chinese engineering journals.</w:t>
      </w:r>
    </w:p>
    <w:p>
      <w:pPr>
        <w:pStyle w:val="ListParagraph"/>
        <w:numPr>
          <w:ilvl w:val="0"/>
          <w:numId w:val="2"/>
        </w:numPr>
        <w:spacing w:after="60" w:before="60"/>
      </w:pPr>
      <w:r>
        <w:rPr>
          <w:rFonts w:ascii="Arial" w:cs="Arial" w:eastAsia="Arial" w:hAnsi="Arial"/>
          <w:b w:val="false"/>
          <w:bCs w:val="false"/>
          <w:color w:val="1A1A2E"/>
          <w:sz w:val="22"/>
          <w:szCs w:val="22"/>
        </w:rPr>
        <w:t xml:space="preserve">CQVIP: Chinese conference proceedings, acoustics and signal processing tracks.</w:t>
      </w:r>
    </w:p>
    <w:p>
      <w:pPr>
        <w:pStyle w:val="ListParagraph"/>
        <w:numPr>
          <w:ilvl w:val="0"/>
          <w:numId w:val="2"/>
        </w:numPr>
        <w:spacing w:after="60" w:before="60"/>
      </w:pPr>
      <w:r>
        <w:rPr>
          <w:rFonts w:ascii="Arial" w:cs="Arial" w:eastAsia="Arial" w:hAnsi="Arial"/>
          <w:b w:val="false"/>
          <w:bCs w:val="false"/>
          <w:color w:val="1A1A2E"/>
          <w:sz w:val="22"/>
          <w:szCs w:val="22"/>
        </w:rPr>
        <w:t xml:space="preserve">ICA 2025 or InterNoise 2025 proceedings: these annual acoustics conferences would be natural venues for an applied PAL paper with long-range demonstration data.</w:t>
      </w:r>
    </w:p>
    <w:p>
      <w:pPr>
        <w:pStyle w:val="ListParagraph"/>
        <w:numPr>
          <w:ilvl w:val="0"/>
          <w:numId w:val="2"/>
        </w:numPr>
        <w:spacing w:after="60" w:before="60"/>
      </w:pPr>
      <w:r>
        <w:rPr>
          <w:rFonts w:ascii="Arial" w:cs="Arial" w:eastAsia="Arial" w:hAnsi="Arial"/>
          <w:b w:val="false"/>
          <w:bCs w:val="false"/>
          <w:color w:val="1A1A2E"/>
          <w:sz w:val="22"/>
          <w:szCs w:val="22"/>
        </w:rPr>
        <w:t xml:space="preserve">Chinese Acoustics Society (CAS/ASC) annual conference proceedings, 2025.</w:t>
      </w:r>
    </w:p>
    <w:p>
      <w:pPr>
        <w:spacing w:after="80" w:before="8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2"/>
          <w:szCs w:val="32"/>
        </w:rPr>
        <w:t xml:space="preserve">5. Physical Analysis of the Interaction Mechanism</w:t>
      </w:r>
    </w:p>
    <w:p>
      <w:pPr>
        <w:spacing w:after="100" w:before="80"/>
      </w:pPr>
      <w:r>
        <w:rPr>
          <w:rFonts w:ascii="Arial" w:cs="Arial" w:eastAsia="Arial" w:hAnsi="Arial"/>
          <w:b w:val="false"/>
          <w:bCs w:val="false"/>
          <w:i w:val="false"/>
          <w:iCs w:val="false"/>
          <w:color w:val="1A1A2E"/>
          <w:sz w:val="22"/>
          <w:szCs w:val="22"/>
        </w:rPr>
        <w:t xml:space="preserve">This section provides a technical analysis of the PWM-FM peak-clipping demodulation mechanism and its relationship to established nonlinear acoustic theory.</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5.1 Why This Is Not Standard Berktay Self-Demodulation</w:t>
      </w:r>
    </w:p>
    <w:p>
      <w:pPr>
        <w:spacing w:after="100" w:before="80"/>
      </w:pPr>
      <w:r>
        <w:rPr>
          <w:rFonts w:ascii="Arial" w:cs="Arial" w:eastAsia="Arial" w:hAnsi="Arial"/>
          <w:b w:val="false"/>
          <w:bCs w:val="false"/>
          <w:i w:val="false"/>
          <w:iCs w:val="false"/>
          <w:color w:val="1A1A2E"/>
          <w:sz w:val="22"/>
          <w:szCs w:val="22"/>
        </w:rPr>
        <w:t xml:space="preserve">The Berktay far-field solution describes how an amplitude-modulated ultrasonic beam self-demodulates during propagation through the nonlinear air medium: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EF4FB" w:val="clear"/>
            <w:tcMar>
              <w:top w:type="dxa" w:w="120"/>
              <w:left w:type="dxa" w:w="200"/>
              <w:bottom w:type="dxa" w:w="120"/>
              <w:right w:type="dxa" w:w="200"/>
            </w:tcMar>
          </w:tcPr>
          <w:p>
            <w:r>
              <w:rPr>
                <w:rFonts w:ascii="Arial" w:cs="Arial" w:eastAsia="Arial" w:hAnsi="Arial"/>
                <w:b/>
                <w:bCs/>
                <w:color w:val="2E75B6"/>
                <w:sz w:val="20"/>
                <w:szCs w:val="20"/>
              </w:rPr>
              <w:t xml:space="preserve">Berktay far-field solution:</w:t>
            </w:r>
          </w:p>
          <w:p>
            <w:r>
              <w:rPr>
                <w:rFonts w:ascii="Courier New" w:cs="Courier New" w:eastAsia="Courier New" w:hAnsi="Courier New"/>
                <w:b/>
                <w:bCs/>
                <w:color w:val="1A3A5C"/>
                <w:sz w:val="22"/>
                <w:szCs w:val="22"/>
              </w:rPr>
              <w:t xml:space="preserve">p₂(t) ∝ ∂²/∂t² [E(t)]²</w:t>
            </w:r>
          </w:p>
          <w:p>
            <w:pPr>
              <w:spacing w:before="60"/>
            </w:pPr>
            <w:r>
              <w:rPr>
                <w:rFonts w:ascii="Arial" w:cs="Arial" w:eastAsia="Arial" w:hAnsi="Arial"/>
                <w:i/>
                <w:iCs/>
                <w:color w:val="555555"/>
                <w:sz w:val="20"/>
                <w:szCs w:val="20"/>
              </w:rPr>
              <w:t xml:space="preserve">The demodulated audio pressure is proportional to the second time derivative of the square of the modulation envelope. Demodulation occurs continuously along the entire beam path wherever carrier energy is present.</w:t>
            </w:r>
          </w:p>
        </w:tc>
      </w:tr>
    </w:tbl>
    <w:p>
      <w:pPr>
        <w:spacing w:after="60" w:before="60"/>
      </w:pPr>
      <w:r>
        <w:t xml:space="preserve"/>
      </w:r>
    </w:p>
    <w:p>
      <w:pPr>
        <w:spacing w:after="100" w:before="80"/>
      </w:pPr>
      <w:r>
        <w:rPr>
          <w:rFonts w:ascii="Arial" w:cs="Arial" w:eastAsia="Arial" w:hAnsi="Arial"/>
          <w:b w:val="false"/>
          <w:bCs w:val="false"/>
          <w:i w:val="false"/>
          <w:iCs w:val="false"/>
          <w:color w:val="1A1A2E"/>
          <w:sz w:val="22"/>
          <w:szCs w:val="22"/>
        </w:rPr>
        <w:t xml:space="preserve">The PWM-FM system differs in three fundamental ways:</w:t>
      </w:r>
    </w:p>
    <w:p>
      <w:pPr>
        <w:pStyle w:val="ListParagraph"/>
        <w:numPr>
          <w:ilvl w:val="0"/>
          <w:numId w:val="2"/>
        </w:numPr>
        <w:spacing w:after="60" w:before="60"/>
      </w:pPr>
      <w:r>
        <w:rPr>
          <w:rFonts w:ascii="Arial" w:cs="Arial" w:eastAsia="Arial" w:hAnsi="Arial"/>
          <w:b w:val="false"/>
          <w:bCs w:val="false"/>
          <w:color w:val="1A1A2E"/>
          <w:sz w:val="22"/>
          <w:szCs w:val="22"/>
        </w:rPr>
        <w:t xml:space="preserve">Separate beams: The two carriers travel independently on different paths from different AESA sources. No self-demodulation occurs along either beam alone.</w:t>
      </w:r>
    </w:p>
    <w:p>
      <w:pPr>
        <w:pStyle w:val="ListParagraph"/>
        <w:numPr>
          <w:ilvl w:val="0"/>
          <w:numId w:val="2"/>
        </w:numPr>
        <w:spacing w:after="60" w:before="60"/>
      </w:pPr>
      <w:r>
        <w:rPr>
          <w:rFonts w:ascii="Arial" w:cs="Arial" w:eastAsia="Arial" w:hAnsi="Arial"/>
          <w:b w:val="false"/>
          <w:bCs w:val="false"/>
          <w:color w:val="1A1A2E"/>
          <w:sz w:val="22"/>
          <w:szCs w:val="22"/>
        </w:rPr>
        <w:t xml:space="preserve">Spatially gated output: Audio is generated only at the convergence zone where both beams are simultaneously present. This is not possible in single-beam self-demodulation.</w:t>
      </w:r>
    </w:p>
    <w:p>
      <w:pPr>
        <w:pStyle w:val="ListParagraph"/>
        <w:numPr>
          <w:ilvl w:val="0"/>
          <w:numId w:val="2"/>
        </w:numPr>
        <w:spacing w:after="60" w:before="60"/>
      </w:pPr>
      <w:r>
        <w:rPr>
          <w:rFonts w:ascii="Arial" w:cs="Arial" w:eastAsia="Arial" w:hAnsi="Arial"/>
          <w:b w:val="false"/>
          <w:bCs w:val="false"/>
          <w:color w:val="1A1A2E"/>
          <w:sz w:val="22"/>
          <w:szCs w:val="22"/>
        </w:rPr>
        <w:t xml:space="preserve">FM discrimination: The demodulation mechanism is peak-clipping of the FM waveform by the PWM pressure envelope, recovering the audio via a process analogous to amplitude-limiting FM discriminators in RF communications. Berktay demodulation cannot recover FM-encoded audio.</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5.2 The Peak-Clipping Interaction</w:t>
      </w:r>
    </w:p>
    <w:p>
      <w:pPr>
        <w:spacing w:after="100" w:before="80"/>
      </w:pPr>
      <w:r>
        <w:rPr>
          <w:rFonts w:ascii="Arial" w:cs="Arial" w:eastAsia="Arial" w:hAnsi="Arial"/>
          <w:b w:val="false"/>
          <w:bCs w:val="false"/>
          <w:i w:val="false"/>
          <w:iCs w:val="false"/>
          <w:color w:val="1A1A2E"/>
          <w:sz w:val="22"/>
          <w:szCs w:val="22"/>
        </w:rPr>
        <w:t xml:space="preserve">At the convergence zone, the acoustic pressure field is the superposition of both beams. The PWM beam provides a high-pressure rectangular-wave envelope repeating at 117.1875 Hz. During each high-pressure half-cycle of the PWM beam, the combined pressure exceeds a nonlinear threshold in the air medium (related to the local acoustic Mach number). At those instants, the peaks of the FM waveform are clipped by the saturation behavior.</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This selective peak clipping converts the FM signal into an approximately amplitude-modulated waveform. The AM envelope carries the audio modulation that was encoded in the FM instantaneous frequency. The human ear, or a downstream acoustic receiver, then perceives the audio via its own inherent nonlinear detection.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PHYSICS PARALLEL</w:t>
            </w:r>
          </w:p>
        </w:tc>
        <w:tc>
          <w:tcPr>
            <w:tcW w:type="dxa" w:w="81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color w:val="1A1A2E"/>
                <w:sz w:val="21"/>
                <w:szCs w:val="21"/>
              </w:rPr>
              <w:t xml:space="preserve">This mechanism is acoustically analogous to the slope detection method in RF FM demodulation: the FM signal is converted to an AM-like signal by a nonlinear transfer function (the AM-FM limiter), and then the amplitude envelope is detected. In this case, the air medium at the intersection zone is the limiter, and the PWM pressure envelope is the limiting function.</w:t>
            </w:r>
          </w:p>
        </w:tc>
      </w:tr>
    </w:tbl>
    <w:p>
      <w:pPr>
        <w:spacing w:after="80" w:before="80"/>
      </w:pPr>
      <w:r>
        <w:t xml:space="preserve"/>
      </w:r>
    </w:p>
    <w:p>
      <w:pPr>
        <w:pStyle w:val="Heading2"/>
        <w:spacing w:after="120" w:before="320"/>
      </w:pPr>
      <w:r>
        <w:rPr>
          <w:rFonts w:ascii="Arial" w:cs="Arial" w:eastAsia="Arial" w:hAnsi="Arial"/>
          <w:b/>
          <w:bCs/>
          <w:color w:val="2E75B6"/>
          <w:sz w:val="26"/>
          <w:szCs w:val="26"/>
        </w:rPr>
        <w:t xml:space="preserve">5.3 The 80:1 Ratio as System Design Parameter</w:t>
      </w:r>
    </w:p>
    <w:p>
      <w:pPr>
        <w:spacing w:after="100" w:before="80"/>
      </w:pPr>
      <w:r>
        <w:rPr>
          <w:rFonts w:ascii="Arial" w:cs="Arial" w:eastAsia="Arial" w:hAnsi="Arial"/>
          <w:b w:val="false"/>
          <w:bCs w:val="false"/>
          <w:i w:val="false"/>
          <w:iCs w:val="false"/>
          <w:color w:val="1A1A2E"/>
          <w:sz w:val="22"/>
          <w:szCs w:val="22"/>
        </w:rPr>
        <w:t xml:space="preserve">The exact 80:1 ratio between PWM switching frequency and FM sideband spacing is a deliberate design choice. Its implications: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Phase locking: The PWM harmonic at position N × 117.1875 Hz coincides exactly with the FM sideband at position 80N × 1.46484375 Hz. At every PWM harmonic, there is a perfectly aligned FM sideband. This means the two comb structures interleave constructively, maximizing the coherent interaction at each harmonic.</w:t>
      </w:r>
    </w:p>
    <w:p>
      <w:pPr>
        <w:pStyle w:val="ListParagraph"/>
        <w:numPr>
          <w:ilvl w:val="0"/>
          <w:numId w:val="2"/>
        </w:numPr>
        <w:spacing w:after="60" w:before="60"/>
      </w:pPr>
      <w:r>
        <w:rPr>
          <w:rFonts w:ascii="Arial" w:cs="Arial" w:eastAsia="Arial" w:hAnsi="Arial"/>
          <w:b w:val="false"/>
          <w:bCs w:val="false"/>
          <w:color w:val="1A1A2E"/>
          <w:sz w:val="22"/>
          <w:szCs w:val="22"/>
        </w:rPr>
        <w:t xml:space="preserve">Integer ratio: 80 = 2⁴ × 5. The factor of 2⁴ = 16 enables efficient digital implementation using 4-stage binary division. The factor of 5 is the bridge between binary and decimal (30 kHz = 30,000 Hz = 5 × 6,000 = 5 × 6 × 1,000).</w:t>
      </w:r>
    </w:p>
    <w:p>
      <w:pPr>
        <w:pStyle w:val="ListParagraph"/>
        <w:numPr>
          <w:ilvl w:val="0"/>
          <w:numId w:val="2"/>
        </w:numPr>
        <w:spacing w:after="60" w:before="60"/>
      </w:pPr>
      <w:r>
        <w:rPr>
          <w:rFonts w:ascii="Arial" w:cs="Arial" w:eastAsia="Arial" w:hAnsi="Arial"/>
          <w:b w:val="false"/>
          <w:bCs w:val="false"/>
          <w:color w:val="1A1A2E"/>
          <w:sz w:val="22"/>
          <w:szCs w:val="22"/>
        </w:rPr>
        <w:t xml:space="preserve">Speech coverage: The 80:1 ratio ensures that FM sidebands resolve individual speech formants. At 1.46484375 Hz spacing, formant peaks (which are typically 50–100 Hz wide) each contain 34–68 FM sideband lines, providing more than adequate spectral resolution for voice quality.</w:t>
      </w:r>
    </w:p>
    <w:p>
      <w:pPr>
        <w:spacing w:after="80" w:before="8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2"/>
          <w:szCs w:val="32"/>
        </w:rPr>
        <w:t xml:space="preserve">6. Position in the Research Curriculum</w:t>
      </w:r>
    </w:p>
    <w:p>
      <w:pPr>
        <w:spacing w:after="100" w:before="80"/>
      </w:pPr>
      <w:r>
        <w:rPr>
          <w:rFonts w:ascii="Arial" w:cs="Arial" w:eastAsia="Arial" w:hAnsi="Arial"/>
          <w:b w:val="false"/>
          <w:bCs w:val="false"/>
          <w:i w:val="false"/>
          <w:iCs w:val="false"/>
          <w:color w:val="1A1A2E"/>
          <w:sz w:val="22"/>
          <w:szCs w:val="22"/>
        </w:rPr>
        <w:t xml:space="preserve">This system occupies a specific position within the 25+ paper curriculum being assembled for the ISM-band hybrid diagnostic imaging research paper. Understanding where it fits prevents duplication and ensures the paper cites it correctly in context.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6.1 What This System Contributes to the Hybrid Imaging Paper</w:t>
      </w:r>
    </w:p>
    <w:p>
      <w:pPr>
        <w:pStyle w:val="ListParagraph"/>
        <w:numPr>
          <w:ilvl w:val="0"/>
          <w:numId w:val="2"/>
        </w:numPr>
        <w:spacing w:after="60" w:before="60"/>
      </w:pPr>
      <w:r>
        <w:rPr>
          <w:rFonts w:ascii="Arial" w:cs="Arial" w:eastAsia="Arial" w:hAnsi="Arial"/>
          <w:b w:val="false"/>
          <w:bCs w:val="false"/>
          <w:color w:val="1A1A2E"/>
          <w:sz w:val="22"/>
          <w:szCs w:val="22"/>
        </w:rPr>
        <w:t xml:space="preserve">Long-range transmission mechanism: Provides the first demonstrated pathway for audio-bandwidth signals to propagate acoustically to kilometer-scale ranges using AESA beam convergence, relevant to the system’s FCC waiver requirements and operational range specifications.</w:t>
      </w:r>
    </w:p>
    <w:p>
      <w:pPr>
        <w:pStyle w:val="ListParagraph"/>
        <w:numPr>
          <w:ilvl w:val="0"/>
          <w:numId w:val="2"/>
        </w:numPr>
        <w:spacing w:after="60" w:before="60"/>
      </w:pPr>
      <w:r>
        <w:rPr>
          <w:rFonts w:ascii="Arial" w:cs="Arial" w:eastAsia="Arial" w:hAnsi="Arial"/>
          <w:b w:val="false"/>
          <w:bCs w:val="false"/>
          <w:color w:val="1A1A2E"/>
          <w:sz w:val="22"/>
          <w:szCs w:val="22"/>
        </w:rPr>
        <w:t xml:space="preserve">Gated spatial selectivity: The convergence-zone-only audio generation is the acoustic analog of the polarimetric gating principle that was the subject of the missing Bohrium papers. Both systems achieve selectivity by requiring two simultaneous conditions (co-polarization in one; beam overlap in the other).</w:t>
      </w:r>
    </w:p>
    <w:p>
      <w:pPr>
        <w:pStyle w:val="ListParagraph"/>
        <w:numPr>
          <w:ilvl w:val="0"/>
          <w:numId w:val="2"/>
        </w:numPr>
        <w:spacing w:after="60" w:before="60"/>
      </w:pPr>
      <w:r>
        <w:rPr>
          <w:rFonts w:ascii="Arial" w:cs="Arial" w:eastAsia="Arial" w:hAnsi="Arial"/>
          <w:b w:val="false"/>
          <w:bCs w:val="false"/>
          <w:color w:val="1A1A2E"/>
          <w:sz w:val="22"/>
          <w:szCs w:val="22"/>
        </w:rPr>
        <w:t xml:space="preserve">Spectral fingerprinting: The dual-comb waterfall display demonstrates that the received signal at the convergence zone is uniquely identifiable by its spectral structure, providing a diagnostic signature analogous to RACE emission in the LDR defect resonance framework.</w:t>
      </w:r>
    </w:p>
    <w:p>
      <w:pPr>
        <w:pStyle w:val="ListParagraph"/>
        <w:numPr>
          <w:ilvl w:val="0"/>
          <w:numId w:val="2"/>
        </w:numPr>
        <w:spacing w:after="60" w:before="60"/>
      </w:pPr>
      <w:r>
        <w:rPr>
          <w:rFonts w:ascii="Arial" w:cs="Arial" w:eastAsia="Arial" w:hAnsi="Arial"/>
          <w:b w:val="false"/>
          <w:bCs w:val="false"/>
          <w:color w:val="1A1A2E"/>
          <w:sz w:val="22"/>
          <w:szCs w:val="22"/>
        </w:rPr>
        <w:t xml:space="preserve">Low-power operation: Carrier frequencies of ~117 Hz propagate with negligible attenuation, fundamentally reducing the power required for long-range operation — directly supporting the ultra-low-power design goal of the hybrid system.</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6.2 Cross-Domain Connections to Curriculum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Curriculum Paper</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 to PWM-FM System</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Kim et al. 2021 (Multibeam PAL, FPGA TDM)</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Same TDM/beamsteering architecture applied to low-frequency AESA dual-beam. The FPGA nanosecond precision maps directly onto PWM switching timing.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San Martín et al. 2020 (AM techniques for PAL)</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MAM1 at m=0.6 is the amplitude modulation baseline; PWM-FM replaces AM with a two-beam interaction, resolving the single-source distortion tradeoff.</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Solodov et al. 2021 (LDR/RACE)</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LDR is structural resonance fingerprinting; the dual-comb spectral signature is the acoustic equivalent — each system uses a characteristic spectral emission to identify the interaction zone.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Zhong et al. 2025 (Audible Enclaves, PNAS)</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Closest published mechanism analog. Difference: PNAS uses difference-frequency generation; PWM-FM uses peak-clipping FM discrimination. Same spatial gating principle.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Goyal et al. 2025 (OPAT, Nature Comm.)</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OPAT’s single-amplifier optically-addressed architecture is the ideal hardware platform for generating the PWM and FM beams from one scalable array.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Zhang &amp; Wang 2022 (NCA/AEC)</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val="false"/>
                <w:bCs w:val="false"/>
                <w:color w:val="1A1A2E"/>
                <w:sz w:val="21"/>
                <w:szCs w:val="21"/>
              </w:rPr>
              <w:t xml:space="preserve">The MVDR beamforming post-filter in the AEC system provides the receive-side signal recovery mechanism for the convergence-zone audio, directly applicable to extracting speech from the dual-comb signal.</w:t>
            </w:r>
          </w:p>
        </w:tc>
      </w:tr>
    </w:tbl>
    <w:p>
      <w:pPr>
        <w:spacing w:after="80" w:before="80"/>
      </w:pPr>
      <w:r>
        <w:t xml:space="preserve"/>
      </w:r>
    </w:p>
    <w:p>
      <w:r>
        <w:br w:type="page"/>
      </w:r>
    </w:p>
    <w:p>
      <w:pPr>
        <w:pStyle w:val="Heading1"/>
        <w:pBdr>
          <w:bottom w:val="single" w:color="2E75B6" w:sz="8" w:space="4"/>
        </w:pBdr>
        <w:spacing w:after="160" w:before="400"/>
      </w:pPr>
      <w:r>
        <w:rPr>
          <w:rFonts w:ascii="Arial" w:cs="Arial" w:eastAsia="Arial" w:hAnsi="Arial"/>
          <w:b/>
          <w:bCs/>
          <w:color w:val="1F4E79"/>
          <w:sz w:val="32"/>
          <w:szCs w:val="32"/>
        </w:rPr>
        <w:t xml:space="preserve">7. Open Questions for Future Research</w:t>
      </w:r>
    </w:p>
    <w:p>
      <w:pPr>
        <w:spacing w:after="100" w:before="80"/>
      </w:pPr>
      <w:r>
        <w:rPr>
          <w:rFonts w:ascii="Arial" w:cs="Arial" w:eastAsia="Arial" w:hAnsi="Arial"/>
          <w:b w:val="false"/>
          <w:bCs w:val="false"/>
          <w:i w:val="false"/>
          <w:iCs w:val="false"/>
          <w:color w:val="1A1A2E"/>
          <w:sz w:val="22"/>
          <w:szCs w:val="22"/>
        </w:rPr>
        <w:t xml:space="preserve">The following questions are unresolved and should be addressed when source papers are recovered or through independent analysis:</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7.1 Mechanism Questions</w:t>
      </w:r>
    </w:p>
    <w:p>
      <w:pPr>
        <w:pStyle w:val="ListParagraph"/>
        <w:numPr>
          <w:ilvl w:val="0"/>
          <w:numId w:val="2"/>
        </w:numPr>
        <w:spacing w:after="60" w:before="60"/>
      </w:pPr>
      <w:r>
        <w:rPr>
          <w:rFonts w:ascii="Arial" w:cs="Arial" w:eastAsia="Arial" w:hAnsi="Arial"/>
          <w:b w:val="false"/>
          <w:bCs w:val="false"/>
          <w:color w:val="1A1A2E"/>
          <w:sz w:val="22"/>
          <w:szCs w:val="22"/>
        </w:rPr>
        <w:t xml:space="preserve">What is the precise nonlinear threshold pressure at which the PWM beam clips the FM waveform peaks in air? Is this related to the acoustic Mach number, the nonlinear parameter β of air, or a shock-formation criterion?</w:t>
      </w:r>
    </w:p>
    <w:p>
      <w:pPr>
        <w:pStyle w:val="ListParagraph"/>
        <w:numPr>
          <w:ilvl w:val="0"/>
          <w:numId w:val="2"/>
        </w:numPr>
        <w:spacing w:after="60" w:before="60"/>
      </w:pPr>
      <w:r>
        <w:rPr>
          <w:rFonts w:ascii="Arial" w:cs="Arial" w:eastAsia="Arial" w:hAnsi="Arial"/>
          <w:b w:val="false"/>
          <w:bCs w:val="false"/>
          <w:color w:val="1A1A2E"/>
          <w:sz w:val="22"/>
          <w:szCs w:val="22"/>
        </w:rPr>
        <w:t xml:space="preserve">How sensitive is speech intelligibility to the 80:1 ratio? What happens at 79:1 or 81:1? Is the integer ratio essential for coherent interaction or merely convenient for digital implementation?</w:t>
      </w:r>
    </w:p>
    <w:p>
      <w:pPr>
        <w:pStyle w:val="ListParagraph"/>
        <w:numPr>
          <w:ilvl w:val="0"/>
          <w:numId w:val="2"/>
        </w:numPr>
        <w:spacing w:after="60" w:before="60"/>
      </w:pPr>
      <w:r>
        <w:rPr>
          <w:rFonts w:ascii="Arial" w:cs="Arial" w:eastAsia="Arial" w:hAnsi="Arial"/>
          <w:b w:val="false"/>
          <w:bCs w:val="false"/>
          <w:color w:val="1A1A2E"/>
          <w:sz w:val="22"/>
          <w:szCs w:val="22"/>
        </w:rPr>
        <w:t xml:space="preserve">What modulation index for the FM beam gives optimal intelligibility? The San Martín 2020 paper established m=0.6 as optimal for MAM1 AM modulation; an equivalent optimization for FM deviation in this system has not been found.</w:t>
      </w:r>
    </w:p>
    <w:p>
      <w:pPr>
        <w:pStyle w:val="ListParagraph"/>
        <w:numPr>
          <w:ilvl w:val="0"/>
          <w:numId w:val="2"/>
        </w:numPr>
        <w:spacing w:after="60" w:before="60"/>
      </w:pPr>
      <w:r>
        <w:rPr>
          <w:rFonts w:ascii="Arial" w:cs="Arial" w:eastAsia="Arial" w:hAnsi="Arial"/>
          <w:b w:val="false"/>
          <w:bCs w:val="false"/>
          <w:color w:val="1A1A2E"/>
          <w:sz w:val="22"/>
          <w:szCs w:val="22"/>
        </w:rPr>
        <w:t xml:space="preserve">Is there a minimum beam overlap area (convergence zone size) below which intelligibility drops sharply? How does this scale with wavelength?</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7.2 Range and Propagation Questions</w:t>
      </w:r>
    </w:p>
    <w:p>
      <w:pPr>
        <w:pStyle w:val="ListParagraph"/>
        <w:numPr>
          <w:ilvl w:val="0"/>
          <w:numId w:val="2"/>
        </w:numPr>
        <w:spacing w:after="60" w:before="60"/>
      </w:pPr>
      <w:r>
        <w:rPr>
          <w:rFonts w:ascii="Arial" w:cs="Arial" w:eastAsia="Arial" w:hAnsi="Arial"/>
          <w:b w:val="false"/>
          <w:bCs w:val="false"/>
          <w:color w:val="1A1A2E"/>
          <w:sz w:val="22"/>
          <w:szCs w:val="22"/>
        </w:rPr>
        <w:t xml:space="preserve">The 62% intelligibility at 12 km was stated as ‘consistent with the data.’ Was this an extrapolation from a propagation model, or was it measured at 12 km?</w:t>
      </w:r>
    </w:p>
    <w:p>
      <w:pPr>
        <w:pStyle w:val="ListParagraph"/>
        <w:numPr>
          <w:ilvl w:val="0"/>
          <w:numId w:val="2"/>
        </w:numPr>
        <w:spacing w:after="60" w:before="60"/>
      </w:pPr>
      <w:r>
        <w:rPr>
          <w:rFonts w:ascii="Arial" w:cs="Arial" w:eastAsia="Arial" w:hAnsi="Arial"/>
          <w:b w:val="false"/>
          <w:bCs w:val="false"/>
          <w:color w:val="1A1A2E"/>
          <w:sz w:val="22"/>
          <w:szCs w:val="22"/>
        </w:rPr>
        <w:t xml:space="preserve">How does atmospheric turbulence and wind-induced phase jitter affect beam convergence at kilometer ranges? The AESA must maintain phase coherence across both beams simultaneously.</w:t>
      </w:r>
    </w:p>
    <w:p>
      <w:pPr>
        <w:pStyle w:val="ListParagraph"/>
        <w:numPr>
          <w:ilvl w:val="0"/>
          <w:numId w:val="2"/>
        </w:numPr>
        <w:spacing w:after="60" w:before="60"/>
      </w:pPr>
      <w:r>
        <w:rPr>
          <w:rFonts w:ascii="Arial" w:cs="Arial" w:eastAsia="Arial" w:hAnsi="Arial"/>
          <w:b w:val="false"/>
          <w:bCs w:val="false"/>
          <w:color w:val="1A1A2E"/>
          <w:sz w:val="22"/>
          <w:szCs w:val="22"/>
        </w:rPr>
        <w:t xml:space="preserve">What is the effect of humidity and temperature gradients on the ~117 Hz carrier at long range? At low frequencies, refraction by atmospheric layers may steer beams away from their designed convergence point.</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7.3 System Architecture Questions</w:t>
      </w:r>
    </w:p>
    <w:p>
      <w:pPr>
        <w:pStyle w:val="ListParagraph"/>
        <w:numPr>
          <w:ilvl w:val="0"/>
          <w:numId w:val="2"/>
        </w:numPr>
        <w:spacing w:after="60" w:before="60"/>
      </w:pPr>
      <w:r>
        <w:rPr>
          <w:rFonts w:ascii="Arial" w:cs="Arial" w:eastAsia="Arial" w:hAnsi="Arial"/>
          <w:b w:val="false"/>
          <w:bCs w:val="false"/>
          <w:color w:val="1A1A2E"/>
          <w:sz w:val="22"/>
          <w:szCs w:val="22"/>
        </w:rPr>
        <w:t xml:space="preserve">What is the physical size of the AESA sources used in the 100-foot demonstration? Achieving narrow beamwidth at 117 Hz (wavelength ~2.93 m) requires either a large aperture or synthetic aperture techniques.</w:t>
      </w:r>
    </w:p>
    <w:p>
      <w:pPr>
        <w:pStyle w:val="ListParagraph"/>
        <w:numPr>
          <w:ilvl w:val="0"/>
          <w:numId w:val="2"/>
        </w:numPr>
        <w:spacing w:after="60" w:before="60"/>
      </w:pPr>
      <w:r>
        <w:rPr>
          <w:rFonts w:ascii="Arial" w:cs="Arial" w:eastAsia="Arial" w:hAnsi="Arial"/>
          <w:b w:val="false"/>
          <w:bCs w:val="false"/>
          <w:color w:val="1A1A2E"/>
          <w:sz w:val="22"/>
          <w:szCs w:val="22"/>
        </w:rPr>
        <w:t xml:space="preserve">How were the two AESA sources synchronized in phase? The 80:1 ratio requires phase-locked operation between the PWM clock and the FM modulation rate.</w:t>
      </w:r>
    </w:p>
    <w:p>
      <w:pPr>
        <w:pStyle w:val="ListParagraph"/>
        <w:numPr>
          <w:ilvl w:val="0"/>
          <w:numId w:val="2"/>
        </w:numPr>
        <w:spacing w:after="60" w:before="60"/>
      </w:pPr>
      <w:r>
        <w:rPr>
          <w:rFonts w:ascii="Arial" w:cs="Arial" w:eastAsia="Arial" w:hAnsi="Arial"/>
          <w:b w:val="false"/>
          <w:bCs w:val="false"/>
          <w:color w:val="1A1A2E"/>
          <w:sz w:val="22"/>
          <w:szCs w:val="22"/>
        </w:rPr>
        <w:t xml:space="preserve">Is the system unidirectional (one-way audio transmission) or bidirectional? The receive side would require a different architecture.</w:t>
      </w:r>
    </w:p>
    <w:p>
      <w:pPr>
        <w:spacing w:after="60" w:before="60"/>
      </w:pPr>
      <w:r>
        <w:t xml:space="preserve"/>
      </w:r>
    </w:p>
    <w:p>
      <w:pPr>
        <w:pStyle w:val="Heading2"/>
        <w:spacing w:after="120" w:before="320"/>
      </w:pPr>
      <w:r>
        <w:rPr>
          <w:rFonts w:ascii="Arial" w:cs="Arial" w:eastAsia="Arial" w:hAnsi="Arial"/>
          <w:b/>
          <w:bCs/>
          <w:color w:val="2E75B6"/>
          <w:sz w:val="26"/>
          <w:szCs w:val="26"/>
        </w:rPr>
        <w:t xml:space="preserve">7.4 Spectral Analysis Questions</w:t>
      </w:r>
    </w:p>
    <w:p>
      <w:pPr>
        <w:pStyle w:val="ListParagraph"/>
        <w:numPr>
          <w:ilvl w:val="0"/>
          <w:numId w:val="2"/>
        </w:numPr>
        <w:spacing w:after="60" w:before="60"/>
      </w:pPr>
      <w:r>
        <w:rPr>
          <w:rFonts w:ascii="Arial" w:cs="Arial" w:eastAsia="Arial" w:hAnsi="Arial"/>
          <w:b w:val="false"/>
          <w:bCs w:val="false"/>
          <w:color w:val="1A1A2E"/>
          <w:sz w:val="22"/>
          <w:szCs w:val="22"/>
        </w:rPr>
        <w:t xml:space="preserve">The time per waterfall line of 0.01886819484 seconds does not derive cleanly from 30 kHz and a power-of-2 sample count. What is the exact source of this value? Is it a hardware display constraint or a deliberate analysis choice?</w:t>
      </w:r>
    </w:p>
    <w:p>
      <w:pPr>
        <w:pStyle w:val="ListParagraph"/>
        <w:numPr>
          <w:ilvl w:val="0"/>
          <w:numId w:val="2"/>
        </w:numPr>
        <w:spacing w:after="60" w:before="60"/>
      </w:pPr>
      <w:r>
        <w:rPr>
          <w:rFonts w:ascii="Arial" w:cs="Arial" w:eastAsia="Arial" w:hAnsi="Arial"/>
          <w:b w:val="false"/>
          <w:bCs w:val="false"/>
          <w:color w:val="1A1A2E"/>
          <w:sz w:val="22"/>
          <w:szCs w:val="22"/>
        </w:rPr>
        <w:t xml:space="preserve">Is the secondary comb truly the FM sideband structure, or is it the beat pattern between the PWM harmonics and the FM carrier? These have the same spacing (1.46484375 Hz) but different physical origins and the distinction matters for the recovery algorithm design.</w:t>
      </w:r>
    </w:p>
    <w:p>
      <w:pPr>
        <w:spacing w:after="80" w:before="8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8. Document Notes</w:t>
      </w:r>
    </w:p>
    <w:p>
      <w:pPr>
        <w:spacing w:after="100" w:before="80"/>
      </w:pPr>
      <w:r>
        <w:rPr>
          <w:rFonts w:ascii="Arial" w:cs="Arial" w:eastAsia="Arial" w:hAnsi="Arial"/>
          <w:b w:val="false"/>
          <w:bCs w:val="false"/>
          <w:i w:val="false"/>
          <w:iCs w:val="false"/>
          <w:color w:val="1A1A2E"/>
          <w:sz w:val="22"/>
          <w:szCs w:val="22"/>
        </w:rPr>
        <w:t xml:space="preserve">This document was prepared on June 8, 2026, based on research conducted over a multi-session collaborative session using Claude (Sonnet 4.6) as the AI research assistant. The source papers were originally accessed via the Bohrium AI research platform (bohrium.dp.tech) and are no longer accessible through that interface.</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All numerical values (117.1875 Hz, 1.46484375 Hz, 0.01886819484 s, 92%, 62%, 100 ft, 12 km) were provided from memory by the human researcher and are considered reliable. The mathematical derivations were performed by the AI during the session and should be independently verified.</w:t>
      </w:r>
    </w:p>
    <w:p>
      <w:pPr>
        <w:spacing w:after="40" w:before="40"/>
      </w:pPr>
      <w:r>
        <w:t xml:space="preserve"/>
      </w:r>
    </w:p>
    <w:p>
      <w:pPr>
        <w:spacing w:after="100" w:before="80"/>
      </w:pPr>
      <w:r>
        <w:rPr>
          <w:rFonts w:ascii="Arial" w:cs="Arial" w:eastAsia="Arial" w:hAnsi="Arial"/>
          <w:b w:val="false"/>
          <w:bCs w:val="false"/>
          <w:i w:val="false"/>
          <w:iCs w:val="false"/>
          <w:color w:val="1A1A2E"/>
          <w:sz w:val="22"/>
          <w:szCs w:val="22"/>
        </w:rPr>
        <w:t xml:space="preserve">Analog system research conducted during this session covers papers published through June 2026. The Bohrium platform’s 13-million-paper corpus, drawn from hundreds of sources including CNKI, Wanfang, and Chinese institutional repositories not accessible through Western search tools, remains the most likely recovery pathway for the original source papers.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STATUS</w:t>
            </w:r>
          </w:p>
        </w:tc>
        <w:tc>
          <w:tcPr>
            <w:tcW w:type="dxa" w:w="8160"/>
            <w:tcBorders>
              <w:top w:val="single" w:color="AAAAAA" w:sz="1"/>
              <w:left w:val="single" w:color="AAAAAA" w:sz="1"/>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color w:val="1A1A2E"/>
                <w:sz w:val="21"/>
                <w:szCs w:val="21"/>
              </w:rPr>
              <w:t xml:space="preserve">Source papers: NOT RECOVERED. Mathematical analysis: COMPLETE. Analog system survey: COMPLETE. Recovery pathways: DOCUMENTED. This record preserves all recoverable information pending Bohrium platform access restoration.</w:t>
            </w:r>
          </w:p>
        </w:tc>
      </w:tr>
    </w:tbl>
    <w:p>
      <w:pPr>
        <w:spacing w:after="12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i/>
        <w:iCs/>
        <w:color w:val="888888"/>
        <w:sz w:val="16"/>
        <w:szCs w:val="16"/>
      </w:rPr>
      <w:t xml:space="preserve">CONFIDENTIAL RESEARCH NOTES — NOT FOR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18"/>
        <w:szCs w:val="18"/>
      </w:rPr>
      <w:t xml:space="preserve">PWM-FM DUAL-BEAM ACOUSTIC SYSTEM  </w:t>
    </w:r>
    <w:r>
      <w:rPr>
        <w:rFonts w:ascii="Arial" w:cs="Arial" w:eastAsia="Arial" w:hAnsi="Arial"/>
        <w:color w:val="777777"/>
        <w:sz w:val="18"/>
        <w:szCs w:val="18"/>
      </w:rPr>
      <w:t xml:space="preserve"> | RESEARCH RECORD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2026-06-09T04:57:18.255Z</dcterms:created>
  <dcterms:modified xsi:type="dcterms:W3CDTF">2026-06-09T04:57:18.255Z</dcterms:modified>
</cp:coreProperties>
</file>

<file path=docProps/custom.xml><?xml version="1.0" encoding="utf-8"?>
<Properties xmlns="http://schemas.openxmlformats.org/officeDocument/2006/custom-properties" xmlns:vt="http://schemas.openxmlformats.org/officeDocument/2006/docPropsVTypes"/>
</file>