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000091"/>
          <w:sz w:val="22"/>
          <w:szCs w:val="22"/>
        </w:rPr>
        <w:t xml:space="preserve">MINISTÈRE DE L’INTÉRIEUR — DTNUM</w:t>
      </w:r>
    </w:p>
    <w:p>
      <w:pPr>
        <w:spacing w:after="600" w:before="40"/>
      </w:pPr>
      <w:r>
        <w:rPr>
          <w:color w:val="666666"/>
          <w:sz w:val="20"/>
          <w:szCs w:val="20"/>
        </w:rPr>
        <w:t xml:space="preserve">Direction de la Transformation Numérique — Programme MirAI</w:t>
      </w:r>
    </w:p>
    <w:p>
      <w:pPr>
        <w:spacing w:after="80"/>
      </w:pPr>
      <w:r>
        <w:rPr>
          <w:b/>
          <w:bCs/>
          <w:color w:val="111111"/>
          <w:sz w:val="56"/>
          <w:szCs w:val="56"/>
        </w:rPr>
        <w:t xml:space="preserve">Dossier d’Architecture Technique</w:t>
      </w:r>
    </w:p>
    <w:p>
      <w:pPr>
        <w:spacing w:after="80"/>
      </w:pPr>
      <w:r>
        <w:rPr>
          <w:b/>
          <w:bCs/>
          <w:color w:val="000091"/>
          <w:sz w:val="36"/>
          <w:szCs w:val="36"/>
        </w:rPr>
        <w:t xml:space="preserve">(DAT) — MODÈLE</w:t>
      </w:r>
    </w:p>
    <w:p>
      <w:pPr>
        <w:spacing w:after="600"/>
      </w:pPr>
      <w:r>
        <w:rPr>
          <w:i/>
          <w:iCs/>
          <w:color w:val="555555"/>
          <w:sz w:val="28"/>
          <w:szCs w:val="28"/>
        </w:rPr>
        <w:t xml:space="preserve">Service / Projet : « [NOM DU SERVICE] »</w:t>
      </w:r>
    </w:p>
    <w:p>
      <w:pPr>
        <w:spacing w:after="40"/>
      </w:pPr>
      <w:r>
        <w:rPr>
          <w:sz w:val="22"/>
          <w:szCs w:val="22"/>
        </w:rPr>
        <w:t xml:space="preserve">Version : 0.1</w:t>
      </w:r>
    </w:p>
    <w:p>
      <w:pPr>
        <w:spacing w:after="600"/>
      </w:pPr>
      <w:r>
        <w:rPr>
          <w:color w:val="777777"/>
          <w:sz w:val="22"/>
          <w:szCs w:val="22"/>
        </w:rPr>
        <w:t xml:space="preserve">[JJ mois AAAA]</w:t>
      </w:r>
    </w:p>
    <w:p>
      <w:pPr>
        <w:spacing w:after="120" w:before="200"/>
      </w:pPr>
      <w:r>
        <w:rPr>
          <w:b/>
          <w:bCs/>
          <w:color w:val="000091"/>
          <w:sz w:val="24"/>
          <w:szCs w:val="24"/>
        </w:rPr>
        <w:t xml:space="preserve">Suivi des mises à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410"/>
        <w:gridCol w:w="4143"/>
      </w:tblGrid>
      <w:tr>
        <w:trPr>
          <w:tblHeader/>
        </w:trPr>
        <w:tc>
          <w:tcPr>
            <w:tcW w:type="dxa" w:w="1157"/>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Version</w:t>
            </w:r>
          </w:p>
        </w:tc>
        <w:tc>
          <w:tcPr>
            <w:tcW w:type="dxa" w:w="192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Date</w:t>
            </w:r>
          </w:p>
        </w:tc>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Auteurs</w:t>
            </w:r>
          </w:p>
        </w:tc>
        <w:tc>
          <w:tcPr>
            <w:tcW w:type="dxa" w:w="4143"/>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Commentaire</w:t>
            </w:r>
          </w:p>
        </w:tc>
      </w:tr>
      <w:tr>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0.1</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[JJ/MM/AAAA]</w:t>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[équipe projet]</w:t>
            </w:r>
          </w:p>
        </w:tc>
        <w:tc>
          <w:tcPr>
            <w:tcW w:type="dxa" w:w="414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Création à partir du modèle</w:t>
            </w:r>
          </w:p>
        </w:tc>
      </w:tr>
      <w:tr>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14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14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14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14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r>
        <w:br w:type="page"/>
      </w:r>
    </w:p>
    <w:p>
      <w:pPr>
        <w:spacing w:after="120"/>
      </w:pPr>
      <w:r>
        <w:rPr>
          <w:b/>
          <w:bCs/>
          <w:color w:val="000091"/>
          <w:sz w:val="30"/>
          <w:szCs w:val="30"/>
        </w:rPr>
        <w:t xml:space="preserve">Comment utiliser ce modèle</w:t>
      </w:r>
    </w:p>
    <w:p>
      <w:pPr>
        <w:spacing w:after="120"/>
      </w:pPr>
      <w:r>
        <w:t xml:space="preserve">Ce document est un modèle de DAT. Chaque rubrique contient un encadré d’instruction destiné à guider la rédaction :</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Les encadrés bleus indiquent ce qu’il faut produire dans la rubrique. À supprimer une fois la rubrique rédigée.</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Les encadrés gris reprennent un texte de socle MirAI, commun à tous les services. À conserver ou adapter ; à ne pas réécrire de zéro.</w:t>
      </w:r>
    </w:p>
    <w:p>
      <w:pPr>
        <w:spacing w:after="120"/>
      </w:pPr>
      <w:r>
        <w:rPr>
          <w:b/>
          <w:bCs/>
        </w:rPr>
        <w:t xml:space="preserve">Deux modes de remplissage sont prévus :</w:t>
      </w:r>
    </w:p>
    <w:p>
      <w:pPr>
        <w:pStyle w:val="ListParagraph"/>
        <w:numPr>
          <w:ilvl w:val="0"/>
          <w:numId w:val="2"/>
        </w:numPr>
        <w:spacing w:after="40"/>
      </w:pPr>
      <w:r>
        <w:t xml:space="preserve">Mode conversationnel : un agent (ou un agent + rédacteur) traite les rubriques une à une en suivant les encadrés bleus.</w:t>
      </w:r>
    </w:p>
    <w:p>
      <w:pPr>
        <w:pStyle w:val="ListParagraph"/>
        <w:numPr>
          <w:ilvl w:val="0"/>
          <w:numId w:val="2"/>
        </w:numPr>
        <w:spacing w:after="40"/>
      </w:pPr>
      <w:r>
        <w:t xml:space="preserve">Mode automatisé : un coding assistant ayant accès au dépôt du projet pré-remplit le document à partir du code et des manifestes (voir le prompt générique fourni séparément).</w:t>
      </w:r>
    </w:p>
    <w:p>
      <w:pPr>
        <w:spacing w:after="120"/>
      </w:pPr>
      <w:r>
        <w:rPr>
          <w:i/>
          <w:iCs/>
          <w:color w:val="AA0000"/>
        </w:rPr>
        <w:t xml:space="preserve">Règle commune : ne jamais inventer. Toute information non vérifiée est marquée « [À CONFIRMER] ».</w:t>
      </w:r>
    </w:p>
    <w:p>
      <w:r>
        <w:br w:type="page"/>
      </w:r>
    </w:p>
    <w:p>
      <w:pPr>
        <w:spacing w:after="120"/>
      </w:pPr>
      <w:r>
        <w:rPr>
          <w:b/>
          <w:bCs/>
          <w:color w:val="000091"/>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Propos liminaires</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MirAI est un bouquet de services basés sur l’intelligence artificielle générative conçu pour améliorer l’efficacité et la productivité des agents du ministère de l’Intérieur. Les services sont à vocation générale, chaque direction précisant l’usage dans son périmètre.</w:t>
      </w:r>
      <w:r>
        <w:rPr>
          <w:color w:val="444444"/>
          <w:sz w:val="20"/>
          <w:szCs w:val="20"/>
        </w:rPr>
        <w:br/>
        <w:t xml:space="preserve">MirAI s’appuie sur des technologies open source ou des services contractualisés pour garantir la maîtrise, la sécurité et l’interopérabilité. Les services nécessitant une identification sont rattachés à un IAM/SSO (ProConnect ou enrôlement local @*.gouv.fr).</w:t>
      </w:r>
      <w:r>
        <w:rPr>
          <w:color w:val="444444"/>
          <w:sz w:val="20"/>
          <w:szCs w:val="20"/>
        </w:rPr>
        <w:br/>
        <w:t xml:space="preserve">La solution s’inscrit dans la logique Cloud de Confiance et la continuité des services cloud natifs Cloud Pi Native. Au sens de l’IA Act, MirAI constitue une IA à usage général (GPAI) ; il n’est pas un système à haut risque au sens de l’annexe III.</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Conserve le texte de socle ci-dessus et ajoute un paragraphe propre au service : sa place dans la feuille de route IA, le besoin métier qu’il adresse et son périmètre d’usage. Structure le paragraphe service en quatre temps — le problème → en deux mots → concrètement → comment ça marche. Si le service distribue/gère du logiciel sur des postes, positionne-le vis-à-vis des outils de gestion de parc (WAPT/SCCM/Intune) : qui pose le paquet, où passe la frontière de responsabilité, et que les politiques d'autorisation et d'exception restent à la main du gestionnaire de parc ; ajoute un schéma d'articulation (image pour un rendu .docx, l'ASCII rendant mal dans Word).</w:t>
      </w:r>
    </w:p>
    <w:p>
      <w:pPr>
        <w:pStyle w:val="Heading1"/>
      </w:pPr>
      <w:r>
        <w:t xml:space="preserve">2. Introduction</w:t>
      </w:r>
    </w:p>
    <w:p>
      <w:pPr>
        <w:pStyle w:val="Heading2"/>
      </w:pPr>
      <w:r>
        <w:t xml:space="preserve">2.1 Objet du document</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Indique l’objet du DAT (décrire l’architecture technique cible du service), le périmètre couvert, le public visé (équipe produit, socle, homologation, ANSSI) et le statut du document (brouillon / pour homologation).</w:t>
      </w:r>
    </w:p>
    <w:p>
      <w:pPr>
        <w:pStyle w:val="Heading2"/>
      </w:pPr>
      <w:r>
        <w:t xml:space="preserve">2.2 Terminologie utilisée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Renseigne les acronymes et termes spécifiques. Conserve les entrées socle (PMCS, CPiN, RIE, C2MI, ADR, HPA, KEDA…) et ajoute ceux du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Terme / acronyme</w:t>
            </w:r>
          </w:p>
        </w:tc>
        <w:tc>
          <w:tcPr>
            <w:tcW w:type="dxa" w:w="6747"/>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Définition</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MirAI</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Bouquet de services d’IA générative du ministère de l’Intérieur</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PMCS</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Plan de Maintien en Conditions de Sécurité</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CPiN</w:t>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Cloud Pi Native — commun numérique DevSecOps</w:t>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674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pStyle w:val="Heading2"/>
      </w:pPr>
      <w:r>
        <w:t xml:space="preserve">2.3 Arborescence des grands objets manipulés</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(schéma + texte) les principaux objets métier/techniques manipulés par le service et leurs relations (ex. conversation, document, corpus, transcription, embedding…).</w:t>
      </w:r>
    </w:p>
    <w:p>
      <w:pPr>
        <w:pStyle w:val="Heading1"/>
      </w:pPr>
      <w:r>
        <w:t xml:space="preserve">3. Cible fonctionnelle recherchée</w:t>
      </w:r>
    </w:p>
    <w:p>
      <w:pPr>
        <w:pStyle w:val="Heading2"/>
      </w:pPr>
      <w:r>
        <w:t xml:space="preserve">3.1 Cas d’utilisation</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Énumère les principaux cas d’emploi du service et les utilisateurs concernés.</w:t>
      </w:r>
      <w:r>
        <w:rPr>
          <w:i/>
          <w:iCs/>
          <w:color w:val="33333A"/>
          <w:sz w:val="20"/>
          <w:szCs w:val="20"/>
        </w:rPr>
        <w:br/>
        <w:t xml:space="preserve">Rappel socle : usage réservé aux agents du MI connectés sur le RIE ; authentification via ProConnect / Passage 2.</w:t>
      </w:r>
    </w:p>
    <w:p>
      <w:pPr>
        <w:pStyle w:val="Heading2"/>
      </w:pPr>
      <w:r>
        <w:t xml:space="preserve">3.2 Objectifs de disponibilité</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Le besoin socle est une disponibilité ≥ 95 % de la solution (la plateforme hébergeante étant ≥ 99,5 %), calculée annuellement hors arrêts programmés, soit ≈ 19 jours d’indisponibilité/an au maximum.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Disponibilité (%)</w:t>
            </w:r>
          </w:p>
        </w:tc>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Indispo. / an</w:t>
            </w:r>
          </w:p>
        </w:tc>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Indispo. / mois</w:t>
            </w:r>
          </w:p>
        </w:tc>
        <w:tc>
          <w:tcPr>
            <w:tcW w:type="dxa" w:w="240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Indispo. / semaine</w:t>
            </w:r>
          </w:p>
        </w:tc>
      </w:tr>
      <w:tr>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95 %</w:t>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18,25 jours</w:t>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36 heures</w:t>
            </w:r>
          </w:p>
        </w:tc>
        <w:tc>
          <w:tcPr>
            <w:tcW w:type="dxa" w:w="24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8,4 heures</w:t>
            </w:r>
          </w:p>
        </w:tc>
      </w:tr>
    </w:tbl>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Confirme ou ajuste l’objectif de disponibilité propre au service et justifie tout écart par rapport au socle.</w:t>
      </w:r>
    </w:p>
    <w:p>
      <w:pPr>
        <w:pStyle w:val="Heading2"/>
      </w:pPr>
      <w:r>
        <w:t xml:space="preserve">3.3 Temps de rétablissement</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Précise la DMIA (durée maximale admissible d’interruption) et la PDMA (perte de données maximale admissible). Valeurs socle par défaut : DMIA 3 jours, PDMA 72 heures.</w:t>
      </w:r>
    </w:p>
    <w:p>
      <w:pPr>
        <w:pStyle w:val="Heading2"/>
      </w:pPr>
      <w:r>
        <w:t xml:space="preserve">3.4 Contraintes de performance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les contraintes de performance (latence cible, débit, temps d’activation d’un espace projet, temps de prise en compte des appels API…).</w:t>
      </w:r>
    </w:p>
    <w:p>
      <w:pPr>
        <w:pStyle w:val="Heading2"/>
      </w:pPr>
      <w:r>
        <w:t xml:space="preserve">3.5 Contraintes d’exploitation</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L’offre est hébergée sur une Landing Zone, distribuée sur plusieurs clusters Kubernetes d’un fournisseur cloud public français (≥ 2 datacenters en France, principes zero trust), exploitée par la DTNUM. Tâches support attendues : supervision et gestion capacitaire, sauvegarde, gestion du PCI/PRI.</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Complète avec les contraintes d’exploitation spécifiques au service (fenêtres de maintenance, dépendances managées, GPU…).</w:t>
      </w:r>
    </w:p>
    <w:p>
      <w:pPr>
        <w:pStyle w:val="Heading2"/>
      </w:pPr>
      <w:r>
        <w:t xml:space="preserve">3.6 Dimensionnement de la cible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Renseigne le dimensionnement attendu : nombre d’utilisateurs enregistrés, accès simultanés max, temps de réponse cible, volume hebdomadaire.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Service</w:t>
            </w:r>
          </w:p>
        </w:tc>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Accès simultanés max</w:t>
            </w:r>
          </w:p>
        </w:tc>
        <w:tc>
          <w:tcPr>
            <w:tcW w:type="dxa" w:w="241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Temps de réponse max</w:t>
            </w:r>
          </w:p>
        </w:tc>
        <w:tc>
          <w:tcPr>
            <w:tcW w:type="dxa" w:w="240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Volume hebdomadaire</w:t>
            </w:r>
          </w:p>
        </w:tc>
      </w:tr>
      <w:tr>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4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pStyle w:val="Heading2"/>
      </w:pPr>
      <w:r>
        <w:t xml:space="preserve">3.7 Exigences de sécurité</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Exigences socle à décliner : contrôle « Zero Trust » des accès (IAM, AuthN/AuthZ, deny-all par défaut) ; Zero Trust au niveau des zones réseau (flux maîtrisés par IP/protocole/port) ; gestion fine des accès S3 (ACL, politiques de bucket) ; traçabilité et journalisation centralisées ; protection périmétrique (DMZ, WAF OWASP Top 10, anti-DDoS) ; chiffrement en transit (pas de downgrade TLS) et au repos (SSE-S3 / SSE-KMS).</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Précise comment le service applique chacune de ces exigences ; signale toute exception et sa justification.</w:t>
      </w:r>
    </w:p>
    <w:p>
      <w:pPr>
        <w:pStyle w:val="Heading1"/>
      </w:pPr>
      <w:r>
        <w:t xml:space="preserve">4. Architecture globale</w:t>
      </w:r>
    </w:p>
    <w:p>
      <w:pPr>
        <w:pStyle w:val="Heading2"/>
      </w:pPr>
      <w:r>
        <w:t xml:space="preserve">4.1 Vision synthétique du service dans son environnement</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Insère le schéma de vision d’ensemble situant le service parmi les 5 grands composants MirAI : portail unifié, services usagers, back-end IA, services communs, intégration aux services socles du MI.</w:t>
      </w:r>
      <w:r>
        <w:rPr>
          <w:i/>
          <w:iCs/>
          <w:color w:val="33333A"/>
          <w:sz w:val="20"/>
          <w:szCs w:val="20"/>
        </w:rPr>
        <w:br/>
        <w:t xml:space="preserve">Décris les points d’intégration du service avec le socle (portail, IAM, back-end IA, observabilité).</w:t>
      </w:r>
    </w:p>
    <w:p>
      <w:pPr>
        <w:pStyle w:val="Heading2"/>
      </w:pPr>
      <w:r>
        <w:t xml:space="preserve">4.2 Architecture fonctionnelle et écosystème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l’usage des services communs par le service et la supervision technique (DTNUM, consolidation des logs vers le C2MI). Indique les éventuelles interconnexions avec des applications métier du ministère.</w:t>
      </w:r>
    </w:p>
    <w:p>
      <w:pPr>
        <w:pStyle w:val="Heading2"/>
      </w:pPr>
      <w:r>
        <w:t xml:space="preserve">4.3 Principes globaux d’architecture (hérités du socle)</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Principes socle communs (administration MFA + zero trust, poste d’administration homologué ; traçabilité/imputabilité via Cockpit + Teleport → S3 → C2MI ; gestion des certificats par cert-manager ; supervision Cockpit/Grafana/Loki + Zabbix ; sauvegarde Velero ; robustesse 3 AZ ; scalabilité HPA/KEDA ; MCS via PMCS ; secrets dans Vault).</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Plutôt que de dupliquer ces principes, référence le DAT socle MirAI et ne décris ici que les écarts ou précisions propres au service.</w:t>
      </w:r>
    </w:p>
    <w:p>
      <w:pPr>
        <w:pStyle w:val="Heading1"/>
      </w:pPr>
      <w:r>
        <w:t xml:space="preserve">5. Architecture du service</w:t>
      </w:r>
    </w:p>
    <w:p>
      <w:pPr>
        <w:pStyle w:val="Heading2"/>
      </w:pPr>
      <w:r>
        <w:t xml:space="preserve">5.0 Patrons d’architecture asynchrone (rappel, si applicable)</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Si le service comporte des traitements longs ou intensifs (transcription, OCR, RAG, génération…), appliquer le patron Event-Driven : découplage producteur/consommateur via bus de messages, workers scalables.</w:t>
      </w:r>
      <w:r>
        <w:rPr>
          <w:color w:val="444444"/>
          <w:sz w:val="20"/>
          <w:szCs w:val="20"/>
        </w:rPr>
        <w:br/>
        <w:t xml:space="preserve">Montée en charge événementielle via KEDA (scale-to-zero possible) en complément du HPA. Choix Job vs Deployment selon durée/interruptibilité ; gestion propre de SIGTERM et de la réémission (idempotence, checkpoint, requeue).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Indique si le service est synchrone ou asynchrone et justifie. Si asynchrone, précise le broker/queue (ex. procrastinate/PostgreSQL, Kafka, RabbitMQ), le modèle de workers et la stratégie d’autoscaling.</w:t>
      </w:r>
    </w:p>
    <w:p>
      <w:r>
        <w:br w:type="page"/>
      </w:r>
    </w:p>
    <w:p>
      <w:pPr>
        <w:pStyle w:val="Heading2"/>
      </w:pPr>
      <w:r>
        <w:t xml:space="preserve">5.1 Service « [NOM DU SERVICE] »</w:t>
      </w:r>
    </w:p>
    <w:p>
      <w:pPr>
        <w:pStyle w:val="Heading3"/>
      </w:pPr>
      <w:r>
        <w:t xml:space="preserve">5.1.1 Description du service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Rédige la description fonctionnelle du service : finalité métier, public d’agents ciblé, principales fonctionnalités exposées, valeur apportée (gain de temps, qualité, etc.).</w:t>
      </w:r>
      <w:r>
        <w:rPr>
          <w:i/>
          <w:iCs/>
          <w:color w:val="33333A"/>
          <w:sz w:val="20"/>
          <w:szCs w:val="20"/>
        </w:rPr>
        <w:br/>
        <w:t xml:space="preserve">Précise la souche logicielle principale et son origine (open source / service contractualisé), ainsi que les langues supportées le cas échéant.</w:t>
      </w:r>
      <w:r>
        <w:rPr>
          <w:i/>
          <w:iCs/>
          <w:color w:val="33333A"/>
          <w:sz w:val="20"/>
          <w:szCs w:val="20"/>
        </w:rPr>
        <w:br/>
        <w:t xml:space="preserve">Format : 3 à 5 paragraphes, style administratif factuel, présent de l’indicatif. N’invente aucune fonctionnalité non confirmée.</w:t>
      </w:r>
    </w:p>
    <w:p>
      <w:pPr>
        <w:pStyle w:val="Heading3"/>
      </w:pPr>
      <w:r>
        <w:t xml:space="preserve">5.1.2 Architecture fonctionnelle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Insère le schéma d’architecture fonctionnelle du service (Portail → Frontend → Backend → Backend IA → services communs) et décris le rôle de chaque brique.</w:t>
      </w:r>
      <w:r>
        <w:rPr>
          <w:i/>
          <w:iCs/>
          <w:color w:val="33333A"/>
          <w:sz w:val="20"/>
          <w:szCs w:val="20"/>
        </w:rPr>
        <w:br/>
        <w:t xml:space="preserve">Complète le tableau ci-dessous : une ligne par composant fonctionnel.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3855"/>
        <w:gridCol w:w="1928"/>
      </w:tblGrid>
      <w:tr>
        <w:trPr>
          <w:tblHeader/>
        </w:trPr>
        <w:tc>
          <w:tcPr>
            <w:tcW w:type="dxa" w:w="1735"/>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Fonction DSO</w:t>
            </w:r>
          </w:p>
        </w:tc>
        <w:tc>
          <w:tcPr>
            <w:tcW w:type="dxa" w:w="212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Nom</w:t>
            </w:r>
          </w:p>
        </w:tc>
        <w:tc>
          <w:tcPr>
            <w:tcW w:type="dxa" w:w="3855"/>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Description</w:t>
            </w:r>
          </w:p>
        </w:tc>
        <w:tc>
          <w:tcPr>
            <w:tcW w:type="dxa" w:w="192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Mesures de sécurité</w:t>
            </w:r>
          </w:p>
        </w:tc>
      </w:tr>
      <w:tr>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3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3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3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3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pStyle w:val="Heading3"/>
      </w:pPr>
      <w:r>
        <w:t xml:space="preserve">5.1.3 Architecture technique</w:t>
      </w:r>
    </w:p>
    <w:p>
      <w:pPr>
        <w:spacing w:after="120"/>
      </w:pPr>
      <w:r>
        <w:rPr>
          <w:b/>
          <w:bCs/>
        </w:rPr>
        <w:t xml:space="preserve">Inventaire des composants logiciels utilisés</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Liste tous les composants logiciels : runtime, frameworks (ex. FastAPI), files/queues (ex. procrastinate/PostgreSQL, Kafka, RabbitMQ), moteurs IA (LLM, Whisper, OCR…), bases (vectorielle/SQL), reverse-proxy, etc.</w:t>
      </w:r>
      <w:r>
        <w:rPr>
          <w:i/>
          <w:iCs/>
          <w:color w:val="33333A"/>
          <w:sz w:val="20"/>
          <w:szCs w:val="20"/>
        </w:rPr>
        <w:br/>
        <w:t xml:space="preserve">Pour chaque composant : version, mode d’installation/fournisseur (hébergé MI ou managé), licence, et mesure de sécurité (généralement « Maintien en version selon le PMCS »).</w:t>
      </w:r>
      <w:r>
        <w:rPr>
          <w:i/>
          <w:iCs/>
          <w:color w:val="33333A"/>
          <w:sz w:val="20"/>
          <w:szCs w:val="20"/>
        </w:rPr>
        <w:br/>
        <w:t xml:space="preserve">Signale toute licence sous copyleft fort (AGPL…) et la stratégie d’isolation retenue (micro-service dédié, appel par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891"/>
        <w:gridCol w:w="1735"/>
        <w:gridCol w:w="1542"/>
      </w:tblGrid>
      <w:tr>
        <w:trPr>
          <w:tblHeader/>
        </w:trPr>
        <w:tc>
          <w:tcPr>
            <w:tcW w:type="dxa" w:w="1542"/>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Fonction DSO</w:t>
            </w:r>
          </w:p>
        </w:tc>
        <w:tc>
          <w:tcPr>
            <w:tcW w:type="dxa" w:w="192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Nom</w:t>
            </w:r>
          </w:p>
        </w:tc>
        <w:tc>
          <w:tcPr>
            <w:tcW w:type="dxa" w:w="2891"/>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Description</w:t>
            </w:r>
          </w:p>
        </w:tc>
        <w:tc>
          <w:tcPr>
            <w:tcW w:type="dxa" w:w="1735"/>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Installation / fournisseur</w:t>
            </w:r>
          </w:p>
        </w:tc>
        <w:tc>
          <w:tcPr>
            <w:tcW w:type="dxa" w:w="1542"/>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Mesures de sécurité</w:t>
            </w:r>
          </w:p>
        </w:tc>
      </w:tr>
      <w:tr>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89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73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spacing w:after="120"/>
      </w:pPr>
      <w:r>
        <w:rPr>
          <w:b/>
          <w:bCs/>
        </w:rPr>
        <w:t xml:space="preserve">Matrice des flux (internes)</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Renseigne chaque flux réseau interne : composant source, composant destination, protocole, port standard du protocole (443/80/5432/4318…), commentaire (sens, chiffrement, authentification).</w:t>
      </w:r>
      <w:r>
        <w:rPr>
          <w:i/>
          <w:iCs/>
          <w:color w:val="33333A"/>
          <w:sz w:val="20"/>
          <w:szCs w:val="20"/>
        </w:rPr>
        <w:br/>
        <w:t>Source recommandée : NetworkPolicies Kubernetes, services/ingress, docker-compose. Applique la logique « deny all » + autorisations fines (zero trust). Indique le PORT STANDARD du protocole, jamais le port d'écoute réel ni d'adresse/hôte réels.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349"/>
        <w:gridCol w:w="1157"/>
        <w:gridCol w:w="2506"/>
      </w:tblGrid>
      <w:tr>
        <w:trPr>
          <w:tblHeader/>
        </w:trPr>
        <w:tc>
          <w:tcPr>
            <w:tcW w:type="dxa" w:w="2313"/>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Composant source</w:t>
            </w:r>
          </w:p>
        </w:tc>
        <w:tc>
          <w:tcPr>
            <w:tcW w:type="dxa" w:w="2313"/>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Composant destination</w:t>
            </w:r>
          </w:p>
        </w:tc>
        <w:tc>
          <w:tcPr>
            <w:tcW w:type="dxa" w:w="1349"/>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Protocole</w:t>
            </w:r>
          </w:p>
        </w:tc>
        <w:tc>
          <w:tcPr>
            <w:tcW w:type="dxa" w:w="1157"/>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Port (standard)</w:t>
            </w:r>
          </w:p>
        </w:tc>
        <w:tc>
          <w:tcPr>
            <w:tcW w:type="dxa" w:w="2506"/>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Commentaires</w:t>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3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1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pStyle w:val="Heading3"/>
      </w:pPr>
      <w:r>
        <w:t xml:space="preserve">5.1.4 Observabilité</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la télémétrie du service : métriques exposées (CPU/RAM/pods + métriques métier), logs applicatifs, traces. Rappel socle : observabilité CPiN, Cockpit (Grafana/Loki), remontée APM Zabbix, mise à disposition progressive du C2MI.</w:t>
      </w:r>
    </w:p>
    <w:p>
      <w:pPr>
        <w:pStyle w:val="Heading3"/>
      </w:pPr>
      <w:r>
        <w:t xml:space="preserve">5.1.5 Sauvegarde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Précise les données à sauvegarder, la fréquence et la rétention. Rappel socle : snapshot quotidien par namespace via Velero, bucket S3 dédié par cluster, rétention 1 mois. Indique RPO/RTO spécifiques si différents du socle (PDMA 72 h, DMIA 3 j).</w:t>
      </w:r>
    </w:p>
    <w:p>
      <w:pPr>
        <w:pStyle w:val="Heading3"/>
      </w:pPr>
      <w:r>
        <w:t xml:space="preserve">5.1.6 Performance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Donne les objectifs de performance du service (accès simultanés, temps de réponse cible, volume attendu) et les mécanismes de montée en charge (HPA, KEDA pour l’asynchrone, scale-to-zero le cas échéant).</w:t>
      </w:r>
    </w:p>
    <w:p>
      <w:pPr>
        <w:pStyle w:val="Heading3"/>
      </w:pPr>
      <w:r>
        <w:t xml:space="preserve">5.1.7 Haute disponibilité</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la stratégie HA du service. Rappel socle : composants stateless, redondance sur 3 zones de disponibilité (PAR1/PAR2/PAR3), anti-affinité, failover court sans perte de données. Signale les SPOF résiduels (ex. Load Balancer, instances GPU mono-AZ) et le plan de résorption.</w:t>
      </w:r>
    </w:p>
    <w:p>
      <w:pPr>
        <w:pStyle w:val="Heading3"/>
      </w:pPr>
      <w:r>
        <w:t xml:space="preserve">5.1.8 Sécurité</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Décline les exigences de sécurité au niveau du service : authN/authZ (Keycloak, ProConnect, JWT/OAuth2), audience/clients OIDC, isolation réseau, gestion des secrets (Vault), chiffrement en transit et au repos (SSE-S3/SSE-KMS), traçabilité. Référence le PMCS du service.</w:t>
      </w:r>
    </w:p>
    <w:p>
      <w:pPr>
        <w:pStyle w:val="Heading3"/>
      </w:pPr>
      <w:r>
        <w:t xml:space="preserve">5.1.9 Confidentialité</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Liste les données traitées et conservées (fichiers téléversés, transcriptions, historiques de conversation, embeddings…), leur durée de conservation et leur localisation.</w:t>
      </w:r>
      <w:r>
        <w:rPr>
          <w:i/>
          <w:iCs/>
          <w:color w:val="33333A"/>
          <w:sz w:val="20"/>
          <w:szCs w:val="20"/>
        </w:rPr>
        <w:br/>
        <w:t xml:space="preserve">Précise le positionnement RGPD (responsable de traitement / sous-traitant), la base légale et la qualification IA Act. Renvoie à l’AIPD si elle existe.</w:t>
      </w:r>
    </w:p>
    <w:p>
      <w:r>
        <w:br w:type="page"/>
      </w:r>
    </w:p>
    <w:p>
      <w:pPr>
        <w:pStyle w:val="Heading1"/>
      </w:pPr>
      <w:r>
        <w:t xml:space="preserve">6. Architecture d’infrastructure</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Principes socle : hébergeur public français (datacenters en France), évolutif vers les infrastructures internes du MI ; disponibilité infrastructure &gt; 99,99 % ; réversibilité &lt; 5 jours ; plateforme résiliente et hautement disponible ; Zero Trust ; architecture portable sur tout hébergeur public ou interne.</w:t>
      </w:r>
    </w:p>
    <w:p>
      <w:pPr>
        <w:pStyle w:val="Heading2"/>
      </w:pPr>
      <w:r>
        <w:t xml:space="preserve">6.1 Architecture générale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Insère le schéma d’infrastructure (Landing Zone : IP Gateway + Load Balancer avec ACL, clusters applicatifs frontaux/middleware/backend, cluster GPU pour le serving LLM/Whisper, cluster Keycloak, PAX/DSO, bastion d’administration).</w:t>
      </w:r>
      <w:r>
        <w:rPr>
          <w:i/>
          <w:iCs/>
          <w:color w:val="33333A"/>
          <w:sz w:val="20"/>
          <w:szCs w:val="20"/>
        </w:rPr>
        <w:br/>
        <w:t xml:space="preserve">Décris la répartition géographique (3 AZ : PAR1/PAR2/PAR3), le chemin réseau (edge → WAF → LB → ingress) et identifie les SPOF (ex. LB mono-AZ) avec le plan de résorption.</w:t>
      </w:r>
    </w:p>
    <w:p>
      <w:pPr>
        <w:pStyle w:val="Heading2"/>
      </w:pPr>
      <w:r>
        <w:t xml:space="preserve">6.2 Architecture technique détaillée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Détaille les masters/ETCD multi-AZ, la répartition des workers (anti-affinité), les services managés front/back, et toute spécificité d’hébergement du service.</w:t>
      </w:r>
    </w:p>
    <w:p>
      <w:pPr>
        <w:pStyle w:val="Heading2"/>
      </w:pPr>
      <w:r>
        <w:t xml:space="preserve">6.3 Haute disponibilité</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la HA d’infrastructure (redondance des composants critiques sur 3 AZ) et la HA applicative (composants stateless redondés). Précise les tests de bascule.</w:t>
      </w:r>
    </w:p>
    <w:p>
      <w:pPr>
        <w:pStyle w:val="Heading2"/>
      </w:pPr>
      <w:r>
        <w:t xml:space="preserve">6.4 Résilience</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les mécanismes de résilience (filtrage WAF amont OWASP Top 10, redondance, failover) et les scénarios de panne couverts.</w:t>
      </w:r>
    </w:p>
    <w:p>
      <w:pPr>
        <w:pStyle w:val="Heading2"/>
      </w:pPr>
      <w:r>
        <w:t xml:space="preserve">6.5 Architecture technique d’administration</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Décris la chaîne d’administration : poste homologué (cible haxo), sécurisation du vecteur d’accès, proxification via Teleport vers les clusters, sécurisation de l’usage de la chaîne DevSecOps.</w:t>
      </w:r>
    </w:p>
    <w:p>
      <w:r>
        <w:br w:type="page"/>
      </w:r>
    </w:p>
    <w:p>
      <w:pPr>
        <w:pStyle w:val="Heading1"/>
      </w:pPr>
      <w:r>
        <w:t xml:space="preserve">7. Principes et mesures de sécurité mises en œuvre</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Le service applique une approche Zero Trust (deny-all par défaut, moindre privilège), une défense en profondeur et le principe de sécurité par construction porté par la chaîne DevSecOps Cloud Pi Native. Les mesures sont maintenues dans le temps via le PMCS du composant.</w:t>
      </w:r>
    </w:p>
    <w:p>
      <w:pPr>
        <w:spacing w:after="120"/>
      </w:pPr>
      <w:r>
        <w:t xml:space="preserve">Cette section consolide, par domaine, les mesures de sécurité effectivement mises en œuvre. Elle constitue la vue de synthèse attendue au dossier d’homologation ; le détail technique reste dans les rubriques d’architecture (§ 3.7, § 5 et § 6).</w:t>
      </w:r>
    </w:p>
    <w:p>
      <w:pPr>
        <w:pBdr>
          <w:left w:val="single" w:color="B5B5B5" w:sz="24" w:space="10"/>
        </w:pBdr>
        <w:shd w:fill="F5F5F5" w:val="clear"/>
        <w:spacing w:after="220" w:before="80"/>
        <w:ind w:left="120" w:right="120"/>
      </w:pPr>
      <w:r>
        <w:rPr>
          <w:b/>
          <w:bCs/>
          <w:color w:val="555555"/>
          <w:sz w:val="18"/>
          <w:szCs w:val="18"/>
        </w:rPr>
        <w:t xml:space="preserve">◆  Texte de référence — socle MirAI (conserver / adapter)</w:t>
      </w:r>
      <w:r>
        <w:rPr>
          <w:color w:val="444444"/>
          <w:sz w:val="20"/>
          <w:szCs w:val="20"/>
        </w:rPr>
        <w:br/>
        <w:t xml:space="preserve">Les mesures s’appuient sur les grands référentiels suivants, à citer dans le DAT :</w:t>
      </w:r>
      <w:r>
        <w:rPr>
          <w:color w:val="444444"/>
          <w:sz w:val="20"/>
          <w:szCs w:val="20"/>
        </w:rPr>
        <w:br/>
        <w:t xml:space="preserve">• Zero Trust : NIST SP 800-207.</w:t>
      </w:r>
      <w:r>
        <w:rPr>
          <w:color w:val="444444"/>
          <w:sz w:val="20"/>
          <w:szCs w:val="20"/>
        </w:rPr>
        <w:br/>
        <w:t xml:space="preserve">• Sécurité applicative web : OWASP Top 10:2025 ; vérification via OWASP ASVS.</w:t>
      </w:r>
      <w:r>
        <w:rPr>
          <w:color w:val="444444"/>
          <w:sz w:val="20"/>
          <w:szCs w:val="20"/>
        </w:rPr>
        <w:br/>
        <w:t xml:space="preserve">• Sécurité des applications d’IA : OWASP Top 10 for LLM Applications 2025 et OWASP Top 10 for Agentic AI Applications (2025).</w:t>
      </w:r>
      <w:r>
        <w:rPr>
          <w:color w:val="444444"/>
          <w:sz w:val="20"/>
          <w:szCs w:val="20"/>
        </w:rPr>
        <w:br/>
        <w:t xml:space="preserve">• Maturité DevSecOps : OWASP SAMM.</w:t>
      </w:r>
      <w:r>
        <w:rPr>
          <w:color w:val="444444"/>
          <w:sz w:val="20"/>
          <w:szCs w:val="20"/>
        </w:rPr>
        <w:br/>
        <w:t xml:space="preserve">• Cadre étatique : RGS, guide d’hygiène informatique de l’ANSSI, qualification SecNumCloud de l’hébergeur.</w:t>
      </w:r>
      <w:r>
        <w:rPr>
          <w:color w:val="444444"/>
          <w:sz w:val="20"/>
          <w:szCs w:val="20"/>
        </w:rPr>
        <w:br/>
        <w:t xml:space="preserve">• Management de la sécurité : ISO/IEC 27001 – 27002.</w:t>
      </w:r>
      <w:r>
        <w:rPr>
          <w:color w:val="444444"/>
          <w:sz w:val="20"/>
          <w:szCs w:val="20"/>
        </w:rPr>
        <w:br/>
        <w:t xml:space="preserve">• Régulation IA : règlement (UE) 2024/1689 (« IA Act »).</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Énonce d’abord, en un paragraphe, les principes de sécurité retenus (Zero Trust, défense en profondeur, moindre privilège, sécurité par construction) et les référentiels applicables (OWASP, ANSSI/RGS, NIST ZT, ISO 27001, IA Act).</w:t>
      </w:r>
      <w:r>
        <w:rPr>
          <w:i/>
          <w:iCs/>
          <w:color w:val="33333A"/>
          <w:sz w:val="20"/>
          <w:szCs w:val="20"/>
        </w:rPr>
        <w:br/>
        <w:t xml:space="preserve">Renseigne ensuite, pour chaque domaine, la mesure réellement mise en œuvre, le référentiel correspondant et sa référence interne (PMCS, ADR, AIPD). Pour un service d’IA, traite explicitement les risques OWASP LLM (LLM01 injection de prompt, LLM02 fuite d’information, LLM08 RAG/embeddings, LLM06 agency excessive).</w:t>
      </w:r>
      <w:r>
        <w:rPr>
          <w:i/>
          <w:iCs/>
          <w:color w:val="33333A"/>
          <w:sz w:val="20"/>
          <w:szCs w:val="20"/>
        </w:rPr>
        <w:br/>
        <w:t xml:space="preserve">N’inscris aucune valeur réelle (IP, ports, secrets) : désigne les éléments par leur nom de composant. Marque « [À CONFIRMER] » toute mesure non vérifiée.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542"/>
        <w:gridCol w:w="4048"/>
        <w:gridCol w:w="1928"/>
      </w:tblGrid>
      <w:tr>
        <w:trPr>
          <w:tblHeader/>
        </w:trPr>
        <w:tc>
          <w:tcPr>
            <w:tcW w:type="dxa" w:w="2120"/>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Domaine</w:t>
            </w:r>
          </w:p>
        </w:tc>
        <w:tc>
          <w:tcPr>
            <w:tcW w:type="dxa" w:w="1542"/>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Principe</w:t>
            </w:r>
          </w:p>
        </w:tc>
        <w:tc>
          <w:tcPr>
            <w:tcW w:type="dxa" w:w="404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Mesure mise en œuvre</w:t>
            </w:r>
          </w:p>
        </w:tc>
        <w:tc>
          <w:tcPr>
            <w:tcW w:type="dxa" w:w="1928"/>
            <w:tcBorders>
              <w:top w:val="single" w:color="CCCCCC" w:sz="1"/>
              <w:left w:val="single" w:color="CCCCCC" w:sz="1"/>
              <w:bottom w:val="single" w:color="CCCCCC" w:sz="1"/>
              <w:right w:val="single" w:color="CCCCCC" w:sz="1"/>
            </w:tcBorders>
            <w:shd w:fill="E3E8F7" w:val="clear"/>
            <w:tcMar>
              <w:top w:type="dxa" w:w="60"/>
              <w:left w:type="dxa" w:w="100"/>
              <w:bottom w:type="dxa" w:w="60"/>
              <w:right w:type="dxa" w:w="100"/>
            </w:tcMar>
            <w:vAlign w:val="center"/>
          </w:tcPr>
          <w:p>
            <w:r>
              <w:rPr>
                <w:b/>
                <w:bCs/>
                <w:sz w:val="19"/>
                <w:szCs w:val="19"/>
              </w:rPr>
              <w:t xml:space="preserve">Statut / Référentiel</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Identités &amp; accès (IAM/SSO)</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Zero Trust, deny-all</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Keycloak + fédération ProConnect ; enrôlement @*.gouv.fr ; MFA pour l’administration</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NIST 800-207</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Contrôle d’accès applicatif</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Moindre privilège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Autorisation fine par rôles/permissions ; clients et audience OIDC dédiés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Top 10:2025 (A01) ; [À CONFIRMER]</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Cloisonnement réseau</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Zero Trust réseau</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NetworkPolicies (deny-all + flux autorisés) ; DMZ ; WAF ; anti-DDoS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OWASP Top 10:2025</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Chiffrement</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Bout en bout</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TLS en transit (interdiction du downgrade) ; chiffrement au repos SSE-S3 / SSE-KMS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Top 10:2025 (A04)</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Gestion des secrets</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Séparation code / secret</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Centralisation dans Vault (clusters redondés) ; aucun secret en clair dans le code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CCT Pi Native</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Traçabilité &amp; journalisation</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Imputabilité</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Logs accès/applicatifs/admin centralisés (Cockpit/Loki) ; mise à disposition du C2MI</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Top 10:2025 (A09)</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Chaîne logistique logicielle</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Intégrité supply chain</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Gestion des dépendances et des versions ; SBOM / scans dans les pipelines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Top 10:2025 (A03)</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Chaîne DevSecOps</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Sécurité par construction</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PAX / Cloud Pi Native ; tests SAST/DAST/SCA intégrés aux pipelines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SAMM ; CPiN</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Sécurité IA / LLM</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Maîtrise prompts &amp; sorties</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Séparation données/instructions ; filtrage entrées-sorties ; contrôle des accès au corpus RAG ; limitation de l’agency</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OWASP Top 10 LLM 2025 (LLM01/02/08) ; [À CONFIRMER]</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Maintien en conditions de sécurité</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Sécurité dynamique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Suivi des vulnérabilités et des montées de version (communauté)</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PMCS</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Administration</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Surface d’attaque réduite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Poste d’administration homologué (cible haxo) ; proxification Teleport ; flux entrant MI uniquement</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ANSSI hygiène</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Sauvegarde &amp; résilience</w:t>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Disponibilité</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Snapshots Velero par namespace ; redondance sur 3 zones de disponibilité</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Socle ; SecNumCloud</w:t>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r>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5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b w:val="false"/>
                <w:bCs w:val="false"/>
                <w:sz w:val="19"/>
                <w:szCs w:val="19"/>
              </w:rPr>
              <w:t xml:space="preserve"/>
            </w:r>
          </w:p>
        </w:tc>
      </w:tr>
    </w:tbl>
    <w:p>
      <w:pPr>
        <w:pStyle w:val="Heading1"/>
      </w:pPr>
      <w:r>
        <w:t xml:space="preserve">8. Références et annexes</w:t>
      </w:r>
    </w:p>
    <w:p>
      <w:pPr>
        <w:pStyle w:val="Heading2"/>
      </w:pPr>
      <w:r>
        <w:t xml:space="preserve">8.1 Références socle et projet</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Liste les références applicables au service (ADR, PMCS, guide d’intégration socle, AIPD, conventions). Conserve les liens socle ci-dessous et complète.</w:t>
      </w:r>
    </w:p>
    <w:p>
      <w:pPr>
        <w:pStyle w:val="ListParagraph"/>
        <w:numPr>
          <w:ilvl w:val="0"/>
          <w:numId w:val="2"/>
        </w:numPr>
        <w:spacing w:after="40"/>
      </w:pPr>
      <w:r>
        <w:t xml:space="preserve">CCT Cloud Pi Native — github.com/cloud-pi-native/cct-cloud-native</w:t>
      </w:r>
    </w:p>
    <w:p>
      <w:pPr>
        <w:pStyle w:val="ListParagraph"/>
        <w:numPr>
          <w:ilvl w:val="0"/>
          <w:numId w:val="2"/>
        </w:numPr>
        <w:spacing w:after="40"/>
      </w:pPr>
      <w:r>
        <w:t xml:space="preserve">Guide d’intégration au socle MirAI — github.com/IA-Generative/guide-integration-socle-mirai</w:t>
      </w:r>
    </w:p>
    <w:p>
      <w:pPr>
        <w:pStyle w:val="ListParagraph"/>
        <w:numPr>
          <w:ilvl w:val="0"/>
          <w:numId w:val="2"/>
        </w:numPr>
        <w:spacing w:after="40"/>
      </w:pPr>
      <w:r>
        <w:t xml:space="preserve">Circulaire Premier ministre (ouverture des codes sources) — legifrance.gouv.fr/circulaire/id/45162</w:t>
      </w:r>
    </w:p>
    <w:p>
      <w:pPr>
        <w:pStyle w:val="ListParagraph"/>
        <w:numPr>
          <w:ilvl w:val="0"/>
          <w:numId w:val="2"/>
        </w:numPr>
        <w:spacing w:after="40"/>
      </w:pPr>
      <w:r>
        <w:t xml:space="preserve">OpenWebUI — github.com/open-webui/open-webui</w:t>
      </w:r>
    </w:p>
    <w:p>
      <w:pPr>
        <w:pStyle w:val="ListParagraph"/>
        <w:numPr>
          <w:ilvl w:val="0"/>
          <w:numId w:val="2"/>
        </w:numPr>
        <w:spacing w:after="40"/>
      </w:pPr>
      <w:r>
        <w:t xml:space="preserve">[ADR / PMCS / AIPD propres au service — à compléter]</w:t>
      </w:r>
    </w:p>
    <w:p>
      <w:pPr>
        <w:pStyle w:val="Heading2"/>
      </w:pPr>
      <w:r>
        <w:t xml:space="preserve">8.2 Référentiels de sécurité (liens officiels)</w:t>
      </w:r>
    </w:p>
    <w:p>
      <w:pPr>
        <w:pBdr>
          <w:left w:val="single" w:color="6A6AF4" w:sz="24" w:space="10"/>
        </w:pBdr>
        <w:shd w:fill="EEF1FA" w:val="clear"/>
        <w:spacing w:after="220" w:before="80"/>
        <w:ind w:left="120" w:right="120"/>
      </w:pPr>
      <w:r>
        <w:rPr>
          <w:b/>
          <w:bCs/>
          <w:color w:val="000091"/>
          <w:sz w:val="18"/>
          <w:szCs w:val="18"/>
        </w:rPr>
        <w:t xml:space="preserve">✎  Instruction — agent conversationnel</w:t>
      </w:r>
      <w:r>
        <w:rPr>
          <w:i/>
          <w:iCs/>
          <w:color w:val="33333A"/>
          <w:sz w:val="20"/>
          <w:szCs w:val="20"/>
        </w:rPr>
        <w:br/>
        <w:t xml:space="preserve">Conserve cette annexe pour rendre le DAT autoporteur. Vérifie les intitulés et l’édition en vigueur au moment du dépôt pour homologation.</w:t>
      </w:r>
    </w:p>
    <w:p>
      <w:pPr>
        <w:pStyle w:val="ListParagraph"/>
        <w:numPr>
          <w:ilvl w:val="0"/>
          <w:numId w:val="2"/>
        </w:numPr>
        <w:spacing w:after="40"/>
      </w:pPr>
      <w:r>
        <w:t xml:space="preserve">OWASP Top 10:2025 (sécurité applicative web) — https://owasp.org/Top10/2025/</w:t>
      </w:r>
    </w:p>
    <w:p>
      <w:pPr>
        <w:pStyle w:val="ListParagraph"/>
        <w:numPr>
          <w:ilvl w:val="0"/>
          <w:numId w:val="2"/>
        </w:numPr>
        <w:spacing w:after="40"/>
      </w:pPr>
      <w:r>
        <w:t xml:space="preserve">OWASP ASVS (vérification de sécurité applicative) — https://owasp.org/www-project-application-security-verification-standard/</w:t>
      </w:r>
    </w:p>
    <w:p>
      <w:pPr>
        <w:pStyle w:val="ListParagraph"/>
        <w:numPr>
          <w:ilvl w:val="0"/>
          <w:numId w:val="2"/>
        </w:numPr>
        <w:spacing w:after="40"/>
      </w:pPr>
      <w:r>
        <w:t xml:space="preserve">OWASP Top 10 for LLM Applications 2025 (sécurité des applications d’IA) — https://genai.owasp.org/</w:t>
      </w:r>
    </w:p>
    <w:p>
      <w:pPr>
        <w:pStyle w:val="ListParagraph"/>
        <w:numPr>
          <w:ilvl w:val="0"/>
          <w:numId w:val="2"/>
        </w:numPr>
        <w:spacing w:after="40"/>
      </w:pPr>
      <w:r>
        <w:t xml:space="preserve">OWASP Top 10 for Agentic AI Applications (2025) — https://genai.owasp.org/</w:t>
      </w:r>
    </w:p>
    <w:p>
      <w:pPr>
        <w:pStyle w:val="ListParagraph"/>
        <w:numPr>
          <w:ilvl w:val="0"/>
          <w:numId w:val="2"/>
        </w:numPr>
        <w:spacing w:after="40"/>
      </w:pPr>
      <w:r>
        <w:t xml:space="preserve">OWASP SAMM (maturité DevSecOps) — https://owaspsamm.org/</w:t>
      </w:r>
    </w:p>
    <w:p>
      <w:pPr>
        <w:pStyle w:val="ListParagraph"/>
        <w:numPr>
          <w:ilvl w:val="0"/>
          <w:numId w:val="2"/>
        </w:numPr>
        <w:spacing w:after="40"/>
      </w:pPr>
      <w:r>
        <w:t xml:space="preserve">NIST SP 800-207 — Zero Trust Architecture — https://csrc.nist.gov/pubs/sp/800/207/final</w:t>
      </w:r>
    </w:p>
    <w:p>
      <w:pPr>
        <w:pStyle w:val="ListParagraph"/>
        <w:numPr>
          <w:ilvl w:val="0"/>
          <w:numId w:val="2"/>
        </w:numPr>
        <w:spacing w:after="40"/>
      </w:pPr>
      <w:r>
        <w:t xml:space="preserve">ANSSI — Guide d’hygiène informatique, RGS et qualification SecNumCloud — https://cyber.gouv.fr/</w:t>
      </w:r>
    </w:p>
    <w:p>
      <w:pPr>
        <w:pStyle w:val="ListParagraph"/>
        <w:numPr>
          <w:ilvl w:val="0"/>
          <w:numId w:val="2"/>
        </w:numPr>
        <w:spacing w:after="40"/>
      </w:pPr>
      <w:r>
        <w:t xml:space="preserve">ISO/IEC 27001 (management de la sécurité de l’information) — https://www.iso.org/standard/27001</w:t>
      </w:r>
    </w:p>
    <w:p>
      <w:pPr>
        <w:pStyle w:val="ListParagraph"/>
        <w:numPr>
          <w:ilvl w:val="0"/>
          <w:numId w:val="2"/>
        </w:numPr>
        <w:spacing w:after="40"/>
      </w:pPr>
      <w:r>
        <w:t xml:space="preserve">Règlement (UE) 2024/1689 « IA Act » — https://eur-lex.europa.eu/eli/reg/2024/1689/oj</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Diffusion restreinte — Ministère de l’Intérieur / DTNUM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638"/>
      </w:tabs>
    </w:pPr>
    <w:r>
      <w:rPr>
        <w:color w:val="888888"/>
        <w:sz w:val="16"/>
        <w:szCs w:val="16"/>
      </w:rPr>
      <w:t xml:space="preserve">DAT MirAI — Modèle</w:t>
    </w:r>
    <w:r>
      <w:rPr>
        <w:color w:val="888888"/>
        <w:sz w:val="16"/>
        <w:szCs w:val="16"/>
      </w:rPr>
      <w:t xml:space="preserve">	« [NOM DU SERVICE]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A6AF4" w:sz="6" w:space="4"/>
      </w:pBdr>
      <w:spacing w:after="160" w:before="280"/>
      <w:outlineLvl w:val="0"/>
    </w:pPr>
    <w:rPr>
      <w:rFonts w:ascii="Arial" w:cs="Arial" w:eastAsia="Arial" w:hAnsi="Arial"/>
      <w:b/>
      <w:bCs/>
      <w:color w:val="00009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B1B7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DAT MirAI</dc:title>
  <dc:creator>DTNUM / MirAI</dc:creator>
  <cp:lastModifiedBy>Un-named</cp:lastModifiedBy>
  <cp:revision>1</cp:revision>
  <dcterms:created xsi:type="dcterms:W3CDTF">2026-06-07T08:27:14.190Z</dcterms:created>
  <dcterms:modified xsi:type="dcterms:W3CDTF">2026-06-07T08:27:14.190Z</dcterms:modified>
</cp:coreProperties>
</file>

<file path=docProps/custom.xml><?xml version="1.0" encoding="utf-8"?>
<Properties xmlns="http://schemas.openxmlformats.org/officeDocument/2006/custom-properties" xmlns:vt="http://schemas.openxmlformats.org/officeDocument/2006/docPropsVTypes"/>
</file>