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Times New Roman" w:cs="Times New Roman" w:eastAsia="Times New Roman" w:hAnsi="Times New Roman"/>
          <w:b/>
          <w:bCs/>
          <w:sz w:val="32"/>
          <w:szCs w:val="32"/>
        </w:rPr>
        <w:t xml:space="preserve">CHAPITRE II</w:t>
      </w:r>
    </w:p>
    <w:p>
      <w:pPr>
        <w:spacing w:after="80" w:before="0"/>
        <w:jc w:val="center"/>
      </w:pPr>
      <w:r>
        <w:rPr>
          <w:rFonts w:ascii="Times New Roman" w:cs="Times New Roman" w:eastAsia="Times New Roman" w:hAnsi="Times New Roman"/>
          <w:b/>
          <w:bCs/>
          <w:caps/>
          <w:sz w:val="26"/>
          <w:szCs w:val="26"/>
        </w:rPr>
        <w:t xml:space="preserve">ÉTAT DE L'ART SUR LA PRÉDICTION DES CONTAMINANTS</w:t>
      </w:r>
    </w:p>
    <w:p>
      <w:pPr>
        <w:spacing w:after="480" w:before="0"/>
        <w:jc w:val="center"/>
      </w:pPr>
      <w:r>
        <w:rPr>
          <w:rFonts w:ascii="Times New Roman" w:cs="Times New Roman" w:eastAsia="Times New Roman" w:hAnsi="Times New Roman"/>
          <w:b/>
          <w:bCs/>
          <w:caps/>
          <w:sz w:val="26"/>
          <w:szCs w:val="26"/>
        </w:rPr>
        <w:t xml:space="preserve">ÉMERGENTS DE L'EAU PAR INTELLIGENCE ARTIFICIELLE</w:t>
      </w:r>
    </w:p>
    <w:p>
      <w:pPr>
        <w:spacing w:after="80" w:before="200"/>
      </w:pPr>
      <w:r>
        <w:rPr>
          <w:rFonts w:ascii="Times New Roman" w:cs="Times New Roman" w:eastAsia="Times New Roman" w:hAnsi="Times New Roman"/>
          <w:b/>
          <w:bCs/>
          <w:caps/>
          <w:sz w:val="24"/>
          <w:szCs w:val="24"/>
        </w:rPr>
        <w:t xml:space="preserve">SOMMAIRE</w:t>
      </w:r>
    </w:p>
    <w:p>
      <w:pPr>
        <w:spacing w:after="40" w:before="60"/>
      </w:pPr>
      <w:r>
        <w:rPr>
          <w:rFonts w:ascii="Times New Roman" w:cs="Times New Roman" w:eastAsia="Times New Roman" w:hAnsi="Times New Roman"/>
          <w:sz w:val="20"/>
          <w:szCs w:val="20"/>
        </w:rPr>
        <w:t xml:space="preserve">II.1 - Introduction . . . . . . . . . . . . . . . . . . . . . . . . . . . . . . . . . . . . . . . 48</w:t>
      </w:r>
    </w:p>
    <w:p>
      <w:pPr>
        <w:spacing w:after="40" w:before="40"/>
      </w:pPr>
      <w:r>
        <w:rPr>
          <w:rFonts w:ascii="Times New Roman" w:cs="Times New Roman" w:eastAsia="Times New Roman" w:hAnsi="Times New Roman"/>
          <w:sz w:val="20"/>
          <w:szCs w:val="20"/>
        </w:rPr>
        <w:t xml:space="preserve">II.2 - Modèles statistiques et machine learning classiques pour les PFAS . . . . . . . 50</w:t>
      </w:r>
    </w:p>
    <w:p>
      <w:pPr>
        <w:spacing w:after="40" w:before="40"/>
      </w:pPr>
      <w:r>
        <w:rPr>
          <w:rFonts w:ascii="Times New Roman" w:cs="Times New Roman" w:eastAsia="Times New Roman" w:hAnsi="Times New Roman"/>
          <w:sz w:val="20"/>
          <w:szCs w:val="20"/>
        </w:rPr>
        <w:t xml:space="preserve">II.3 - Approches basées sur l'apprentissage profond et les graphes . . . . . . . . . . . 57</w:t>
      </w:r>
    </w:p>
    <w:p>
      <w:pPr>
        <w:spacing w:after="40" w:before="40"/>
      </w:pPr>
      <w:r>
        <w:rPr>
          <w:rFonts w:ascii="Times New Roman" w:cs="Times New Roman" w:eastAsia="Times New Roman" w:hAnsi="Times New Roman"/>
          <w:sz w:val="20"/>
          <w:szCs w:val="20"/>
        </w:rPr>
        <w:t xml:space="preserve">II.4 - Analyse comparative des approches existantes . . . . . . . . . . . . . . . . . . . 65</w:t>
      </w:r>
    </w:p>
    <w:p>
      <w:pPr>
        <w:spacing w:after="120" w:before="40"/>
      </w:pPr>
      <w:r>
        <w:rPr>
          <w:rFonts w:ascii="Times New Roman" w:cs="Times New Roman" w:eastAsia="Times New Roman" w:hAnsi="Times New Roman"/>
          <w:sz w:val="20"/>
          <w:szCs w:val="20"/>
        </w:rPr>
        <w:t xml:space="preserve">II.5 - Synthèse . . . . . . . . . . . . . . . . . . . . . . . . . . . . . . . . . . . . . . . . 68</w:t>
      </w:r>
    </w:p>
    <w:p>
      <w:r>
        <w:rPr>
          <w:sz w:val="22"/>
          <w:szCs w:val="22"/>
        </w:rPr>
        <w:t xml:space="preserve"/>
      </w:r>
    </w:p>
    <w:p>
      <w:pPr>
        <w:pStyle w:val="Heading2"/>
        <w:spacing w:after="160" w:before="280"/>
      </w:pPr>
      <w:r>
        <w:rPr>
          <w:rFonts w:ascii="Times New Roman" w:cs="Times New Roman" w:eastAsia="Times New Roman" w:hAnsi="Times New Roman"/>
          <w:b/>
          <w:bCs/>
          <w:sz w:val="24"/>
          <w:szCs w:val="24"/>
        </w:rPr>
        <w:t xml:space="preserve">II.1. Introduction</w:t>
      </w:r>
    </w:p>
    <w:p>
      <w:pPr>
        <w:spacing w:after="120" w:before="120"/>
        <w:ind w:firstLine="720"/>
        <w:jc w:val="both"/>
      </w:pPr>
      <w:r>
        <w:rPr>
          <w:rFonts w:ascii="Times New Roman" w:cs="Times New Roman" w:eastAsia="Times New Roman" w:hAnsi="Times New Roman"/>
          <w:b w:val="false"/>
          <w:bCs w:val="false"/>
          <w:sz w:val="22"/>
          <w:szCs w:val="22"/>
        </w:rPr>
        <w:t xml:space="preserve">Les substances per- et polyfluoroalkylées, communément désignées sous l'acronyme PFAS (</w:t>
      </w:r>
      <w:r>
        <w:rPr>
          <w:rFonts w:ascii="Times New Roman" w:cs="Times New Roman" w:eastAsia="Times New Roman" w:hAnsi="Times New Roman"/>
          <w:b w:val="false"/>
          <w:bCs w:val="false"/>
          <w:sz w:val="22"/>
          <w:szCs w:val="22"/>
        </w:rPr>
        <w:t xml:space="preserve">Per- and Polyfluoroalkyl Substances</w:t>
      </w:r>
      <w:r>
        <w:rPr>
          <w:rFonts w:ascii="Times New Roman" w:cs="Times New Roman" w:eastAsia="Times New Roman" w:hAnsi="Times New Roman"/>
          <w:b w:val="false"/>
          <w:bCs w:val="false"/>
          <w:sz w:val="22"/>
          <w:szCs w:val="22"/>
        </w:rPr>
        <w:t xml:space="preserve">), constituent aujourd'hui l'une des familles de polluants les plus préoccupantes pour la santé publique et l'environnement à l'échelle mondiale. Désignées par certains spécialistes comme des « produits chimiques éternels », elles doivent cette appellation à la remarquable stabilité de la liaison carbone-fluor — l'une des plus robustes en chimie organique —, qui leur confère une persistance environnementale exceptionnelle, avec des demi-vies pouvant s'étendre sur plusieurs décennies, voire des siècles [11].</w:t>
      </w:r>
    </w:p>
    <w:p>
      <w:pPr>
        <w:spacing w:after="120" w:before="120"/>
        <w:ind w:firstLine="720"/>
        <w:jc w:val="both"/>
      </w:pPr>
      <w:r>
        <w:rPr>
          <w:rFonts w:ascii="Times New Roman" w:cs="Times New Roman" w:eastAsia="Times New Roman" w:hAnsi="Times New Roman"/>
          <w:b w:val="false"/>
          <w:bCs w:val="false"/>
          <w:sz w:val="22"/>
          <w:szCs w:val="22"/>
        </w:rPr>
        <w:t xml:space="preserve">Depuis leur introduction industrielle dans les années 1940, les PFAS ont été massivement utilisés dans des applications variées : agents anti-adhésifs, mousses extinctrices filmogènes (AFFF), revêtements imperméables, emballages alimentaires, cosmétiques et fluoropolymères industriels. Cette omniprésence dans la chaîne de production et de consommation a conduit à une contamination généralisée des milieux naturels, affectant les eaux de surface, les eaux souterraines, les sols et même l'atmosphère [12]. De multiples études épidémiologiques ont mis en évidence les effets délétères de l'exposition humaine à ces composés, notamment l'immunotoxicité, les perturbations endocriniennes, le risque accru de certains cancers et des effets néfastes sur le développement de l'enfant [7].</w:t>
      </w:r>
    </w:p>
    <w:p>
      <w:pPr>
        <w:spacing w:after="120" w:before="120"/>
        <w:ind w:firstLine="720"/>
        <w:jc w:val="both"/>
      </w:pPr>
      <w:r>
        <w:rPr>
          <w:rFonts w:ascii="Times New Roman" w:cs="Times New Roman" w:eastAsia="Times New Roman" w:hAnsi="Times New Roman"/>
          <w:b w:val="false"/>
          <w:bCs w:val="false"/>
          <w:sz w:val="22"/>
          <w:szCs w:val="22"/>
        </w:rPr>
        <w:t xml:space="preserve">Face à l'ampleur de ce défi, les agences réglementaires internationales ont progressivement durci leurs exigences. L'Agence de protection de l'environnement des États-Unis (US EPA) a notamment établi, en 2023, des niveaux maximaux de contaminants (MCL) à hauteur de 4 ng/L pour le PFOS et le PFOA, les deux composés les plus étudiés [19]. Cette évolution réglementaire place les gestionnaires de réseaux d'eau potable et les autorités environnementales sous une pression considérable pour étendre et affiner leurs programmes de surveillance.</w:t>
      </w:r>
    </w:p>
    <w:p>
      <w:pPr>
        <w:spacing w:after="120" w:before="120"/>
        <w:ind w:firstLine="720"/>
        <w:jc w:val="both"/>
      </w:pPr>
      <w:r>
        <w:rPr>
          <w:rFonts w:ascii="Times New Roman" w:cs="Times New Roman" w:eastAsia="Times New Roman" w:hAnsi="Times New Roman"/>
          <w:b w:val="false"/>
          <w:bCs w:val="false"/>
          <w:sz w:val="22"/>
          <w:szCs w:val="22"/>
        </w:rPr>
        <w:t xml:space="preserve">Or, la surveillance exhaustive des réseaux de captage reste une entreprise coûteuse et complexe. D'une part, il existe plusieurs milliers de composés PFAS distincts, dont la grande majorité demeure peu ou pas analysée en routine. D'autre part, les mécanismes qui gouvernent la distribution spatiale de ces contaminants dans les eaux souterraines font intervenir de nombreux facteurs interdépendants : la proximité des sources industrielles ou militaires, les propriétés hydrogéologiques des aquifères, les dynamiques de transport en subsurface et les phénomènes de sorption [13, 15]. Il s'ensuit que la prédiction de la contamination aux PFAS s'impose comme un problème intrinsèquement multivariable et multi-échelle, qui dépasse les capacités des approches statistiques conventionnelles.</w:t>
      </w:r>
    </w:p>
    <w:p>
      <w:pPr>
        <w:spacing w:after="120" w:before="120"/>
        <w:ind w:firstLine="720"/>
        <w:jc w:val="both"/>
      </w:pPr>
      <w:r>
        <w:rPr>
          <w:rFonts w:ascii="Times New Roman" w:cs="Times New Roman" w:eastAsia="Times New Roman" w:hAnsi="Times New Roman"/>
          <w:b w:val="false"/>
          <w:bCs w:val="false"/>
          <w:sz w:val="22"/>
          <w:szCs w:val="22"/>
        </w:rPr>
        <w:t xml:space="preserve">C'est dans ce contexte que l'intelligence artificielle (IA) et l'apprentissage automatique ont progressivement investi le champ de la surveillance environnementale. Depuis les premières applications au début des années 2010, la littérature scientifique a connu une croissance soutenue de travaux mobilisant des algorithmes d'apprentissage pour prédire ou classer des observations PFAS. Ces travaux embrassent un spectre très large de méthodes : des modèles statistiques bayésiens [2], aux forêts aléatoires et aux méthodes de gradient boosting [1, 17], en passant par les architectures de réseaux de neurones profonds [4] et, plus récemment, les réseaux de neurones sur graphes hétérogènes [5].</w:t>
      </w:r>
    </w:p>
    <w:p>
      <w:pPr>
        <w:spacing w:after="120" w:before="120"/>
        <w:ind w:firstLine="720"/>
        <w:jc w:val="both"/>
      </w:pPr>
      <w:r>
        <w:rPr>
          <w:rFonts w:ascii="Times New Roman" w:cs="Times New Roman" w:eastAsia="Times New Roman" w:hAnsi="Times New Roman"/>
          <w:b w:val="false"/>
          <w:bCs w:val="false"/>
          <w:sz w:val="22"/>
          <w:szCs w:val="22"/>
        </w:rPr>
        <w:t xml:space="preserve">Le présent chapitre propose un état de l'art structuré de ces approches. Dans un premier temps, nous passons en revue les méthodes statistiques et de machine learning classiques appliquées à la prédiction des PFAS (section II.2), en distinguant les approches bayésiennes des techniques de type ensemble. Dans un second temps, nous explorons les architectures d'apprentissage profond et les modèles basés sur les graphes (section II.3), qui représentent l'évolution la plus récente du domaine. La section II.4 propose une analyse comparative des approches existantes, mettant en lumière les distinctions fondamentales entre mode confirmatoire et mode prédictif, avant que la section II.5 ne synthétise les enseignements tirés de cette revue.</w:t>
      </w:r>
    </w:p>
    <w:p>
      <w:r>
        <w:rPr>
          <w:sz w:val="22"/>
          <w:szCs w:val="22"/>
        </w:rPr>
        <w:t xml:space="preserve"/>
      </w:r>
    </w:p>
    <w:p>
      <w:pPr>
        <w:pStyle w:val="Heading2"/>
        <w:spacing w:after="160" w:before="280"/>
      </w:pPr>
      <w:r>
        <w:rPr>
          <w:rFonts w:ascii="Times New Roman" w:cs="Times New Roman" w:eastAsia="Times New Roman" w:hAnsi="Times New Roman"/>
          <w:b/>
          <w:bCs/>
          <w:sz w:val="24"/>
          <w:szCs w:val="24"/>
        </w:rPr>
        <w:t xml:space="preserve">II.2. Modèles statistiques et machine learning classiques pour les PFAS</w:t>
      </w:r>
    </w:p>
    <w:p>
      <w:pPr>
        <w:spacing w:after="120" w:before="120"/>
        <w:ind w:firstLine="720"/>
        <w:jc w:val="both"/>
      </w:pPr>
      <w:r>
        <w:rPr>
          <w:rFonts w:ascii="Times New Roman" w:cs="Times New Roman" w:eastAsia="Times New Roman" w:hAnsi="Times New Roman"/>
          <w:b w:val="false"/>
          <w:bCs w:val="false"/>
          <w:sz w:val="22"/>
          <w:szCs w:val="22"/>
        </w:rPr>
        <w:t xml:space="preserve">Avant l'avènement des architectures de deep learning, la prédiction de la contamination aux PFAS a été principalement abordée au moyen de méthodes statistiques et d'algorithmes d'apprentissage automatique dits « classiques ». Ces approches, qui restent aujourd'hui des références incontournables dans la littérature, se caractérisent par leur interprétabilité et leur relative simplicité de mise en œuvre, tout en offrant des performances compétitives sur les jeux de données tabulaires. Cette section présente les deux grandes familles que constituent les réseaux bayésiens (II.2.1) et les méthodes d'ensemble de type gradient boosting (II.2.2).</w:t>
      </w:r>
    </w:p>
    <w:p>
      <w:pPr>
        <w:pStyle w:val="Heading3"/>
        <w:spacing w:after="120" w:before="200"/>
      </w:pPr>
      <w:r>
        <w:rPr>
          <w:rFonts w:ascii="Times New Roman" w:cs="Times New Roman" w:eastAsia="Times New Roman" w:hAnsi="Times New Roman"/>
          <w:b/>
          <w:bCs/>
          <w:sz w:val="22"/>
          <w:szCs w:val="22"/>
        </w:rPr>
        <w:t xml:space="preserve">II.2.1. Modèles basés sur les réseaux bayésiens</w:t>
      </w:r>
    </w:p>
    <w:p>
      <w:pPr>
        <w:spacing w:after="120" w:before="120"/>
        <w:ind w:firstLine="720"/>
        <w:jc w:val="both"/>
      </w:pPr>
      <w:r>
        <w:rPr>
          <w:rFonts w:ascii="Times New Roman" w:cs="Times New Roman" w:eastAsia="Times New Roman" w:hAnsi="Times New Roman"/>
          <w:b w:val="false"/>
          <w:bCs w:val="false"/>
          <w:sz w:val="22"/>
          <w:szCs w:val="22"/>
        </w:rPr>
        <w:t xml:space="preserve">Les réseaux bayésiens constituent une approche probabiliste particulièrement adaptée aux problèmes environnementaux où les données sont parcellaires, incomplètes ou entachées d'incertitude — ce qui est presque toujours le cas pour les PFAS, dont la détection est soumise à des limites analytiques variables et à des programmes de surveillance hétérogènes.</w:t>
      </w:r>
    </w:p>
    <w:p>
      <w:pPr>
        <w:spacing w:after="100" w:before="180"/>
      </w:pPr>
      <w:r>
        <w:rPr>
          <w:rFonts w:ascii="Times New Roman" w:cs="Times New Roman" w:eastAsia="Times New Roman" w:hAnsi="Times New Roman"/>
          <w:b/>
          <w:bCs/>
          <w:sz w:val="22"/>
          <w:szCs w:val="22"/>
          <w:u w:val="single"/>
        </w:rPr>
        <w:t xml:space="preserve">Travaux de Li et MacDonald Gibson (2022)</w:t>
      </w:r>
    </w:p>
    <w:p>
      <w:pPr>
        <w:spacing w:after="120" w:before="120"/>
        <w:ind w:firstLine="720"/>
        <w:jc w:val="both"/>
      </w:pPr>
      <w:r>
        <w:rPr>
          <w:rFonts w:ascii="Times New Roman" w:cs="Times New Roman" w:eastAsia="Times New Roman" w:hAnsi="Times New Roman"/>
          <w:b w:val="false"/>
          <w:bCs w:val="false"/>
          <w:sz w:val="22"/>
          <w:szCs w:val="22"/>
        </w:rPr>
        <w:t xml:space="preserve">Problème et aspects traités</w:t>
      </w:r>
      <w:r>
        <w:rPr>
          <w:rFonts w:ascii="Times New Roman" w:cs="Times New Roman" w:eastAsia="Times New Roman" w:hAnsi="Times New Roman"/>
          <w:b w:val="false"/>
          <w:bCs w:val="false"/>
          <w:sz w:val="22"/>
          <w:szCs w:val="22"/>
        </w:rPr>
        <w:t xml:space="preserve"> : Li et MacDonald Gibson [2] s'intéressent à la prédiction de l'occurrence des PFAS à chaîne courte dans les eaux souterraines, un groupe de composés réputé particulièrement difficile à modéliser en raison de leur mobilité accrue et de leur faible taux de détection dans les bases de données disponibles. Les auteurs soulignent que ces composés, qui ont progressivement remplacé les PFAS à chaîne longue dans de nombreuses applications industrielles, constituent un angle mort des outils prédictifs existants.</w:t>
      </w:r>
    </w:p>
    <w:p>
      <w:pPr>
        <w:spacing w:after="120" w:before="120"/>
        <w:ind w:firstLine="720"/>
        <w:jc w:val="both"/>
      </w:pPr>
      <w:r>
        <w:rPr>
          <w:rFonts w:ascii="Times New Roman" w:cs="Times New Roman" w:eastAsia="Times New Roman" w:hAnsi="Times New Roman"/>
          <w:b w:val="false"/>
          <w:bCs w:val="false"/>
          <w:sz w:val="22"/>
          <w:szCs w:val="22"/>
        </w:rPr>
        <w:t xml:space="preserve">Approche et solution apportée</w:t>
      </w:r>
      <w:r>
        <w:rPr>
          <w:rFonts w:ascii="Times New Roman" w:cs="Times New Roman" w:eastAsia="Times New Roman" w:hAnsi="Times New Roman"/>
          <w:b w:val="false"/>
          <w:bCs w:val="false"/>
          <w:sz w:val="22"/>
          <w:szCs w:val="22"/>
        </w:rPr>
        <w:t xml:space="preserve"> : Pour relever ce défi, les auteurs proposent un cadre de modélisation reposant sur des réseaux bayésiens appris par machine learning (</w:t>
      </w:r>
      <w:r>
        <w:rPr>
          <w:rFonts w:ascii="Times New Roman" w:cs="Times New Roman" w:eastAsia="Times New Roman" w:hAnsi="Times New Roman"/>
          <w:b w:val="false"/>
          <w:bCs w:val="false"/>
          <w:sz w:val="22"/>
          <w:szCs w:val="22"/>
        </w:rPr>
        <w:t xml:space="preserve">machine-learned Bayesian networks</w:t>
      </w:r>
      <w:r>
        <w:rPr>
          <w:rFonts w:ascii="Times New Roman" w:cs="Times New Roman" w:eastAsia="Times New Roman" w:hAnsi="Times New Roman"/>
          <w:b w:val="false"/>
          <w:bCs w:val="false"/>
          <w:sz w:val="22"/>
          <w:szCs w:val="22"/>
        </w:rPr>
        <w:t xml:space="preserve">). Cette architecture permet de capturer les dépendances conditionnelles entre un ensemble de variables de contexte — proximité des sources, caractéristiques hydrogéologiques, données démographiques — et la probabilité d'occurrence des différents composés PFAS. L'un des atouts majeurs de cette approche est sa capacité à fournir des intervalles de crédibilité autour des estimations ponctuelles, ce qui la rend particulièrement pertinente pour la prise de décision en matière de gestion du risque.</w:t>
      </w:r>
    </w:p>
    <w:p>
      <w:pPr>
        <w:spacing w:after="120" w:before="120"/>
        <w:ind w:firstLine="720"/>
        <w:jc w:val="both"/>
      </w:pPr>
      <w:r>
        <w:rPr>
          <w:rFonts w:ascii="Times New Roman" w:cs="Times New Roman" w:eastAsia="Times New Roman" w:hAnsi="Times New Roman"/>
          <w:b w:val="false"/>
          <w:bCs w:val="false"/>
          <w:sz w:val="22"/>
          <w:szCs w:val="22"/>
        </w:rPr>
        <w:t xml:space="preserve">Résultats et gains obtenus</w:t>
      </w:r>
      <w:r>
        <w:rPr>
          <w:rFonts w:ascii="Times New Roman" w:cs="Times New Roman" w:eastAsia="Times New Roman" w:hAnsi="Times New Roman"/>
          <w:b w:val="false"/>
          <w:bCs w:val="false"/>
          <w:sz w:val="22"/>
          <w:szCs w:val="22"/>
        </w:rPr>
        <w:t xml:space="preserve"> : Les résultats font état d'une aire sous la courbe ROC (AUC) d'environ 0,78 pour la prédiction des PFAS à chaîne courte. Bien que ce niveau de performance soit inférieur à ce que l'on observe pour les PFAS à longue chaîne avec d'autres méthodes, il représente une contribution significative compte tenu de la rareté des données disponibles pour ces composés. L'approche bayésienne permet ainsi de raisonner de manière probabiliste dans des conditions de forte incertitude, ce qui constitue un avantage opérationnel décisif pour les régulateurs. Toutefois, Li et MacDonald Gibson reconnaissent que la dépendance aux structures de réseau appris sur un jeu de données régional limite la portée géographique directe du modèle, un défi qui se posera de manière récurrente dans la littérature [8].</w:t>
      </w:r>
    </w:p>
    <w:p>
      <w:r>
        <w:rPr>
          <w:sz w:val="22"/>
          <w:szCs w:val="22"/>
        </w:rPr>
        <w:t xml:space="preserve"/>
      </w:r>
    </w:p>
    <w:p>
      <w:pPr>
        <w:spacing w:after="120" w:before="120"/>
        <w:ind w:firstLine="720"/>
        <w:jc w:val="both"/>
      </w:pPr>
      <w:r>
        <w:rPr>
          <w:rFonts w:ascii="Times New Roman" w:cs="Times New Roman" w:eastAsia="Times New Roman" w:hAnsi="Times New Roman"/>
          <w:b w:val="false"/>
          <w:bCs w:val="false"/>
          <w:sz w:val="22"/>
          <w:szCs w:val="22"/>
        </w:rPr>
        <w:t xml:space="preserve">Au-delà de ce travail fondateur, McMahon et al. [8] ont mené une investigation statistique à grande échelle sur les profils d'occurrence des PFAS dans les eaux souterraines destinées à la consommation humaine dans l'est des États-Unis. Bien que leur approche soit davantage descriptive que prédictive, elle fournit un cadre empirique de référence qui met en évidence la structuration spatiale de la contamination et son lien étroit avec les facteurs contextuels. Ces travaux soulignent l'importance de disposer d'indicateurs de proximité aux sources pour tout modèle prédictif crédible.</w:t>
      </w:r>
    </w:p>
    <w:p>
      <w:pPr>
        <w:spacing w:after="120" w:before="120"/>
        <w:ind w:firstLine="720"/>
        <w:jc w:val="both"/>
      </w:pPr>
      <w:r>
        <w:rPr>
          <w:rFonts w:ascii="Times New Roman" w:cs="Times New Roman" w:eastAsia="Times New Roman" w:hAnsi="Times New Roman"/>
          <w:b w:val="false"/>
          <w:bCs w:val="false"/>
          <w:sz w:val="22"/>
          <w:szCs w:val="22"/>
        </w:rPr>
        <w:t xml:space="preserve">Hu et al. [16], dans un travail complémentaire, ont développé une approche statistique spécifiquement dédiée à l'identification des puits privés exposés au risque de contamination PFAS. En mobilisant des variables de contexte — densité d'installations militaires, proximité d'usines de traitement des eaux usées, caractéristiques pédologiques — ils parviennent à établir des cartes de vulnérabilité offrant une aide précieuse à la priorisation des actions de surveillance sur le territoire américain [16]. Ces travaux illustrent bien la valeur ajoutée d'une approche centrée sur le contexte environnemental, y compris en l'absence de mesures chimiques directes.</w:t>
      </w:r>
    </w:p>
    <w:p>
      <w:pPr>
        <w:pStyle w:val="Heading3"/>
        <w:spacing w:after="120" w:before="200"/>
      </w:pPr>
      <w:r>
        <w:rPr>
          <w:rFonts w:ascii="Times New Roman" w:cs="Times New Roman" w:eastAsia="Times New Roman" w:hAnsi="Times New Roman"/>
          <w:b/>
          <w:bCs/>
          <w:sz w:val="22"/>
          <w:szCs w:val="22"/>
        </w:rPr>
        <w:t xml:space="preserve">II.2.2. Forêts aléatoires et gradient boosting</w:t>
      </w:r>
    </w:p>
    <w:p>
      <w:pPr>
        <w:spacing w:after="120" w:before="120"/>
        <w:ind w:firstLine="720"/>
        <w:jc w:val="both"/>
      </w:pPr>
      <w:r>
        <w:rPr>
          <w:rFonts w:ascii="Times New Roman" w:cs="Times New Roman" w:eastAsia="Times New Roman" w:hAnsi="Times New Roman"/>
          <w:b w:val="false"/>
          <w:bCs w:val="false"/>
          <w:sz w:val="22"/>
          <w:szCs w:val="22"/>
        </w:rPr>
        <w:t xml:space="preserve">Parmi les approches de machine learning classique, les méthodes d'ensemble basées sur les arbres de décision — et en particulier les forêts aléatoires (</w:t>
      </w:r>
      <w:r>
        <w:rPr>
          <w:rFonts w:ascii="Times New Roman" w:cs="Times New Roman" w:eastAsia="Times New Roman" w:hAnsi="Times New Roman"/>
          <w:b w:val="false"/>
          <w:bCs w:val="false"/>
          <w:sz w:val="22"/>
          <w:szCs w:val="22"/>
        </w:rPr>
        <w:t xml:space="preserve">Random Forests</w:t>
      </w:r>
      <w:r>
        <w:rPr>
          <w:rFonts w:ascii="Times New Roman" w:cs="Times New Roman" w:eastAsia="Times New Roman" w:hAnsi="Times New Roman"/>
          <w:b w:val="false"/>
          <w:bCs w:val="false"/>
          <w:sz w:val="22"/>
          <w:szCs w:val="22"/>
        </w:rPr>
        <w:t xml:space="preserve">) et les algorithmes de gradient boosting — se sont imposées comme les références de facto pour les problèmes de classification tabulaire en environnement. Leur capacité à traiter naturellement des données mixtes, hétérogènes et partiellement manquantes, combinée à leur robustesse au sur-apprentissage, les rend particulièrement adaptées aux jeux de données environnementaux.</w:t>
      </w:r>
    </w:p>
    <w:p>
      <w:pPr>
        <w:spacing w:after="100" w:before="180"/>
      </w:pPr>
      <w:r>
        <w:rPr>
          <w:rFonts w:ascii="Times New Roman" w:cs="Times New Roman" w:eastAsia="Times New Roman" w:hAnsi="Times New Roman"/>
          <w:b/>
          <w:bCs/>
          <w:sz w:val="22"/>
          <w:szCs w:val="22"/>
          <w:u w:val="single"/>
        </w:rPr>
        <w:t xml:space="preserve">Travaux de George et Dixit (2021)</w:t>
      </w:r>
    </w:p>
    <w:p>
      <w:pPr>
        <w:spacing w:after="120" w:before="120"/>
        <w:ind w:firstLine="720"/>
        <w:jc w:val="both"/>
      </w:pPr>
      <w:r>
        <w:rPr>
          <w:rFonts w:ascii="Times New Roman" w:cs="Times New Roman" w:eastAsia="Times New Roman" w:hAnsi="Times New Roman"/>
          <w:b w:val="false"/>
          <w:bCs w:val="false"/>
          <w:sz w:val="22"/>
          <w:szCs w:val="22"/>
        </w:rPr>
        <w:t xml:space="preserve">Problème et aspects traités</w:t>
      </w:r>
      <w:r>
        <w:rPr>
          <w:rFonts w:ascii="Times New Roman" w:cs="Times New Roman" w:eastAsia="Times New Roman" w:hAnsi="Times New Roman"/>
          <w:b w:val="false"/>
          <w:bCs w:val="false"/>
          <w:sz w:val="22"/>
          <w:szCs w:val="22"/>
        </w:rPr>
        <w:t xml:space="preserve"> : George et Dixit [1] proposent l'un des premiers cadres dédié à la priorisation des puits de surveillance pour les PFAS à l'aide du machine learning. Leur travail part du constat que les budgets alloués à la surveillance des eaux souterraines sont nécessairement limités, et qu'il est donc impératif de disposer d'outils capables d'orienter les efforts d'échantillonnage vers les sites présentant le plus grand risque de dépassement des niveaux sanitaires de référence.</w:t>
      </w:r>
    </w:p>
    <w:p>
      <w:pPr>
        <w:spacing w:after="120" w:before="120"/>
        <w:ind w:firstLine="720"/>
        <w:jc w:val="both"/>
      </w:pPr>
      <w:r>
        <w:rPr>
          <w:rFonts w:ascii="Times New Roman" w:cs="Times New Roman" w:eastAsia="Times New Roman" w:hAnsi="Times New Roman"/>
          <w:b w:val="false"/>
          <w:bCs w:val="false"/>
          <w:sz w:val="22"/>
          <w:szCs w:val="22"/>
        </w:rPr>
        <w:t xml:space="preserve">Approche et solution apportée</w:t>
      </w:r>
      <w:r>
        <w:rPr>
          <w:rFonts w:ascii="Times New Roman" w:cs="Times New Roman" w:eastAsia="Times New Roman" w:hAnsi="Times New Roman"/>
          <w:b w:val="false"/>
          <w:bCs w:val="false"/>
          <w:sz w:val="22"/>
          <w:szCs w:val="22"/>
        </w:rPr>
        <w:t xml:space="preserve"> : Les auteurs entraînent et comparent deux classifieurs d'ensemble — une forêt aléatoire et un modèle XGBoost [17] — sur un jeu de données contenant des caractéristiques hydrogéologiques, de proximité aux sources et de contexte géographique. Une attention particulière est portée à la sélection des variables et au traitement du déséquilibre de classes, inhérent aux jeux de données de contamination où les non-détections sont largement majoritaires.</w:t>
      </w:r>
    </w:p>
    <w:p>
      <w:pPr>
        <w:spacing w:after="120" w:before="120"/>
        <w:ind w:firstLine="720"/>
        <w:jc w:val="both"/>
      </w:pPr>
      <w:r>
        <w:rPr>
          <w:rFonts w:ascii="Times New Roman" w:cs="Times New Roman" w:eastAsia="Times New Roman" w:hAnsi="Times New Roman"/>
          <w:b w:val="false"/>
          <w:bCs w:val="false"/>
          <w:sz w:val="22"/>
          <w:szCs w:val="22"/>
        </w:rPr>
        <w:t xml:space="preserve">Résultats et gains obtenus</w:t>
      </w:r>
      <w:r>
        <w:rPr>
          <w:rFonts w:ascii="Times New Roman" w:cs="Times New Roman" w:eastAsia="Times New Roman" w:hAnsi="Times New Roman"/>
          <w:b w:val="false"/>
          <w:bCs w:val="false"/>
          <w:sz w:val="22"/>
          <w:szCs w:val="22"/>
        </w:rPr>
        <w:t xml:space="preserve"> : Leurs expériences atteignent une précision supérieure à 85 % pour la classification binaire contaminé / non contaminé. Sur le jeu de données de référence de George et Dixit, la forêt aléatoire affiche une AUC de 0,948 et un F1 de 0,964, tandis que XGBoost atteint respectivement 0,906 et 0,878. Ces résultats établissent une première base solide pour la priorisation fondée sur les données, et positionnent XGBoost comme un concurrent sérieux des méthodes bayésiennes dans ce contexte applicatif. Néanmoins, comme le notent eux-mêmes les auteurs, leur modèle repose sur des caractéristiques contextuelles disponibles a priori, et ne traite pas explicitement la distinction entre un usage confirmatoire (où les mesures chimiques sont disponibles) et un usage véritablement prédictif (en amont de tout échantillonnage) [1].</w:t>
      </w:r>
    </w:p>
    <w:p>
      <w:r>
        <w:rPr>
          <w:sz w:val="22"/>
          <w:szCs w:val="22"/>
        </w:rPr>
        <w:t xml:space="preserve"/>
      </w:r>
    </w:p>
    <w:p>
      <w:pPr>
        <w:spacing w:after="100" w:before="180"/>
      </w:pPr>
      <w:r>
        <w:rPr>
          <w:rFonts w:ascii="Times New Roman" w:cs="Times New Roman" w:eastAsia="Times New Roman" w:hAnsi="Times New Roman"/>
          <w:b/>
          <w:bCs/>
          <w:sz w:val="22"/>
          <w:szCs w:val="22"/>
          <w:u w:val="single"/>
        </w:rPr>
        <w:t xml:space="preserve">Travaux de Kibbey et al. (2020)</w:t>
      </w:r>
    </w:p>
    <w:p>
      <w:pPr>
        <w:spacing w:after="120" w:before="120"/>
        <w:ind w:firstLine="720"/>
        <w:jc w:val="both"/>
      </w:pPr>
      <w:r>
        <w:rPr>
          <w:rFonts w:ascii="Times New Roman" w:cs="Times New Roman" w:eastAsia="Times New Roman" w:hAnsi="Times New Roman"/>
          <w:b w:val="false"/>
          <w:bCs w:val="false"/>
          <w:sz w:val="22"/>
          <w:szCs w:val="22"/>
        </w:rPr>
        <w:t xml:space="preserve">Problème et aspects traités</w:t>
      </w:r>
      <w:r>
        <w:rPr>
          <w:rFonts w:ascii="Times New Roman" w:cs="Times New Roman" w:eastAsia="Times New Roman" w:hAnsi="Times New Roman"/>
          <w:b w:val="false"/>
          <w:bCs w:val="false"/>
          <w:sz w:val="22"/>
          <w:szCs w:val="22"/>
        </w:rPr>
        <w:t xml:space="preserve"> : Kibbey et al. [9] abordent une problématique connexe mais distincte : l'attribution des sources de contamination PFAS dans des échantillons environnementaux. Leur enjeu est de déterminer, à partir de l'empreinte chimique d'un échantillon d'eau, quels types de sources industrielles sont responsables de la contamination observée.</w:t>
      </w:r>
    </w:p>
    <w:p>
      <w:pPr>
        <w:spacing w:after="120" w:before="120"/>
        <w:ind w:firstLine="720"/>
        <w:jc w:val="both"/>
      </w:pPr>
      <w:r>
        <w:rPr>
          <w:rFonts w:ascii="Times New Roman" w:cs="Times New Roman" w:eastAsia="Times New Roman" w:hAnsi="Times New Roman"/>
          <w:b w:val="false"/>
          <w:bCs w:val="false"/>
          <w:sz w:val="22"/>
          <w:szCs w:val="22"/>
        </w:rPr>
        <w:t xml:space="preserve">Approche et solution apportée</w:t>
      </w:r>
      <w:r>
        <w:rPr>
          <w:rFonts w:ascii="Times New Roman" w:cs="Times New Roman" w:eastAsia="Times New Roman" w:hAnsi="Times New Roman"/>
          <w:b w:val="false"/>
          <w:bCs w:val="false"/>
          <w:sz w:val="22"/>
          <w:szCs w:val="22"/>
        </w:rPr>
        <w:t xml:space="preserve"> : Les auteurs mobilisent des algorithmes de machine learning supervisé appliqués à des données de fingerprinting chimique. La représentation multi-analytique des échantillons — qui donne accès aux profils relatifs de dizaines de composés PFAS — est exploitée comme signature discriminante pour classifier les sources. Cette démarche s'appuie sur la diversité structurale des PFAS pour extraire des motifs diagnostiques propres à chaque type de source.</w:t>
      </w:r>
    </w:p>
    <w:p>
      <w:pPr>
        <w:spacing w:after="120" w:before="120"/>
        <w:ind w:firstLine="720"/>
        <w:jc w:val="both"/>
      </w:pPr>
      <w:r>
        <w:rPr>
          <w:rFonts w:ascii="Times New Roman" w:cs="Times New Roman" w:eastAsia="Times New Roman" w:hAnsi="Times New Roman"/>
          <w:b w:val="false"/>
          <w:bCs w:val="false"/>
          <w:sz w:val="22"/>
          <w:szCs w:val="22"/>
        </w:rPr>
        <w:t xml:space="preserve">Résultats et gains obtenus</w:t>
      </w:r>
      <w:r>
        <w:rPr>
          <w:rFonts w:ascii="Times New Roman" w:cs="Times New Roman" w:eastAsia="Times New Roman" w:hAnsi="Times New Roman"/>
          <w:b w:val="false"/>
          <w:bCs w:val="false"/>
          <w:sz w:val="22"/>
          <w:szCs w:val="22"/>
        </w:rPr>
        <w:t xml:space="preserve"> : Leur approche atteint une précision d'environ 90 % pour l'allocation des sources, démontrant que le machine learning peut extraire des motifs diagnostiques robustes à partir de données de mélanges complexes. Ces travaux ouvrent une perspective nouvelle : la richesse chimique des jeux de données multi-analytiques est une information en soi, qui peut être exploitée bien au-delà de la simple détection de contamination [9]. Dávila-Santiago et al. [10] étendront par la suite cette logique aux données chimiques non ciblées, montrant qu'il est possible d'identifier des origines de contamination sans même cibler d'analytes spécifiques.</w:t>
      </w:r>
    </w:p>
    <w:p>
      <w:r>
        <w:rPr>
          <w:sz w:val="22"/>
          <w:szCs w:val="22"/>
        </w:rPr>
        <w:t xml:space="preserve"/>
      </w:r>
    </w:p>
    <w:p>
      <w:pPr>
        <w:spacing w:after="100" w:before="180"/>
      </w:pPr>
      <w:r>
        <w:rPr>
          <w:rFonts w:ascii="Times New Roman" w:cs="Times New Roman" w:eastAsia="Times New Roman" w:hAnsi="Times New Roman"/>
          <w:b/>
          <w:bCs/>
          <w:sz w:val="22"/>
          <w:szCs w:val="22"/>
          <w:u w:val="single"/>
        </w:rPr>
        <w:t xml:space="preserve">Gestion du déséquilibre de classes</w:t>
      </w:r>
    </w:p>
    <w:p>
      <w:pPr>
        <w:spacing w:after="120" w:before="120"/>
        <w:ind w:firstLine="720"/>
        <w:jc w:val="both"/>
      </w:pPr>
      <w:r>
        <w:rPr>
          <w:rFonts w:ascii="Times New Roman" w:cs="Times New Roman" w:eastAsia="Times New Roman" w:hAnsi="Times New Roman"/>
          <w:b w:val="false"/>
          <w:bCs w:val="false"/>
          <w:sz w:val="22"/>
          <w:szCs w:val="22"/>
        </w:rPr>
        <w:t xml:space="preserve">Un défi méthodologique transversal à l'ensemble de ces approches est le déséquilibre de classes dans les jeux de données de contamination : les observations positives (détections) sont presque toujours minoritaires face aux non-détections. Pour pallier ce problème, deux techniques de ré-échantillonnage ont été largement adoptées dans la littérature. D'une part, la méthode SMOTE (</w:t>
      </w:r>
      <w:r>
        <w:rPr>
          <w:rFonts w:ascii="Times New Roman" w:cs="Times New Roman" w:eastAsia="Times New Roman" w:hAnsi="Times New Roman"/>
          <w:b w:val="false"/>
          <w:bCs w:val="false"/>
          <w:sz w:val="22"/>
          <w:szCs w:val="22"/>
        </w:rPr>
        <w:t xml:space="preserve">Synthetic Minority Over-sampling Technique</w:t>
      </w:r>
      <w:r>
        <w:rPr>
          <w:rFonts w:ascii="Times New Roman" w:cs="Times New Roman" w:eastAsia="Times New Roman" w:hAnsi="Times New Roman"/>
          <w:b w:val="false"/>
          <w:bCs w:val="false"/>
          <w:sz w:val="22"/>
          <w:szCs w:val="22"/>
        </w:rPr>
        <w:t xml:space="preserve">), proposée par Chawla et al. [19], qui génère des échantillons synthétiques de la classe minoritaire par interpolation dans l'espace des caractéristiques. D'autre part, ADASYN (</w:t>
      </w:r>
      <w:r>
        <w:rPr>
          <w:rFonts w:ascii="Times New Roman" w:cs="Times New Roman" w:eastAsia="Times New Roman" w:hAnsi="Times New Roman"/>
          <w:b w:val="false"/>
          <w:bCs w:val="false"/>
          <w:sz w:val="22"/>
          <w:szCs w:val="22"/>
        </w:rPr>
        <w:t xml:space="preserve">Adaptive Synthetic Sampling Approach</w:t>
      </w:r>
      <w:r>
        <w:rPr>
          <w:rFonts w:ascii="Times New Roman" w:cs="Times New Roman" w:eastAsia="Times New Roman" w:hAnsi="Times New Roman"/>
          <w:b w:val="false"/>
          <w:bCs w:val="false"/>
          <w:sz w:val="22"/>
          <w:szCs w:val="22"/>
        </w:rPr>
        <w:t xml:space="preserve">), développée par He et al. [20], qui raffine cette approche en concentrant la génération synthétique sur les instances les plus difficiles à classifier, situées près de la frontière de décision. Ces deux méthodes sont devenues des composantes quasi-systématiques des pipelines de machine learning en sciences environnementales [4, 5].</w:t>
      </w:r>
    </w:p>
    <w:p>
      <w:r>
        <w:rPr>
          <w:sz w:val="22"/>
          <w:szCs w:val="22"/>
        </w:rPr>
        <w:t xml:space="preserve"/>
      </w:r>
    </w:p>
    <w:p>
      <w:pPr>
        <w:pStyle w:val="Heading2"/>
        <w:spacing w:after="160" w:before="280"/>
      </w:pPr>
      <w:r>
        <w:rPr>
          <w:rFonts w:ascii="Times New Roman" w:cs="Times New Roman" w:eastAsia="Times New Roman" w:hAnsi="Times New Roman"/>
          <w:b/>
          <w:bCs/>
          <w:sz w:val="24"/>
          <w:szCs w:val="24"/>
        </w:rPr>
        <w:t xml:space="preserve">II.3. Approches basées sur l'apprentissage profond et les graphes</w:t>
      </w:r>
    </w:p>
    <w:p>
      <w:pPr>
        <w:spacing w:after="120" w:before="120"/>
        <w:ind w:firstLine="720"/>
        <w:jc w:val="both"/>
      </w:pPr>
      <w:r>
        <w:rPr>
          <w:rFonts w:ascii="Times New Roman" w:cs="Times New Roman" w:eastAsia="Times New Roman" w:hAnsi="Times New Roman"/>
          <w:b w:val="false"/>
          <w:bCs w:val="false"/>
          <w:sz w:val="22"/>
          <w:szCs w:val="22"/>
        </w:rPr>
        <w:t xml:space="preserve">Si les méthodes d'ensemble ont démontré leur efficacité sur les données tabulaires, elles partagent une limitation fondamentale : elles traitent chaque site de surveillance comme un vecteur d'attributs isolé, ignorant la structure relationnelle du réseau de monitoring — la proximité géographique entre puits, la connectivité hydrogéologique, les co-occurrences de contaminants ou le partage de contextes environnementaux. Les architectures d'apprentissage profond, et en particulier les réseaux de neurones sur graphes, ont émergé précisément pour combler cette lacune.</w:t>
      </w:r>
    </w:p>
    <w:p>
      <w:pPr>
        <w:pStyle w:val="Heading3"/>
        <w:spacing w:after="120" w:before="200"/>
      </w:pPr>
      <w:r>
        <w:rPr>
          <w:rFonts w:ascii="Times New Roman" w:cs="Times New Roman" w:eastAsia="Times New Roman" w:hAnsi="Times New Roman"/>
          <w:b/>
          <w:bCs/>
          <w:sz w:val="22"/>
          <w:szCs w:val="22"/>
        </w:rPr>
        <w:t xml:space="preserve">II.3.1. Réseaux de neurones pour la prédiction d'occurrence des PFAS</w:t>
      </w:r>
    </w:p>
    <w:p>
      <w:pPr>
        <w:spacing w:after="120" w:before="120"/>
        <w:ind w:firstLine="720"/>
        <w:jc w:val="both"/>
      </w:pPr>
      <w:r>
        <w:rPr>
          <w:rFonts w:ascii="Times New Roman" w:cs="Times New Roman" w:eastAsia="Times New Roman" w:hAnsi="Times New Roman"/>
          <w:b w:val="false"/>
          <w:bCs w:val="false"/>
          <w:sz w:val="22"/>
          <w:szCs w:val="22"/>
        </w:rPr>
        <w:t xml:space="preserve">L'application des réseaux de neurones profonds à la prédiction de la contamination aux PFAS s'inscrit dans un mouvement plus large d'intégration des architectures de deep learning dans les sciences environnementales. Borisov et al. [25] soulignent toutefois une nuance importante : sur les jeux de données tabulaires de taille petite à moyenne — ce qui est souvent le cas en surveillance environnementale —, les méthodes d'ensemble à base d'arbres surpassent généralement les réseaux de neurones génériques. Ce constat invite à réserver les architectures profondes aux situations où la structure des données (séquentialité, graphes, images) peut être explicitement exploitée.</w:t>
      </w:r>
    </w:p>
    <w:p>
      <w:pPr>
        <w:spacing w:after="100" w:before="180"/>
      </w:pPr>
      <w:r>
        <w:rPr>
          <w:rFonts w:ascii="Times New Roman" w:cs="Times New Roman" w:eastAsia="Times New Roman" w:hAnsi="Times New Roman"/>
          <w:b/>
          <w:bCs/>
          <w:sz w:val="22"/>
          <w:szCs w:val="22"/>
          <w:u w:val="single"/>
        </w:rPr>
        <w:t xml:space="preserve">Travaux de Cheng et Ng (2019)</w:t>
      </w:r>
    </w:p>
    <w:p>
      <w:pPr>
        <w:spacing w:after="120" w:before="120"/>
        <w:ind w:firstLine="720"/>
        <w:jc w:val="both"/>
      </w:pPr>
      <w:r>
        <w:rPr>
          <w:rFonts w:ascii="Times New Roman" w:cs="Times New Roman" w:eastAsia="Times New Roman" w:hAnsi="Times New Roman"/>
          <w:b w:val="false"/>
          <w:bCs w:val="false"/>
          <w:sz w:val="22"/>
          <w:szCs w:val="22"/>
        </w:rPr>
        <w:t xml:space="preserve">Problème et aspects traités</w:t>
      </w:r>
      <w:r>
        <w:rPr>
          <w:rFonts w:ascii="Times New Roman" w:cs="Times New Roman" w:eastAsia="Times New Roman" w:hAnsi="Times New Roman"/>
          <w:b w:val="false"/>
          <w:bCs w:val="false"/>
          <w:sz w:val="22"/>
          <w:szCs w:val="22"/>
        </w:rPr>
        <w:t xml:space="preserve"> : Cheng et Ng [3] s'intéressent à la prédiction de la bioactivité de plus de 3 400 composés PFAS extraits de la liste OCDE, dans un contexte où les données de toxicologie expérimentale ne couvrent qu'une fraction infime de la diversité structurale connue des PFAS. Leur défi est d'exploiter les descripteurs physicochimiques pour inférer des catégories de risque biologiques sans recourir à l'expérimentation animale.</w:t>
      </w:r>
    </w:p>
    <w:p>
      <w:pPr>
        <w:spacing w:after="120" w:before="120"/>
        <w:ind w:firstLine="720"/>
        <w:jc w:val="both"/>
      </w:pPr>
      <w:r>
        <w:rPr>
          <w:rFonts w:ascii="Times New Roman" w:cs="Times New Roman" w:eastAsia="Times New Roman" w:hAnsi="Times New Roman"/>
          <w:b w:val="false"/>
          <w:bCs w:val="false"/>
          <w:sz w:val="22"/>
          <w:szCs w:val="22"/>
        </w:rPr>
        <w:t xml:space="preserve">Approche et solution apportée</w:t>
      </w:r>
      <w:r>
        <w:rPr>
          <w:rFonts w:ascii="Times New Roman" w:cs="Times New Roman" w:eastAsia="Times New Roman" w:hAnsi="Times New Roman"/>
          <w:b w:val="false"/>
          <w:bCs w:val="false"/>
          <w:sz w:val="22"/>
          <w:szCs w:val="22"/>
        </w:rPr>
        <w:t xml:space="preserve"> : Les auteurs entraînent des classifieurs de machine learning sur les descripteurs moléculaires (masse molaire, LogP, fonctions chimiques caractéristiques, longueur de chaîne fluorée) de l'ensemble des PFAS répertoriés, en procédant à une validation croisée rigoureuse pour limiter les biais d'évaluation. Cette approche de modélisation de la relation structure-activité (QSAR) à l'échelle PFAS constitue une contribution importante à la chimie computationnelle appliquée à l'évaluation des risques.</w:t>
      </w:r>
    </w:p>
    <w:p>
      <w:pPr>
        <w:spacing w:after="120" w:before="120"/>
        <w:ind w:firstLine="720"/>
        <w:jc w:val="both"/>
      </w:pPr>
      <w:r>
        <w:rPr>
          <w:rFonts w:ascii="Times New Roman" w:cs="Times New Roman" w:eastAsia="Times New Roman" w:hAnsi="Times New Roman"/>
          <w:b w:val="false"/>
          <w:bCs w:val="false"/>
          <w:sz w:val="22"/>
          <w:szCs w:val="22"/>
        </w:rPr>
        <w:t xml:space="preserve">Résultats et gains obtenus</w:t>
      </w:r>
      <w:r>
        <w:rPr>
          <w:rFonts w:ascii="Times New Roman" w:cs="Times New Roman" w:eastAsia="Times New Roman" w:hAnsi="Times New Roman"/>
          <w:b w:val="false"/>
          <w:bCs w:val="false"/>
          <w:sz w:val="22"/>
          <w:szCs w:val="22"/>
        </w:rPr>
        <w:t xml:space="preserve"> : Les classifieurs développés atteignent une précision équilibrée (</w:t>
      </w:r>
      <w:r>
        <w:rPr>
          <w:rFonts w:ascii="Times New Roman" w:cs="Times New Roman" w:eastAsia="Times New Roman" w:hAnsi="Times New Roman"/>
          <w:b w:val="false"/>
          <w:bCs w:val="false"/>
          <w:sz w:val="22"/>
          <w:szCs w:val="22"/>
        </w:rPr>
        <w:t xml:space="preserve">balanced accuracy</w:t>
      </w:r>
      <w:r>
        <w:rPr>
          <w:rFonts w:ascii="Times New Roman" w:cs="Times New Roman" w:eastAsia="Times New Roman" w:hAnsi="Times New Roman"/>
          <w:b w:val="false"/>
          <w:bCs w:val="false"/>
          <w:sz w:val="22"/>
          <w:szCs w:val="22"/>
        </w:rPr>
        <w:t xml:space="preserve">) comprise entre 70 et 80 %, ce qui représente des performances raisonnables compte tenu de l'hétérogénéité structurale du jeu de données et du déséquilibre entre classes. Ces résultats établissent la preuve de concept qu'il est possible d'extraire des signaux prédictifs robustes à partir des seules informations structurales des molécules, ouvrant la voie à des outils de criblage à grande échelle pour les milliers de PFAS insuffisamment caractérisés [3].</w:t>
      </w:r>
    </w:p>
    <w:p>
      <w:pPr>
        <w:pStyle w:val="Heading3"/>
        <w:spacing w:after="120" w:before="200"/>
      </w:pPr>
      <w:r>
        <w:rPr>
          <w:rFonts w:ascii="Times New Roman" w:cs="Times New Roman" w:eastAsia="Times New Roman" w:hAnsi="Times New Roman"/>
          <w:b/>
          <w:bCs/>
          <w:sz w:val="22"/>
          <w:szCs w:val="22"/>
        </w:rPr>
        <w:t xml:space="preserve">II.3.2. Approches semi-supervisées multi-étiquettes</w:t>
      </w:r>
    </w:p>
    <w:p>
      <w:pPr>
        <w:spacing w:after="120" w:before="120"/>
        <w:ind w:firstLine="720"/>
        <w:jc w:val="both"/>
      </w:pPr>
      <w:r>
        <w:rPr>
          <w:rFonts w:ascii="Times New Roman" w:cs="Times New Roman" w:eastAsia="Times New Roman" w:hAnsi="Times New Roman"/>
          <w:b w:val="false"/>
          <w:bCs w:val="false"/>
          <w:sz w:val="22"/>
          <w:szCs w:val="22"/>
        </w:rPr>
        <w:t xml:space="preserve">Un verrou majeur du domaine est la rareté des données étiquetées : les analyses PFAS coûteuses impliquent que la grande majorité des sites de surveillance disposent de peu ou pas de mesures, créant un déséquilibre structurel entre données labellisées et données non étiquetées. L'apprentissage semi-supervisé [21], qui tire parti de la structure des données non étiquetées pour améliorer la généralisation, constitue une réponse naturelle à cette contrainte. Parallèlement, la prédiction simultanée de plusieurs analytes PFAS requiert des architectures multi-étiquettes capables de modéliser les co-occurrences entre composés [22].</w:t>
      </w:r>
    </w:p>
    <w:p>
      <w:pPr>
        <w:spacing w:after="100" w:before="180"/>
      </w:pPr>
      <w:r>
        <w:rPr>
          <w:rFonts w:ascii="Times New Roman" w:cs="Times New Roman" w:eastAsia="Times New Roman" w:hAnsi="Times New Roman"/>
          <w:b/>
          <w:bCs/>
          <w:sz w:val="22"/>
          <w:szCs w:val="22"/>
          <w:u w:val="single"/>
        </w:rPr>
        <w:t xml:space="preserve">Travaux de Dong et al. (2024)</w:t>
      </w:r>
    </w:p>
    <w:p>
      <w:pPr>
        <w:spacing w:after="120" w:before="120"/>
        <w:ind w:firstLine="720"/>
        <w:jc w:val="both"/>
      </w:pPr>
      <w:r>
        <w:rPr>
          <w:rFonts w:ascii="Times New Roman" w:cs="Times New Roman" w:eastAsia="Times New Roman" w:hAnsi="Times New Roman"/>
          <w:b w:val="false"/>
          <w:bCs w:val="false"/>
          <w:sz w:val="22"/>
          <w:szCs w:val="22"/>
        </w:rPr>
        <w:t xml:space="preserve">Problème et aspects traités</w:t>
      </w:r>
      <w:r>
        <w:rPr>
          <w:rFonts w:ascii="Times New Roman" w:cs="Times New Roman" w:eastAsia="Times New Roman" w:hAnsi="Times New Roman"/>
          <w:b w:val="false"/>
          <w:bCs w:val="false"/>
          <w:sz w:val="22"/>
          <w:szCs w:val="22"/>
        </w:rPr>
        <w:t xml:space="preserve"> : Dong et al. [4] abordent le problème de la prédiction simultanée de 35 analytes PFAS cibles dans les eaux souterraines de Californie, dans un contexte de données largement non étiquetées. Leur jeu de données correspond à la surveillance environnementale de l'état de Californie (CA-PFAS-ASGWS), riche de plus de 26 000 enregistrements, mais dont la majorité des observations pour les PFAS peu fréquents ne sont pas étiquetées.</w:t>
      </w:r>
    </w:p>
    <w:p>
      <w:pPr>
        <w:spacing w:after="120" w:before="120"/>
        <w:ind w:firstLine="720"/>
        <w:jc w:val="both"/>
      </w:pPr>
      <w:r>
        <w:rPr>
          <w:rFonts w:ascii="Times New Roman" w:cs="Times New Roman" w:eastAsia="Times New Roman" w:hAnsi="Times New Roman"/>
          <w:b w:val="false"/>
          <w:bCs w:val="false"/>
          <w:sz w:val="22"/>
          <w:szCs w:val="22"/>
        </w:rPr>
        <w:t xml:space="preserve">Approche et solution apportée</w:t>
      </w:r>
      <w:r>
        <w:rPr>
          <w:rFonts w:ascii="Times New Roman" w:cs="Times New Roman" w:eastAsia="Times New Roman" w:hAnsi="Times New Roman"/>
          <w:b w:val="false"/>
          <w:bCs w:val="false"/>
          <w:sz w:val="22"/>
          <w:szCs w:val="22"/>
        </w:rPr>
        <w:t xml:space="preserve"> : Le pipeline proposé combine deux étapes : une phase de pré-criblage binaire basée sur une forêt aléatoire, suivie d'une étape de prédiction multi-étiquettes semi-supervisée. Pour gérer le déséquilibre de classes, les auteurs adoptent une stratégie de ré-échantillonnage adaptatif inspirée d'ADASYN [20], combinée à des techniques de pseudo-labeling qui permettent d'exploiter les observations non étiquetées. La dépendance entre les différents analytes est modélisée via des chaînes de classifieurs (</w:t>
      </w:r>
      <w:r>
        <w:rPr>
          <w:rFonts w:ascii="Times New Roman" w:cs="Times New Roman" w:eastAsia="Times New Roman" w:hAnsi="Times New Roman"/>
          <w:b w:val="false"/>
          <w:bCs w:val="false"/>
          <w:sz w:val="22"/>
          <w:szCs w:val="22"/>
        </w:rPr>
        <w:t xml:space="preserve">classifier chains</w:t>
      </w:r>
      <w:r>
        <w:rPr>
          <w:rFonts w:ascii="Times New Roman" w:cs="Times New Roman" w:eastAsia="Times New Roman" w:hAnsi="Times New Roman"/>
          <w:b w:val="false"/>
          <w:bCs w:val="false"/>
          <w:sz w:val="22"/>
          <w:szCs w:val="22"/>
        </w:rPr>
        <w:t xml:space="preserve">) qui capturent les relations de co-occurrence entre composés [22].</w:t>
      </w:r>
    </w:p>
    <w:p>
      <w:pPr>
        <w:spacing w:after="120" w:before="120"/>
        <w:ind w:firstLine="720"/>
        <w:jc w:val="both"/>
      </w:pPr>
      <w:r>
        <w:rPr>
          <w:rFonts w:ascii="Times New Roman" w:cs="Times New Roman" w:eastAsia="Times New Roman" w:hAnsi="Times New Roman"/>
          <w:b w:val="false"/>
          <w:bCs w:val="false"/>
          <w:sz w:val="22"/>
          <w:szCs w:val="22"/>
        </w:rPr>
        <w:t xml:space="preserve">Résultats et gains obtenus</w:t>
      </w:r>
      <w:r>
        <w:rPr>
          <w:rFonts w:ascii="Times New Roman" w:cs="Times New Roman" w:eastAsia="Times New Roman" w:hAnsi="Times New Roman"/>
          <w:b w:val="false"/>
          <w:bCs w:val="false"/>
          <w:sz w:val="22"/>
          <w:szCs w:val="22"/>
        </w:rPr>
        <w:t xml:space="preserve"> : Les résultats reportés font état d'une AUC-ROC comprise entre 0,81 et 0,94 selon le composé PFAS ciblé, ce qui représente un niveau de performance très satisfaisant pour ce type de problème. L'approche semi-supervisée permet d'améliorer sensiblement les performances par rapport aux baselines purement supervisées, confirmant l'intérêt de mobiliser les données non étiquetées. Dong et al. établissent ainsi un jeu de données de référence et un protocole expérimental de facto pour les comparaisons futures dans le domaine de la prédiction PFAS en Californie [4]. Ce travail constitue une référence directe pour notre propre étude, dont le jeu de données, la formulation de la tâche de priorisation binaire et le protocole de division train/validation/test sont alignés sur ce cadre.</w:t>
      </w:r>
    </w:p>
    <w:p>
      <w:pPr>
        <w:pStyle w:val="Heading3"/>
        <w:spacing w:after="120" w:before="200"/>
      </w:pPr>
      <w:r>
        <w:rPr>
          <w:rFonts w:ascii="Times New Roman" w:cs="Times New Roman" w:eastAsia="Times New Roman" w:hAnsi="Times New Roman"/>
          <w:b/>
          <w:bCs/>
          <w:sz w:val="22"/>
          <w:szCs w:val="22"/>
        </w:rPr>
        <w:t xml:space="preserve">II.3.3. Réseaux de neurones sur graphes hétérogènes pour les PFAS</w:t>
      </w:r>
    </w:p>
    <w:p>
      <w:pPr>
        <w:spacing w:after="120" w:before="120"/>
        <w:ind w:firstLine="720"/>
        <w:jc w:val="both"/>
      </w:pPr>
      <w:r>
        <w:rPr>
          <w:rFonts w:ascii="Times New Roman" w:cs="Times New Roman" w:eastAsia="Times New Roman" w:hAnsi="Times New Roman"/>
          <w:b w:val="false"/>
          <w:bCs w:val="false"/>
          <w:sz w:val="22"/>
          <w:szCs w:val="22"/>
        </w:rPr>
        <w:t xml:space="preserve">La modélisation graphique des réseaux de surveillance environnementale représente l'évolution la plus récente et la plus structurante de la littérature sur la prédiction des PFAS. L'idée directrice est de représenter explicitement les relations entre entités hétérogènes — sites de prélèvement, sources industrielles, composés chimiques, zones géographiques, variables hydrogéologiques — sous forme d'un graphe, et d'y faire circuler l'information par des mécanismes d'apprentissage à passage de messages (</w:t>
      </w:r>
      <w:r>
        <w:rPr>
          <w:rFonts w:ascii="Times New Roman" w:cs="Times New Roman" w:eastAsia="Times New Roman" w:hAnsi="Times New Roman"/>
          <w:b w:val="false"/>
          <w:bCs w:val="false"/>
          <w:sz w:val="22"/>
          <w:szCs w:val="22"/>
        </w:rPr>
        <w:t xml:space="preserve">message passing</w:t>
      </w:r>
      <w:r>
        <w:rPr>
          <w:rFonts w:ascii="Times New Roman" w:cs="Times New Roman" w:eastAsia="Times New Roman" w:hAnsi="Times New Roman"/>
          <w:b w:val="false"/>
          <w:bCs w:val="false"/>
          <w:sz w:val="22"/>
          <w:szCs w:val="22"/>
        </w:rPr>
        <w:t xml:space="preserve">).</w:t>
      </w:r>
    </w:p>
    <w:p>
      <w:pPr>
        <w:spacing w:after="120" w:before="120"/>
        <w:ind w:firstLine="720"/>
        <w:jc w:val="both"/>
      </w:pPr>
      <w:r>
        <w:rPr>
          <w:rFonts w:ascii="Times New Roman" w:cs="Times New Roman" w:eastAsia="Times New Roman" w:hAnsi="Times New Roman"/>
          <w:b w:val="false"/>
          <w:bCs w:val="false"/>
          <w:sz w:val="22"/>
          <w:szCs w:val="22"/>
        </w:rPr>
        <w:t xml:space="preserve">Le transformer de graphes hétérogènes (HGT, </w:t>
      </w:r>
      <w:r>
        <w:rPr>
          <w:rFonts w:ascii="Times New Roman" w:cs="Times New Roman" w:eastAsia="Times New Roman" w:hAnsi="Times New Roman"/>
          <w:b w:val="false"/>
          <w:bCs w:val="false"/>
          <w:sz w:val="22"/>
          <w:szCs w:val="22"/>
        </w:rPr>
        <w:t xml:space="preserve">Heterogeneous Graph Transformer</w:t>
      </w:r>
      <w:r>
        <w:rPr>
          <w:rFonts w:ascii="Times New Roman" w:cs="Times New Roman" w:eastAsia="Times New Roman" w:hAnsi="Times New Roman"/>
          <w:b w:val="false"/>
          <w:bCs w:val="false"/>
          <w:sz w:val="22"/>
          <w:szCs w:val="22"/>
        </w:rPr>
        <w:t xml:space="preserve">), proposé par Hu et al. [23], fournit le socle architectural de ces approches. Contrairement aux réseaux de neurones sur graphes homogènes, où tous les nœuds et arêtes sont de même nature, le HGT implémente des mécanismes d'attention spécifiques à chaque type de nœuds et de relations, permettant une modélisation plus fine des écosystèmes de données hétérogènes. Son implémentation repose sur PyTorch Geometric [24], une bibliothèque de référence pour l'apprentissage sur graphes à grande échelle.</w:t>
      </w:r>
    </w:p>
    <w:p>
      <w:pPr>
        <w:spacing w:after="100" w:before="180"/>
      </w:pPr>
      <w:r>
        <w:rPr>
          <w:rFonts w:ascii="Times New Roman" w:cs="Times New Roman" w:eastAsia="Times New Roman" w:hAnsi="Times New Roman"/>
          <w:b/>
          <w:bCs/>
          <w:sz w:val="22"/>
          <w:szCs w:val="22"/>
          <w:u w:val="single"/>
        </w:rPr>
        <w:t xml:space="preserve">Travaux de Bomgni et al. (2025)</w:t>
      </w:r>
    </w:p>
    <w:p>
      <w:pPr>
        <w:spacing w:after="120" w:before="120"/>
        <w:ind w:firstLine="720"/>
        <w:jc w:val="both"/>
      </w:pPr>
      <w:r>
        <w:rPr>
          <w:rFonts w:ascii="Times New Roman" w:cs="Times New Roman" w:eastAsia="Times New Roman" w:hAnsi="Times New Roman"/>
          <w:b w:val="false"/>
          <w:bCs w:val="false"/>
          <w:sz w:val="22"/>
          <w:szCs w:val="22"/>
        </w:rPr>
        <w:t xml:space="preserve">Problème et aspects traités</w:t>
      </w:r>
      <w:r>
        <w:rPr>
          <w:rFonts w:ascii="Times New Roman" w:cs="Times New Roman" w:eastAsia="Times New Roman" w:hAnsi="Times New Roman"/>
          <w:b w:val="false"/>
          <w:bCs w:val="false"/>
          <w:sz w:val="22"/>
          <w:szCs w:val="22"/>
        </w:rPr>
        <w:t xml:space="preserve"> : Bomgni et al. [5] s'attaquent au problème de la prédiction spatio-chimique de la contamination aux PFAS en exploitant explicitement la structure relationnelle des données de surveillance. Leur constat de départ est que les approches tabulaires classiques ignorent les signaux relationnels — la corrélation spatiale entre puits voisins, les profils de co-contamination entre composés, la connectivité hydrogéologique — qui constituent pourtant des déterminants majeurs de l'occurrence des PFAS.</w:t>
      </w:r>
    </w:p>
    <w:p>
      <w:pPr>
        <w:spacing w:after="120" w:before="120"/>
        <w:ind w:firstLine="720"/>
        <w:jc w:val="both"/>
      </w:pPr>
      <w:r>
        <w:rPr>
          <w:rFonts w:ascii="Times New Roman" w:cs="Times New Roman" w:eastAsia="Times New Roman" w:hAnsi="Times New Roman"/>
          <w:b w:val="false"/>
          <w:bCs w:val="false"/>
          <w:sz w:val="22"/>
          <w:szCs w:val="22"/>
        </w:rPr>
        <w:t xml:space="preserve">Approche et solution apportée</w:t>
      </w:r>
      <w:r>
        <w:rPr>
          <w:rFonts w:ascii="Times New Roman" w:cs="Times New Roman" w:eastAsia="Times New Roman" w:hAnsi="Times New Roman"/>
          <w:b w:val="false"/>
          <w:bCs w:val="false"/>
          <w:sz w:val="22"/>
          <w:szCs w:val="22"/>
        </w:rPr>
        <w:t xml:space="preserve"> : Les auteurs développent un réseau de neurones sur graphes hétérogènes (HGN, </w:t>
      </w:r>
      <w:r>
        <w:rPr>
          <w:rFonts w:ascii="Times New Roman" w:cs="Times New Roman" w:eastAsia="Times New Roman" w:hAnsi="Times New Roman"/>
          <w:b w:val="false"/>
          <w:bCs w:val="false"/>
          <w:sz w:val="22"/>
          <w:szCs w:val="22"/>
        </w:rPr>
        <w:t xml:space="preserve">Heterogeneous Graph Network</w:t>
      </w:r>
      <w:r>
        <w:rPr>
          <w:rFonts w:ascii="Times New Roman" w:cs="Times New Roman" w:eastAsia="Times New Roman" w:hAnsi="Times New Roman"/>
          <w:b w:val="false"/>
          <w:bCs w:val="false"/>
          <w:sz w:val="22"/>
          <w:szCs w:val="22"/>
        </w:rPr>
        <w:t xml:space="preserve">) qui encode simultanément les relations spatiales entre sites de surveillance et les relations chimiques entre composés PFAS au sein d'un graphe unifié. Ce graphe intègre plusieurs types de nœuds : les nœuds d'échantillons portant les vecteurs de caractéristiques complets, des nœuds pour les composés PFAS avec leurs propriétés moléculaires, des nœuds pour les variables environnementales hydrogéologiques, des nœuds de proximité aux installations industrielles et militaires, et des clusters géographiques. Les arêtes typées encodent les relations sémantiquement significatives : détections analytiques, proximité géographique, connectivité hydrogéologique, co-occurrence de contaminants [5].</w:t>
      </w:r>
    </w:p>
    <w:p>
      <w:pPr>
        <w:spacing w:after="120" w:before="120"/>
        <w:ind w:firstLine="720"/>
        <w:jc w:val="both"/>
      </w:pPr>
      <w:r>
        <w:rPr>
          <w:rFonts w:ascii="Times New Roman" w:cs="Times New Roman" w:eastAsia="Times New Roman" w:hAnsi="Times New Roman"/>
          <w:b w:val="false"/>
          <w:bCs w:val="false"/>
          <w:sz w:val="22"/>
          <w:szCs w:val="22"/>
        </w:rPr>
        <w:t xml:space="preserve">Résultats et gains obtenus</w:t>
      </w:r>
      <w:r>
        <w:rPr>
          <w:rFonts w:ascii="Times New Roman" w:cs="Times New Roman" w:eastAsia="Times New Roman" w:hAnsi="Times New Roman"/>
          <w:b w:val="false"/>
          <w:bCs w:val="false"/>
          <w:sz w:val="22"/>
          <w:szCs w:val="22"/>
        </w:rPr>
        <w:t xml:space="preserve"> : L'approche HGN démontre des réductions d'erreur quadratique moyenne (RMSE) de l'ordre de 15 à 20 % par rapport aux réseaux de neurones sur graphes homogènes. Ces gains s'expliquent par la capacité du modèle hétérogène à différencier les transformations linéaires et les mécanismes d'attention selon la nature des nœuds et des arêtes, ce qui permet de capturer des signaux relationnels qu'un modèle homogène lisse et dilue. Ces résultats positionnent les approches HGN/HGT comme une avancée qualitative significative dans la modélisation des contaminations PFAS, et motivent directement leur intégration dans des pipelines hybrides combinant graphes et gradient boosting.</w:t>
      </w:r>
    </w:p>
    <w:p>
      <w:r>
        <w:rPr>
          <w:sz w:val="22"/>
          <w:szCs w:val="22"/>
        </w:rPr>
        <w:t xml:space="preserve"/>
      </w:r>
    </w:p>
    <w:p>
      <w:pPr>
        <w:spacing w:after="120" w:before="120"/>
        <w:ind w:firstLine="720"/>
        <w:jc w:val="both"/>
      </w:pPr>
      <w:r>
        <w:rPr>
          <w:rFonts w:ascii="Times New Roman" w:cs="Times New Roman" w:eastAsia="Times New Roman" w:hAnsi="Times New Roman"/>
          <w:b w:val="false"/>
          <w:bCs w:val="false"/>
          <w:sz w:val="22"/>
          <w:szCs w:val="22"/>
        </w:rPr>
        <w:t xml:space="preserve">La combinaison de ces architectures graphiques avec des méthodes d'ensemble robustes a fait l'objet d'une attention croissante. Le survey de Borisov et al. [25] étaye théoriquement cette direction hybride : les architectures de gradient boosting excellent sur les données tabulaires de taille petite à moyenne, tandis que les composantes graphiques apportent une valeur ajoutée lorsque la structure relationnelle est explicite et informative. Cette complémentarité constitue le fondement des pipelines HGT + XGBoost explorés dans notre travail. Pour la phase d'interprétation, la méthode SHAP (</w:t>
      </w:r>
      <w:r>
        <w:rPr>
          <w:rFonts w:ascii="Times New Roman" w:cs="Times New Roman" w:eastAsia="Times New Roman" w:hAnsi="Times New Roman"/>
          <w:b w:val="false"/>
          <w:bCs w:val="false"/>
          <w:sz w:val="22"/>
          <w:szCs w:val="22"/>
        </w:rPr>
        <w:t xml:space="preserve">SHapley Additive exPlanations</w:t>
      </w:r>
      <w:r>
        <w:rPr>
          <w:rFonts w:ascii="Times New Roman" w:cs="Times New Roman" w:eastAsia="Times New Roman" w:hAnsi="Times New Roman"/>
          <w:b w:val="false"/>
          <w:bCs w:val="false"/>
          <w:sz w:val="22"/>
          <w:szCs w:val="22"/>
        </w:rPr>
        <w:t xml:space="preserve">) développée par Lundberg et Lee [26] s'est imposée comme le standard de l'interprétabilité post-hoc dans l'ensemble de la littérature environnementale, en fournissant des attributions de contribution individuelle pour chaque prédiction.</w:t>
      </w:r>
    </w:p>
    <w:p>
      <w:r>
        <w:rPr>
          <w:sz w:val="22"/>
          <w:szCs w:val="22"/>
        </w:rPr>
        <w:t xml:space="preserve"/>
      </w:r>
    </w:p>
    <w:p>
      <w:pPr>
        <w:pStyle w:val="Heading2"/>
        <w:spacing w:after="160" w:before="280"/>
      </w:pPr>
      <w:r>
        <w:rPr>
          <w:rFonts w:ascii="Times New Roman" w:cs="Times New Roman" w:eastAsia="Times New Roman" w:hAnsi="Times New Roman"/>
          <w:b/>
          <w:bCs/>
          <w:sz w:val="24"/>
          <w:szCs w:val="24"/>
        </w:rPr>
        <w:t xml:space="preserve">II.4. Analyse comparative des approches existantes</w:t>
      </w:r>
    </w:p>
    <w:p>
      <w:pPr>
        <w:spacing w:after="120" w:before="120"/>
        <w:ind w:firstLine="720"/>
        <w:jc w:val="both"/>
      </w:pPr>
      <w:r>
        <w:rPr>
          <w:rFonts w:ascii="Times New Roman" w:cs="Times New Roman" w:eastAsia="Times New Roman" w:hAnsi="Times New Roman"/>
          <w:b w:val="false"/>
          <w:bCs w:val="false"/>
          <w:sz w:val="22"/>
          <w:szCs w:val="22"/>
        </w:rPr>
        <w:t xml:space="preserve">L'analyse transversale des travaux présentés dans les sections précédentes révèle à la fois des convergences méthodologiques notables et des lacunes structurelles persistantes. Cette section propose d'abord d'examiner une distinction fondamentale, trop souvent occultée dans la littérature, entre mode confirmatoire et mode prédictif (II.4.1), avant de recenser les principales lacunes identifiées (II.4.2).</w:t>
      </w:r>
    </w:p>
    <w:p>
      <w:pPr>
        <w:pStyle w:val="Heading3"/>
        <w:spacing w:after="120" w:before="200"/>
      </w:pPr>
      <w:r>
        <w:rPr>
          <w:rFonts w:ascii="Times New Roman" w:cs="Times New Roman" w:eastAsia="Times New Roman" w:hAnsi="Times New Roman"/>
          <w:b/>
          <w:bCs/>
          <w:sz w:val="22"/>
          <w:szCs w:val="22"/>
        </w:rPr>
        <w:t xml:space="preserve">II.4.1. Mode confirmatoire vs mode prédictif</w:t>
      </w:r>
    </w:p>
    <w:p>
      <w:pPr>
        <w:spacing w:after="120" w:before="120"/>
        <w:ind w:firstLine="720"/>
        <w:jc w:val="both"/>
      </w:pPr>
      <w:r>
        <w:rPr>
          <w:rFonts w:ascii="Times New Roman" w:cs="Times New Roman" w:eastAsia="Times New Roman" w:hAnsi="Times New Roman"/>
          <w:b w:val="false"/>
          <w:bCs w:val="false"/>
          <w:sz w:val="22"/>
          <w:szCs w:val="22"/>
        </w:rPr>
        <w:t xml:space="preserve">Une distinction conceptuelle essentielle, rarement formalisée dans la littérature, sépare deux régimes d'utilisation des modèles de prédiction PFAS, que l'on peut qualifier de mode confirmatoire et de mode prédictif [1, 4].</w:t>
      </w:r>
    </w:p>
    <w:p>
      <w:pPr>
        <w:spacing w:after="120" w:before="120"/>
        <w:ind w:firstLine="720"/>
        <w:jc w:val="both"/>
      </w:pPr>
      <w:r>
        <w:rPr>
          <w:rFonts w:ascii="Times New Roman" w:cs="Times New Roman" w:eastAsia="Times New Roman" w:hAnsi="Times New Roman"/>
          <w:b w:val="false"/>
          <w:bCs w:val="false"/>
          <w:sz w:val="22"/>
          <w:szCs w:val="22"/>
        </w:rPr>
        <w:t xml:space="preserve">Le mode confirmatoire désigne la situation dans laquelle un modèle est évalué sur des données incluant les mesures chimiques PFAS en entrée. Dans ce cas, l'étiquette de contamination est dérivée des concentrations analytiques elles-mêmes, créant une forme de circularité partielle dans la tâche de classification : les concentrations fournissent directement l'évidence de contamination, ce qui gonfle artificiellement les métriques de performance. Comme le soulignent George et Dixit [1], un modèle atteignant un F1 de 0,977 en mode confirmatoire ne peut pas prétendre à la même performance dans un contexte opérationnel réel où ces mesures ne sont précisément pas disponibles.</w:t>
      </w:r>
    </w:p>
    <w:p>
      <w:pPr>
        <w:spacing w:after="120" w:before="120"/>
        <w:ind w:firstLine="720"/>
        <w:jc w:val="both"/>
      </w:pPr>
      <w:r>
        <w:rPr>
          <w:rFonts w:ascii="Times New Roman" w:cs="Times New Roman" w:eastAsia="Times New Roman" w:hAnsi="Times New Roman"/>
          <w:b w:val="false"/>
          <w:bCs w:val="false"/>
          <w:sz w:val="22"/>
          <w:szCs w:val="22"/>
        </w:rPr>
        <w:t xml:space="preserve">Le mode prédictif, en revanche, correspond au scénario opérationnellement pertinent : classer ou prioriser des sites de surveillance </w:t>
      </w:r>
      <w:r>
        <w:rPr>
          <w:rFonts w:ascii="Times New Roman" w:cs="Times New Roman" w:eastAsia="Times New Roman" w:hAnsi="Times New Roman"/>
          <w:b w:val="false"/>
          <w:bCs w:val="false"/>
          <w:sz w:val="22"/>
          <w:szCs w:val="22"/>
        </w:rPr>
        <w:t xml:space="preserve">avant</w:t>
      </w:r>
      <w:r>
        <w:rPr>
          <w:rFonts w:ascii="Times New Roman" w:cs="Times New Roman" w:eastAsia="Times New Roman" w:hAnsi="Times New Roman"/>
          <w:b w:val="false"/>
          <w:bCs w:val="false"/>
          <w:sz w:val="22"/>
          <w:szCs w:val="22"/>
        </w:rPr>
        <w:t xml:space="preserve"> tout prélèvement, sur la seule base d'informations contextuelles disponibles a priori — proximité des sources industrielles, caractéristiques hydrogéologiques, indicateurs de qualité de l'eau, coordonnées géographiques. C'est ce mode qui détermine la véritable valeur ajoutée d'un outil d'aide à la décision pour les gestionnaires de réseaux d'eau potable. Or, peu de travaux ont quantifié empiriquement l'écart de performance entre ces deux modes sur le même jeu de données et avec le même protocole expérimental [1, 8].</w:t>
      </w:r>
    </w:p>
    <w:p>
      <w:pPr>
        <w:spacing w:after="120" w:before="120"/>
        <w:ind w:firstLine="720"/>
        <w:jc w:val="both"/>
      </w:pPr>
      <w:r>
        <w:rPr>
          <w:rFonts w:ascii="Times New Roman" w:cs="Times New Roman" w:eastAsia="Times New Roman" w:hAnsi="Times New Roman"/>
          <w:b w:val="false"/>
          <w:bCs w:val="false"/>
          <w:sz w:val="22"/>
          <w:szCs w:val="22"/>
        </w:rPr>
        <w:t xml:space="preserve">Le tableau II.1 résume les caractéristiques des principales approches examinées, en précisant le mode d'évaluation adopté et les métriques reportées.</w:t>
      </w:r>
    </w:p>
    <w:p>
      <w:r>
        <w:rPr>
          <w:sz w:val="22"/>
          <w:szCs w:val="22"/>
        </w:rPr>
        <w:t xml:space="preserve"/>
      </w:r>
    </w:p>
    <w:p>
      <w:pPr>
        <w:spacing w:after="80" w:before="160"/>
        <w:jc w:val="center"/>
      </w:pPr>
      <w:r>
        <w:rPr>
          <w:rFonts w:ascii="Times New Roman" w:cs="Times New Roman" w:eastAsia="Times New Roman" w:hAnsi="Times New Roman"/>
          <w:b/>
          <w:bCs/>
          <w:sz w:val="20"/>
          <w:szCs w:val="20"/>
        </w:rPr>
        <w:t xml:space="preserve">Tableau II.1 – Comparaison des approches de prédiction des PFAS dans la littérature.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700"/>
        <w:gridCol w:w="1726"/>
        <w:gridCol w:w="1800"/>
      </w:tblGrid>
      <w:tr>
        <w:trPr>
          <w:tblHeader/>
        </w:trPr>
        <w:tc>
          <w:tcPr>
            <w:tcW w:type="dxa" w:w="1900"/>
            <w:tcBorders>
              <w:top w:val="single" w:color="AAAAAA" w:sz="1"/>
              <w:left w:val="single" w:color="AAAAAA" w:sz="1"/>
              <w:bottom w:val="single" w:color="AAAAAA" w:sz="1"/>
              <w:right w:val="single" w:color="AAAAAA" w:sz="1"/>
            </w:tcBorders>
            <w:shd w:fill="D0E4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Référence</w:t>
            </w:r>
          </w:p>
        </w:tc>
        <w:tc>
          <w:tcPr>
            <w:tcW w:type="dxa" w:w="1900"/>
            <w:tcBorders>
              <w:top w:val="single" w:color="AAAAAA" w:sz="1"/>
              <w:left w:val="single" w:color="AAAAAA" w:sz="1"/>
              <w:bottom w:val="single" w:color="AAAAAA" w:sz="1"/>
              <w:right w:val="single" w:color="AAAAAA" w:sz="1"/>
            </w:tcBorders>
            <w:shd w:fill="D0E4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Méthode principale</w:t>
            </w:r>
          </w:p>
        </w:tc>
        <w:tc>
          <w:tcPr>
            <w:tcW w:type="dxa" w:w="1700"/>
            <w:tcBorders>
              <w:top w:val="single" w:color="AAAAAA" w:sz="1"/>
              <w:left w:val="single" w:color="AAAAAA" w:sz="1"/>
              <w:bottom w:val="single" w:color="AAAAAA" w:sz="1"/>
              <w:right w:val="single" w:color="AAAAAA" w:sz="1"/>
            </w:tcBorders>
            <w:shd w:fill="D0E4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Métrique (rapportée)</w:t>
            </w:r>
          </w:p>
        </w:tc>
        <w:tc>
          <w:tcPr>
            <w:tcW w:type="dxa" w:w="1726"/>
            <w:tcBorders>
              <w:top w:val="single" w:color="AAAAAA" w:sz="1"/>
              <w:left w:val="single" w:color="AAAAAA" w:sz="1"/>
              <w:bottom w:val="single" w:color="AAAAAA" w:sz="1"/>
              <w:right w:val="single" w:color="AAAAAA" w:sz="1"/>
            </w:tcBorders>
            <w:shd w:fill="D0E4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Mode évaluation</w:t>
            </w:r>
          </w:p>
        </w:tc>
        <w:tc>
          <w:tcPr>
            <w:tcW w:type="dxa" w:w="1800"/>
            <w:tcBorders>
              <w:top w:val="single" w:color="AAAAAA" w:sz="1"/>
              <w:left w:val="single" w:color="AAAAAA" w:sz="1"/>
              <w:bottom w:val="single" w:color="AAAAAA" w:sz="1"/>
              <w:right w:val="single" w:color="AAAAAA" w:sz="1"/>
            </w:tcBorders>
            <w:shd w:fill="D0E4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Problème cible</w:t>
            </w:r>
          </w:p>
        </w:tc>
      </w:tr>
      <w:tr>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Li et MacDonald Gibson (2022) [2]</w:t>
            </w:r>
          </w:p>
        </w:tc>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Réseaux bayésiens appris</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AUC ≈ 0,78</w:t>
            </w:r>
          </w:p>
        </w:tc>
        <w:tc>
          <w:tcPr>
            <w:tcW w:type="dxa" w:w="17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Prédictif</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PFAS chaîne courte</w:t>
            </w:r>
          </w:p>
        </w:tc>
      </w:tr>
      <w:tr>
        <w:tc>
          <w:tcPr>
            <w:tcW w:type="dxa" w:w="19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George et Dixit (2021) [1]</w:t>
            </w:r>
          </w:p>
        </w:tc>
        <w:tc>
          <w:tcPr>
            <w:tcW w:type="dxa" w:w="19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RF / XGBoost</w:t>
            </w:r>
          </w:p>
        </w:tc>
        <w:tc>
          <w:tcPr>
            <w:tcW w:type="dxa" w:w="17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Précision &gt; 85 %</w:t>
            </w:r>
          </w:p>
        </w:tc>
        <w:tc>
          <w:tcPr>
            <w:tcW w:type="dxa" w:w="1726"/>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Confirmatoire / Prédictif</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Priorisation binaire des puits</w:t>
            </w:r>
          </w:p>
        </w:tc>
      </w:tr>
      <w:tr>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Kibbey et al. (2020) [9]</w:t>
            </w:r>
          </w:p>
        </w:tc>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ML supervisé (fingerprinting)</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Précision ≈ 90 %</w:t>
            </w:r>
          </w:p>
        </w:tc>
        <w:tc>
          <w:tcPr>
            <w:tcW w:type="dxa" w:w="17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Confirmatoire</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Attribution des sources</w:t>
            </w:r>
          </w:p>
        </w:tc>
      </w:tr>
      <w:tr>
        <w:tc>
          <w:tcPr>
            <w:tcW w:type="dxa" w:w="19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Cheng et Ng (2019) [3]</w:t>
            </w:r>
          </w:p>
        </w:tc>
        <w:tc>
          <w:tcPr>
            <w:tcW w:type="dxa" w:w="19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Classifieurs sur descripteurs moléculaires</w:t>
            </w:r>
          </w:p>
        </w:tc>
        <w:tc>
          <w:tcPr>
            <w:tcW w:type="dxa" w:w="17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Bal. accuracy 70–80 %</w:t>
            </w:r>
          </w:p>
        </w:tc>
        <w:tc>
          <w:tcPr>
            <w:tcW w:type="dxa" w:w="1726"/>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Confirmatoire</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Bioactivité PFAS (QSAR)</w:t>
            </w:r>
          </w:p>
        </w:tc>
      </w:tr>
      <w:tr>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Dong et al. (2024) [4]</w:t>
            </w:r>
          </w:p>
        </w:tc>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Semi-supervisé multi-étiquettes</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AUC-ROC 0,81–0,94</w:t>
            </w:r>
          </w:p>
        </w:tc>
        <w:tc>
          <w:tcPr>
            <w:tcW w:type="dxa" w:w="1726"/>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Confirmatoire</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Prédiction 35 analytes</w:t>
            </w:r>
          </w:p>
        </w:tc>
      </w:tr>
      <w:tr>
        <w:tc>
          <w:tcPr>
            <w:tcW w:type="dxa" w:w="19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Bomgni et al. (2025) [5]</w:t>
            </w:r>
          </w:p>
        </w:tc>
        <w:tc>
          <w:tcPr>
            <w:tcW w:type="dxa" w:w="19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Graphe hétérogène (HGN)</w:t>
            </w:r>
          </w:p>
        </w:tc>
        <w:tc>
          <w:tcPr>
            <w:tcW w:type="dxa" w:w="17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RMSE −15 à −20 %</w:t>
            </w:r>
          </w:p>
        </w:tc>
        <w:tc>
          <w:tcPr>
            <w:tcW w:type="dxa" w:w="1726"/>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Confirmatoire</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Prédiction spatio-chimique</w:t>
            </w:r>
          </w:p>
        </w:tc>
      </w:tr>
    </w:tbl>
    <w:p>
      <w:r>
        <w:rPr>
          <w:sz w:val="22"/>
          <w:szCs w:val="22"/>
        </w:rPr>
        <w:t xml:space="preserve"/>
      </w:r>
    </w:p>
    <w:p>
      <w:pPr>
        <w:pStyle w:val="Heading3"/>
        <w:spacing w:after="120" w:before="200"/>
      </w:pPr>
      <w:r>
        <w:rPr>
          <w:rFonts w:ascii="Times New Roman" w:cs="Times New Roman" w:eastAsia="Times New Roman" w:hAnsi="Times New Roman"/>
          <w:b/>
          <w:bCs/>
          <w:sz w:val="22"/>
          <w:szCs w:val="22"/>
        </w:rPr>
        <w:t xml:space="preserve">II.4.2. Lacunes identifiées dans la littérature</w:t>
      </w:r>
    </w:p>
    <w:p>
      <w:pPr>
        <w:spacing w:after="120" w:before="120"/>
        <w:ind w:firstLine="720"/>
        <w:jc w:val="both"/>
      </w:pPr>
      <w:r>
        <w:rPr>
          <w:rFonts w:ascii="Times New Roman" w:cs="Times New Roman" w:eastAsia="Times New Roman" w:hAnsi="Times New Roman"/>
          <w:b w:val="false"/>
          <w:bCs w:val="false"/>
          <w:sz w:val="22"/>
          <w:szCs w:val="22"/>
        </w:rPr>
        <w:t xml:space="preserve">L'examen de la littérature fait apparaître plusieurs lacunes structurelles qui motivent les développements proposés dans notre travail.</w:t>
      </w:r>
    </w:p>
    <w:p>
      <w:pPr>
        <w:spacing w:after="120" w:before="120"/>
        <w:ind w:firstLine="720"/>
        <w:jc w:val="both"/>
      </w:pPr>
      <w:r>
        <w:rPr>
          <w:rFonts w:ascii="Times New Roman" w:cs="Times New Roman" w:eastAsia="Times New Roman" w:hAnsi="Times New Roman"/>
          <w:b w:val="false"/>
          <w:bCs w:val="false"/>
          <w:sz w:val="22"/>
          <w:szCs w:val="22"/>
        </w:rPr>
        <w:t xml:space="preserve">En premier lieu, la majorité des études tabulaires ne tire pas parti de la structure relationnelle des données de surveillance. Traiter chaque puits de surveillance comme un vecteur d'attributs isolé revient à ignorer une information relationnelle précieuse : la proximité à des puits contaminés connus, l'appartenance à une zone hydrogéologique partagée, la co-occurrence de certains PFAS avec d'autres contaminants. Les approches graphiques comblent en partie ce vide, mais leur intégration avec des méthodes tabulaires robustes reste peu explorée [5, 23].</w:t>
      </w:r>
    </w:p>
    <w:p>
      <w:pPr>
        <w:spacing w:after="120" w:before="120"/>
        <w:ind w:firstLine="720"/>
        <w:jc w:val="both"/>
      </w:pPr>
      <w:r>
        <w:rPr>
          <w:rFonts w:ascii="Times New Roman" w:cs="Times New Roman" w:eastAsia="Times New Roman" w:hAnsi="Times New Roman"/>
          <w:b w:val="false"/>
          <w:bCs w:val="false"/>
          <w:sz w:val="22"/>
          <w:szCs w:val="22"/>
        </w:rPr>
        <w:t xml:space="preserve">En second lieu, comme mentionné à la section II.4.1, la distinction confirmatory vs prédictif est rarement quantifiée empiriquement. Peu de travaux fournissent une évaluation côte à côte du même modèle dans les deux modes, avec un protocole de division train/validation/test transparent et reproductible. Cette lacune rend difficile l'estimation de la valeur informative réelle des mesures chimiques de laboratoire, et limite la crédibilité des modèles comme outils de priorisation pré-analytique [1, 8].</w:t>
      </w:r>
    </w:p>
    <w:p>
      <w:pPr>
        <w:spacing w:after="120" w:before="120"/>
        <w:ind w:firstLine="720"/>
        <w:jc w:val="both"/>
      </w:pPr>
      <w:r>
        <w:rPr>
          <w:rFonts w:ascii="Times New Roman" w:cs="Times New Roman" w:eastAsia="Times New Roman" w:hAnsi="Times New Roman"/>
          <w:b w:val="false"/>
          <w:bCs w:val="false"/>
          <w:sz w:val="22"/>
          <w:szCs w:val="22"/>
        </w:rPr>
        <w:t xml:space="preserve">Troisièmement, la transférabilité géographique des modèles demeure un angle mort de la littérature. Les modèles entraînés sur les données californiennes ou de l'est des États-Unis peuvent échouer en dehors de leurs régions d'entraînement, en raison de contextes hydrogéologiques différents, de profils de sources distincts ou d'infrastructures de données variables [8]. McMahon et al. [8] signalent cette limite, mais peu de travaux ont mis en place une validation croisée spatiale explicite pour la quantifier.</w:t>
      </w:r>
    </w:p>
    <w:p>
      <w:pPr>
        <w:spacing w:after="120" w:before="120"/>
        <w:ind w:firstLine="720"/>
        <w:jc w:val="both"/>
      </w:pPr>
      <w:r>
        <w:rPr>
          <w:rFonts w:ascii="Times New Roman" w:cs="Times New Roman" w:eastAsia="Times New Roman" w:hAnsi="Times New Roman"/>
          <w:b w:val="false"/>
          <w:bCs w:val="false"/>
          <w:sz w:val="22"/>
          <w:szCs w:val="22"/>
        </w:rPr>
        <w:t xml:space="preserve">Quatrièmement, l'intégration des voies de contamination atmosphérique — caractérisées par D'Ambro et al. [14] — dans les modèles prédictifs est quasi-absente de la littérature, alors même que le transport aérien long-distance des PFAS peut constituer une source de contamination non négligeable pour des aquifères éloignés de toute source surfacique identifiée.</w:t>
      </w:r>
    </w:p>
    <w:p>
      <w:pPr>
        <w:spacing w:after="120" w:before="120"/>
        <w:ind w:firstLine="720"/>
        <w:jc w:val="both"/>
      </w:pPr>
      <w:r>
        <w:rPr>
          <w:rFonts w:ascii="Times New Roman" w:cs="Times New Roman" w:eastAsia="Times New Roman" w:hAnsi="Times New Roman"/>
          <w:b w:val="false"/>
          <w:bCs w:val="false"/>
          <w:sz w:val="22"/>
          <w:szCs w:val="22"/>
        </w:rPr>
        <w:t xml:space="preserve">Enfin, peu de travaux combinent de manière systématique (i) des transformeurs de graphes hétérogènes pour la richesse relationnelle, (ii) des ensembles de gradient boosting pour la robustesse tabulaire, et (iii) une méta-classification par empilement avec une analyse d'interprétabilité croisée par SHAP dans un protocole unifié [5, 23, 26]. C'est précisément ce manque que notre travail s'attache à combler.</w:t>
      </w:r>
    </w:p>
    <w:p>
      <w:r>
        <w:rPr>
          <w:sz w:val="22"/>
          <w:szCs w:val="22"/>
        </w:rPr>
        <w:t xml:space="preserve"/>
      </w:r>
    </w:p>
    <w:p>
      <w:pPr>
        <w:pStyle w:val="Heading2"/>
        <w:spacing w:after="160" w:before="280"/>
      </w:pPr>
      <w:r>
        <w:rPr>
          <w:rFonts w:ascii="Times New Roman" w:cs="Times New Roman" w:eastAsia="Times New Roman" w:hAnsi="Times New Roman"/>
          <w:b/>
          <w:bCs/>
          <w:sz w:val="24"/>
          <w:szCs w:val="24"/>
        </w:rPr>
        <w:t xml:space="preserve">II.5. Synthèse</w:t>
      </w:r>
    </w:p>
    <w:p>
      <w:pPr>
        <w:spacing w:after="120" w:before="120"/>
        <w:ind w:firstLine="720"/>
        <w:jc w:val="both"/>
      </w:pPr>
      <w:r>
        <w:rPr>
          <w:rFonts w:ascii="Times New Roman" w:cs="Times New Roman" w:eastAsia="Times New Roman" w:hAnsi="Times New Roman"/>
          <w:b w:val="false"/>
          <w:bCs w:val="false"/>
          <w:sz w:val="22"/>
          <w:szCs w:val="22"/>
        </w:rPr>
        <w:t xml:space="preserve">Ce chapitre a proposé une revue structurée de l'état de l'art sur la prédiction des contaminants émergents de l'eau — et en particulier des PFAS — par intelligence artificielle. Plusieurs enseignements majeurs se dégagent de cette analyse.</w:t>
      </w:r>
    </w:p>
    <w:p>
      <w:pPr>
        <w:spacing w:after="120" w:before="120"/>
        <w:ind w:firstLine="720"/>
        <w:jc w:val="both"/>
      </w:pPr>
      <w:r>
        <w:rPr>
          <w:rFonts w:ascii="Times New Roman" w:cs="Times New Roman" w:eastAsia="Times New Roman" w:hAnsi="Times New Roman"/>
          <w:b w:val="false"/>
          <w:bCs w:val="false"/>
          <w:sz w:val="22"/>
          <w:szCs w:val="22"/>
        </w:rPr>
        <w:t xml:space="preserve">Le premier est la maturité progressive des approches d'apprentissage automatique dans ce domaine. Des modèles bayésiens aux forêts aléatoires, en passant par le gradient boosting et les architectures de graphes hétérogènes, chaque génération d'outils a apporté des améliorations mesurables et a élargi la gamme des problèmes adressables. XGBoost [17] s'est imposé comme une référence pour la classification tabulaire, tandis que les approches graphiques [5, 23] ouvrent des perspectives nouvelles en intégrant explicitement la structure relationnelle des réseaux de surveillance.</w:t>
      </w:r>
    </w:p>
    <w:p>
      <w:pPr>
        <w:spacing w:after="120" w:before="120"/>
        <w:ind w:firstLine="720"/>
        <w:jc w:val="both"/>
      </w:pPr>
      <w:r>
        <w:rPr>
          <w:rFonts w:ascii="Times New Roman" w:cs="Times New Roman" w:eastAsia="Times New Roman" w:hAnsi="Times New Roman"/>
          <w:b w:val="false"/>
          <w:bCs w:val="false"/>
          <w:sz w:val="22"/>
          <w:szCs w:val="22"/>
        </w:rPr>
        <w:t xml:space="preserve">Le second enseignement est que les meilleures performances publiées dans la littérature sont quasi-systématiquement obtenues en mode confirmatoire — c'est-à-dire lorsque les mesures chimiques PFAS sont disponibles en entrée. Or, le scénario opérationnel qui présente le plus de valeur pour les gestionnaires est le mode prédictif, dans lequel le modèle doit orienter l'échantillonnage avant tout résultat de laboratoire. Cette distinction, rarement quantifiée empiriquement, constitue l'une des principales contributions que notre travail entend apporter à la communauté.</w:t>
      </w:r>
    </w:p>
    <w:p>
      <w:pPr>
        <w:spacing w:after="120" w:before="120"/>
        <w:ind w:firstLine="720"/>
        <w:jc w:val="both"/>
      </w:pPr>
      <w:r>
        <w:rPr>
          <w:rFonts w:ascii="Times New Roman" w:cs="Times New Roman" w:eastAsia="Times New Roman" w:hAnsi="Times New Roman"/>
          <w:b w:val="false"/>
          <w:bCs w:val="false"/>
          <w:sz w:val="22"/>
          <w:szCs w:val="22"/>
        </w:rPr>
        <w:t xml:space="preserve">Le troisième enseignement concerne la gestion du déséquilibre de classes. Qu'il s'agisse de SMOTE [19], d'ADASYN [20] ou du recours au paramètre scale_pos_weight de XGBoost [17], le traitement du déséquilibre entre détections et non-détections est une étape incontournable des pipelines de modélisation PFAS, et son impact sur les métriques de performance doit être documenté avec soin.</w:t>
      </w:r>
    </w:p>
    <w:p>
      <w:pPr>
        <w:spacing w:after="120" w:before="120"/>
        <w:ind w:firstLine="720"/>
        <w:jc w:val="both"/>
      </w:pPr>
      <w:r>
        <w:rPr>
          <w:rFonts w:ascii="Times New Roman" w:cs="Times New Roman" w:eastAsia="Times New Roman" w:hAnsi="Times New Roman"/>
          <w:b w:val="false"/>
          <w:bCs w:val="false"/>
          <w:sz w:val="22"/>
          <w:szCs w:val="22"/>
        </w:rPr>
        <w:t xml:space="preserve">Enfin, la revue révèle plusieurs lacunes importantes que les travaux futurs devront combler : l'absence de validation croisée spatiale pour quantifier la transférabilité géographique, la sous-représentation des approches hybrides graphes + tabulaires dans un cadre unifié et reproductible, et le manque d'évaluations explicites du mode prédictif. Notre propre travail s'inscrit dans la lignée des contributions de Dong et al. [4] et Bomgni et al. [5], en proposant une architecture hybride HGT + XGBoost évaluée selon un protocole rigoureux sur le jeu de données CA-PFAS-ASGWS, avec une quantification explicite de l'écart confirmatoire/prédictif et une analyse d'interprétabilité globale et locale par SHAP [26].</w:t>
      </w:r>
    </w:p>
    <w:p>
      <w:r>
        <w:rPr>
          <w:sz w:val="22"/>
          <w:szCs w:val="22"/>
        </w:rPr>
        <w:t xml:space="preserve"/>
      </w:r>
    </w:p>
    <w:p>
      <w:r>
        <w:rPr>
          <w:sz w:val="22"/>
          <w:szCs w:val="22"/>
        </w:rPr>
        <w:t xml:space="preserve"/>
      </w:r>
    </w:p>
    <w:p>
      <w:pPr>
        <w:spacing w:after="160" w:before="280"/>
      </w:pPr>
      <w:r>
        <w:rPr>
          <w:rFonts w:ascii="Times New Roman" w:cs="Times New Roman" w:eastAsia="Times New Roman" w:hAnsi="Times New Roman"/>
          <w:b/>
          <w:bCs/>
          <w:sz w:val="24"/>
          <w:szCs w:val="24"/>
        </w:rPr>
        <w:t xml:space="preserve">Références du chapitre II</w:t>
      </w:r>
    </w:p>
    <w:p>
      <w:pPr>
        <w:spacing w:after="60" w:before="60"/>
        <w:ind w:left="360" w:hanging="360"/>
        <w:jc w:val="both"/>
      </w:pPr>
      <w:r>
        <w:rPr>
          <w:rFonts w:ascii="Times New Roman" w:cs="Times New Roman" w:eastAsia="Times New Roman" w:hAnsi="Times New Roman"/>
          <w:sz w:val="18"/>
          <w:szCs w:val="18"/>
        </w:rPr>
        <w:t xml:space="preserve">[1] George, S. et Dixit, A. (2021). A machine learning approach for prioritizing groundwater testing for per- and polyfluoroalkyl substances (PFAS). Journal of Environmental Management, 295, 113359.</w:t>
      </w:r>
    </w:p>
    <w:p>
      <w:pPr>
        <w:spacing w:after="60" w:before="60"/>
        <w:ind w:left="360" w:hanging="360"/>
        <w:jc w:val="both"/>
      </w:pPr>
      <w:r>
        <w:rPr>
          <w:rFonts w:ascii="Times New Roman" w:cs="Times New Roman" w:eastAsia="Times New Roman" w:hAnsi="Times New Roman"/>
          <w:sz w:val="18"/>
          <w:szCs w:val="18"/>
        </w:rPr>
        <w:t xml:space="preserve">[2] Li, R. et MacDonald Gibson, J. (2022). Predicting the occurrence of short-chain PFAS in groundwater using machine-learned Bayesian networks. Frontiers in Environmental Science, 10, 958784.</w:t>
      </w:r>
    </w:p>
    <w:p>
      <w:pPr>
        <w:spacing w:after="60" w:before="60"/>
        <w:ind w:left="360" w:hanging="360"/>
        <w:jc w:val="both"/>
      </w:pPr>
      <w:r>
        <w:rPr>
          <w:rFonts w:ascii="Times New Roman" w:cs="Times New Roman" w:eastAsia="Times New Roman" w:hAnsi="Times New Roman"/>
          <w:sz w:val="18"/>
          <w:szCs w:val="18"/>
        </w:rPr>
        <w:t xml:space="preserve">[3] Cheng, W. et Ng, C. A. (2019). Using machine learning to classify bioactivity for 3486 per- and polyfluoroalkyl substances (PFASs) from the OECD list. Environmental Science &amp; Technology, 53(23), 13970–13980.</w:t>
      </w:r>
    </w:p>
    <w:p>
      <w:pPr>
        <w:spacing w:after="60" w:before="60"/>
        <w:ind w:left="360" w:hanging="360"/>
        <w:jc w:val="both"/>
      </w:pPr>
      <w:r>
        <w:rPr>
          <w:rFonts w:ascii="Times New Roman" w:cs="Times New Roman" w:eastAsia="Times New Roman" w:hAnsi="Times New Roman"/>
          <w:sz w:val="18"/>
          <w:szCs w:val="18"/>
        </w:rPr>
        <w:t xml:space="preserve">[4] Dong, J., Tsai, G. et Olivares, C. I. (2024). Prediction of 35 target per- and polyfluoroalkyl substances (PFASs) in California groundwater using multilabel semisupervised machine learning. ACS EST Water, 4, 969–981.</w:t>
      </w:r>
    </w:p>
    <w:p>
      <w:pPr>
        <w:spacing w:after="60" w:before="60"/>
        <w:ind w:left="360" w:hanging="360"/>
        <w:jc w:val="both"/>
      </w:pPr>
      <w:r>
        <w:rPr>
          <w:rFonts w:ascii="Times New Roman" w:cs="Times New Roman" w:eastAsia="Times New Roman" w:hAnsi="Times New Roman"/>
          <w:sz w:val="18"/>
          <w:szCs w:val="18"/>
        </w:rPr>
        <w:t xml:space="preserve">[5] Bomgni, A. B., Dnjomou Yonmba, W. L., Tene Ceskoutse, R. F., Klein, N., Gadhamshetty, V. et Gnimpieba, E. Z. (2025). Heterogeneous graph network (HGN) for spatio-chemical prediction of per- and polyfluoroalkyl substances (PFAS) contamination: An optimized approach. Proceedings of the IEEE International Conference on Bioinformatics and Biomedicine.</w:t>
      </w:r>
    </w:p>
    <w:p>
      <w:pPr>
        <w:spacing w:after="60" w:before="60"/>
        <w:ind w:left="360" w:hanging="360"/>
        <w:jc w:val="both"/>
      </w:pPr>
      <w:r>
        <w:rPr>
          <w:rFonts w:ascii="Times New Roman" w:cs="Times New Roman" w:eastAsia="Times New Roman" w:hAnsi="Times New Roman"/>
          <w:sz w:val="18"/>
          <w:szCs w:val="18"/>
        </w:rPr>
        <w:t xml:space="preserve">[6] Hu, X. C., Andrews, D. Q., Lindstrom, A. B. et al. (2016). Detection of poly- and perfluoroalkyl substances (PFASs) in U.S. drinking water linked to industrial sites, military fire training areas, and wastewater treatment plants. Environmental Science &amp; Technology Letters, 3(10), 344–350.</w:t>
      </w:r>
    </w:p>
    <w:p>
      <w:pPr>
        <w:spacing w:after="60" w:before="60"/>
        <w:ind w:left="360" w:hanging="360"/>
        <w:jc w:val="both"/>
      </w:pPr>
      <w:r>
        <w:rPr>
          <w:rFonts w:ascii="Times New Roman" w:cs="Times New Roman" w:eastAsia="Times New Roman" w:hAnsi="Times New Roman"/>
          <w:sz w:val="18"/>
          <w:szCs w:val="18"/>
        </w:rPr>
        <w:t xml:space="preserve">[7] Sunderland, E. M., Hu, X. C., Dassuncao, C. et al. (2019). A review of the pathways of human exposure to poly- and perfluoroalkyl substances (PFASs) and present understanding of health effects. Journal of Exposure Science and Environmental Epidemiology, 29, 131–147.</w:t>
      </w:r>
    </w:p>
    <w:p>
      <w:pPr>
        <w:spacing w:after="60" w:before="60"/>
        <w:ind w:left="360" w:hanging="360"/>
        <w:jc w:val="both"/>
      </w:pPr>
      <w:r>
        <w:rPr>
          <w:rFonts w:ascii="Times New Roman" w:cs="Times New Roman" w:eastAsia="Times New Roman" w:hAnsi="Times New Roman"/>
          <w:sz w:val="18"/>
          <w:szCs w:val="18"/>
        </w:rPr>
        <w:t xml:space="preserve">[8] McMahon, P. B., Tokranov, A. K., Bexfield, L. M. et al. (2022). Perfluoroalkyl and polyfluoroalkyl substances in groundwater used as a source of drinking water in the eastern United States. Environmental Science &amp; Technology, 56(4), 2279–2288.</w:t>
      </w:r>
    </w:p>
    <w:p>
      <w:pPr>
        <w:spacing w:after="60" w:before="60"/>
        <w:ind w:left="360" w:hanging="360"/>
        <w:jc w:val="both"/>
      </w:pPr>
      <w:r>
        <w:rPr>
          <w:rFonts w:ascii="Times New Roman" w:cs="Times New Roman" w:eastAsia="Times New Roman" w:hAnsi="Times New Roman"/>
          <w:sz w:val="18"/>
          <w:szCs w:val="18"/>
        </w:rPr>
        <w:t xml:space="preserve">[9] Kibbey, T. C. G., Jabrzemski, R. et O'Carroll, D. M. (2020). Supervised machine learning for source allocation of per- and polyfluoroalkyl substances (PFAS) in environmental samples. Chemosphere, 252, 126593.</w:t>
      </w:r>
    </w:p>
    <w:p>
      <w:pPr>
        <w:spacing w:after="60" w:before="60"/>
        <w:ind w:left="360" w:hanging="360"/>
        <w:jc w:val="both"/>
      </w:pPr>
      <w:r>
        <w:rPr>
          <w:rFonts w:ascii="Times New Roman" w:cs="Times New Roman" w:eastAsia="Times New Roman" w:hAnsi="Times New Roman"/>
          <w:sz w:val="18"/>
          <w:szCs w:val="18"/>
        </w:rPr>
        <w:t xml:space="preserve">[10] Dávila-Santiago, E., Shi, C., Mahadwar, G. et al. (2022). Machine learning applications for chemical fingerprinting and environmental source tracking using non-target chemical data. Environmental Science &amp; Technology, 56(7), 4080–4090.</w:t>
      </w:r>
    </w:p>
    <w:p>
      <w:pPr>
        <w:spacing w:after="60" w:before="60"/>
        <w:ind w:left="360" w:hanging="360"/>
        <w:jc w:val="both"/>
      </w:pPr>
      <w:r>
        <w:rPr>
          <w:rFonts w:ascii="Times New Roman" w:cs="Times New Roman" w:eastAsia="Times New Roman" w:hAnsi="Times New Roman"/>
          <w:sz w:val="18"/>
          <w:szCs w:val="18"/>
        </w:rPr>
        <w:t xml:space="preserve">[11] Prevedouros, K., Cousins, I. T., Buck, R. C. et Korzeniowski, S. H. (2006). Sources, fate and transport of perfluorocarboxylates. Environmental Science &amp; Technology, 40(1), 32–44.</w:t>
      </w:r>
    </w:p>
    <w:p>
      <w:pPr>
        <w:spacing w:after="60" w:before="60"/>
        <w:ind w:left="360" w:hanging="360"/>
        <w:jc w:val="both"/>
      </w:pPr>
      <w:r>
        <w:rPr>
          <w:rFonts w:ascii="Times New Roman" w:cs="Times New Roman" w:eastAsia="Times New Roman" w:hAnsi="Times New Roman"/>
          <w:sz w:val="18"/>
          <w:szCs w:val="18"/>
        </w:rPr>
        <w:t xml:space="preserve">[12] Guelfo, J. L., Korzeniowski, S., Mills, M. A. et al. (2021). Environmental sources, chemistry, fate, and transport of per- and polyfluoroalkyl substances: State of the science. Environmental Toxicology and Chemistry, 40(12), 3234–3260.</w:t>
      </w:r>
    </w:p>
    <w:p>
      <w:pPr>
        <w:spacing w:after="60" w:before="60"/>
        <w:ind w:left="360" w:hanging="360"/>
        <w:jc w:val="both"/>
      </w:pPr>
      <w:r>
        <w:rPr>
          <w:rFonts w:ascii="Times New Roman" w:cs="Times New Roman" w:eastAsia="Times New Roman" w:hAnsi="Times New Roman"/>
          <w:sz w:val="18"/>
          <w:szCs w:val="18"/>
        </w:rPr>
        <w:t xml:space="preserve">[13] Brusseau, M. L., Yan, N., Van Glubt, S. et al. (2019). Comprehensive retention model for PFAS transport in subsurface systems. Water Research, 148, 41–50.</w:t>
      </w:r>
    </w:p>
    <w:p>
      <w:pPr>
        <w:spacing w:after="60" w:before="60"/>
        <w:ind w:left="360" w:hanging="360"/>
        <w:jc w:val="both"/>
      </w:pPr>
      <w:r>
        <w:rPr>
          <w:rFonts w:ascii="Times New Roman" w:cs="Times New Roman" w:eastAsia="Times New Roman" w:hAnsi="Times New Roman"/>
          <w:sz w:val="18"/>
          <w:szCs w:val="18"/>
        </w:rPr>
        <w:t xml:space="preserve">[14] D'Ambro, E. L., Pye, H. O. T., Bash, J. O. et al. (2021). Characterizing the air emissions, transport, and deposition of per- and polyfluoroalkyl substances from a fluoropolymer manufacturing facility. Environmental Science &amp; Technology, 55(2), 862–870.</w:t>
      </w:r>
    </w:p>
    <w:p>
      <w:pPr>
        <w:spacing w:after="60" w:before="60"/>
        <w:ind w:left="360" w:hanging="360"/>
        <w:jc w:val="both"/>
      </w:pPr>
      <w:r>
        <w:rPr>
          <w:rFonts w:ascii="Times New Roman" w:cs="Times New Roman" w:eastAsia="Times New Roman" w:hAnsi="Times New Roman"/>
          <w:sz w:val="18"/>
          <w:szCs w:val="18"/>
        </w:rPr>
        <w:t xml:space="preserve">[15] Weber, A. K., Barber, L. B., LeBlanc, D. R., Sunderland, E. M. et Vecitis, C. D. (2017). Geochemical and hydrologic factors controlling subsurface transport of poly- and perfluoroalkyl substances, Cape Cod, Massachusetts. Environmental Science &amp; Technology, 51(8), 4269–4279.</w:t>
      </w:r>
    </w:p>
    <w:p>
      <w:pPr>
        <w:spacing w:after="60" w:before="60"/>
        <w:ind w:left="360" w:hanging="360"/>
        <w:jc w:val="both"/>
      </w:pPr>
      <w:r>
        <w:rPr>
          <w:rFonts w:ascii="Times New Roman" w:cs="Times New Roman" w:eastAsia="Times New Roman" w:hAnsi="Times New Roman"/>
          <w:sz w:val="18"/>
          <w:szCs w:val="18"/>
        </w:rPr>
        <w:t xml:space="preserve">[16] Hu, X. C., Ge, B., Ruyle, B. J., Sun, J. et Sunderland, E. M. (2021). A statistical approach for identifying private wells susceptible to perfluoroalkyl substances (PFAS) contamination. Environmental Science &amp; Technology Letters, 8(7), 596–602.</w:t>
      </w:r>
    </w:p>
    <w:p>
      <w:pPr>
        <w:spacing w:after="60" w:before="60"/>
        <w:ind w:left="360" w:hanging="360"/>
        <w:jc w:val="both"/>
      </w:pPr>
      <w:r>
        <w:rPr>
          <w:rFonts w:ascii="Times New Roman" w:cs="Times New Roman" w:eastAsia="Times New Roman" w:hAnsi="Times New Roman"/>
          <w:sz w:val="18"/>
          <w:szCs w:val="18"/>
        </w:rPr>
        <w:t xml:space="preserve">[17] Chen, T. et Guestrin, C. (2016). XGBoost: A scalable tree boosting system. Proceedings of the 22nd ACM SIGKDD International Conference on Knowledge Discovery and Data Mining, 785–794.</w:t>
      </w:r>
    </w:p>
    <w:p>
      <w:pPr>
        <w:spacing w:after="60" w:before="60"/>
        <w:ind w:left="360" w:hanging="360"/>
        <w:jc w:val="both"/>
      </w:pPr>
      <w:r>
        <w:rPr>
          <w:rFonts w:ascii="Times New Roman" w:cs="Times New Roman" w:eastAsia="Times New Roman" w:hAnsi="Times New Roman"/>
          <w:sz w:val="18"/>
          <w:szCs w:val="18"/>
        </w:rPr>
        <w:t xml:space="preserve">[18] Friedman, J. H. (2001). Greedy function approximation: A gradient boosting machine. The Annals of Statistics, 29(5), 1189–1232.</w:t>
      </w:r>
    </w:p>
    <w:p>
      <w:pPr>
        <w:spacing w:after="60" w:before="60"/>
        <w:ind w:left="360" w:hanging="360"/>
        <w:jc w:val="both"/>
      </w:pPr>
      <w:r>
        <w:rPr>
          <w:rFonts w:ascii="Times New Roman" w:cs="Times New Roman" w:eastAsia="Times New Roman" w:hAnsi="Times New Roman"/>
          <w:sz w:val="18"/>
          <w:szCs w:val="18"/>
        </w:rPr>
        <w:t xml:space="preserve">[19] Chawla, N. V., Bowyer, K. W., Hall, L. O. et Kegelmeyer, W. P. (2002). SMOTE: Synthetic minority over-sampling technique. Journal of Artificial Intelligence Research, 16, 321–357.</w:t>
      </w:r>
    </w:p>
    <w:p>
      <w:pPr>
        <w:spacing w:after="60" w:before="60"/>
        <w:ind w:left="360" w:hanging="360"/>
        <w:jc w:val="both"/>
      </w:pPr>
      <w:r>
        <w:rPr>
          <w:rFonts w:ascii="Times New Roman" w:cs="Times New Roman" w:eastAsia="Times New Roman" w:hAnsi="Times New Roman"/>
          <w:sz w:val="18"/>
          <w:szCs w:val="18"/>
        </w:rPr>
        <w:t xml:space="preserve">[20] He, H., Bai, Y., Garcia, E. A. et Li, S. (2008). ADASYN: Adaptive synthetic sampling approach for imbalanced learning. IEEE International Joint Conference on Neural Networks, 1322–1328.</w:t>
      </w:r>
    </w:p>
    <w:p>
      <w:pPr>
        <w:spacing w:after="60" w:before="60"/>
        <w:ind w:left="360" w:hanging="360"/>
        <w:jc w:val="both"/>
      </w:pPr>
      <w:r>
        <w:rPr>
          <w:rFonts w:ascii="Times New Roman" w:cs="Times New Roman" w:eastAsia="Times New Roman" w:hAnsi="Times New Roman"/>
          <w:sz w:val="18"/>
          <w:szCs w:val="18"/>
        </w:rPr>
        <w:t xml:space="preserve">[21] Zhu, X. et Goldberg, A. B. (2009). Introduction to Semi-Supervised Learning. Morgan &amp; Claypool Publishers.</w:t>
      </w:r>
    </w:p>
    <w:p>
      <w:pPr>
        <w:spacing w:after="60" w:before="60"/>
        <w:ind w:left="360" w:hanging="360"/>
        <w:jc w:val="both"/>
      </w:pPr>
      <w:r>
        <w:rPr>
          <w:rFonts w:ascii="Times New Roman" w:cs="Times New Roman" w:eastAsia="Times New Roman" w:hAnsi="Times New Roman"/>
          <w:sz w:val="18"/>
          <w:szCs w:val="18"/>
        </w:rPr>
        <w:t xml:space="preserve">[22] Tsoumakas, G., Katakis, I. et Vlahavas, I. (2010). Mining multi-label data. Data Mining and Knowledge Discovery Handbook, 667–685. Springer.</w:t>
      </w:r>
    </w:p>
    <w:p>
      <w:pPr>
        <w:spacing w:after="60" w:before="60"/>
        <w:ind w:left="360" w:hanging="360"/>
        <w:jc w:val="both"/>
      </w:pPr>
      <w:r>
        <w:rPr>
          <w:rFonts w:ascii="Times New Roman" w:cs="Times New Roman" w:eastAsia="Times New Roman" w:hAnsi="Times New Roman"/>
          <w:sz w:val="18"/>
          <w:szCs w:val="18"/>
        </w:rPr>
        <w:t xml:space="preserve">[23] Hu, Z., Dong, Y., Wang, K. et Sun, Y. (2020). Heterogeneous graph transformer. Proceedings of The Web Conference 2020, 2704–2710.</w:t>
      </w:r>
    </w:p>
    <w:p>
      <w:pPr>
        <w:spacing w:after="60" w:before="60"/>
        <w:ind w:left="360" w:hanging="360"/>
        <w:jc w:val="both"/>
      </w:pPr>
      <w:r>
        <w:rPr>
          <w:rFonts w:ascii="Times New Roman" w:cs="Times New Roman" w:eastAsia="Times New Roman" w:hAnsi="Times New Roman"/>
          <w:sz w:val="18"/>
          <w:szCs w:val="18"/>
        </w:rPr>
        <w:t xml:space="preserve">[24] Fey, M. et Lenssen, J. E. (2019). Fast graph representation learning with PyTorch Geometric. arXiv preprint arXiv:1903.02428.</w:t>
      </w:r>
    </w:p>
    <w:p>
      <w:pPr>
        <w:spacing w:after="60" w:before="60"/>
        <w:ind w:left="360" w:hanging="360"/>
        <w:jc w:val="both"/>
      </w:pPr>
      <w:r>
        <w:rPr>
          <w:rFonts w:ascii="Times New Roman" w:cs="Times New Roman" w:eastAsia="Times New Roman" w:hAnsi="Times New Roman"/>
          <w:sz w:val="18"/>
          <w:szCs w:val="18"/>
        </w:rPr>
        <w:t xml:space="preserve">[25] Borisov, V., Leemann, T., Seßler, K. et al. (2024). Deep neural networks and tabular data: A survey. IEEE Transactions on Neural Networks and Learning Systems.</w:t>
      </w:r>
    </w:p>
    <w:p>
      <w:pPr>
        <w:spacing w:after="60" w:before="60"/>
        <w:ind w:left="360" w:hanging="360"/>
        <w:jc w:val="both"/>
      </w:pPr>
      <w:r>
        <w:rPr>
          <w:rFonts w:ascii="Times New Roman" w:cs="Times New Roman" w:eastAsia="Times New Roman" w:hAnsi="Times New Roman"/>
          <w:sz w:val="18"/>
          <w:szCs w:val="18"/>
        </w:rPr>
        <w:t xml:space="preserve">[26] Lundberg, S. M. et Lee, S.-I. (2017). A unified approach to interpreting model predictions. Advances in Neural Information Processing Systems.</w:t>
      </w:r>
    </w:p>
    <w:p>
      <w:pPr>
        <w:spacing w:after="60" w:before="60"/>
        <w:ind w:left="360" w:hanging="360"/>
        <w:jc w:val="both"/>
      </w:pPr>
      <w:r>
        <w:rPr>
          <w:rFonts w:ascii="Times New Roman" w:cs="Times New Roman" w:eastAsia="Times New Roman" w:hAnsi="Times New Roman"/>
          <w:sz w:val="18"/>
          <w:szCs w:val="18"/>
        </w:rPr>
        <w:t xml:space="preserve">[27] Akiba, T., Sano, S., Yanase, T., Ohta, T. et Koyama, M. (2019). Optuna: A next-generation hyperparameter optimization framework. Proceedings of the 25th ACM SIGKDD International Conference on Knowledge Discovery and Data Mining, 2623–2631.</w:t>
      </w:r>
    </w:p>
    <w:p>
      <w:pPr>
        <w:spacing w:after="60" w:before="60"/>
        <w:ind w:left="360" w:hanging="360"/>
        <w:jc w:val="both"/>
      </w:pPr>
      <w:r>
        <w:rPr>
          <w:rFonts w:ascii="Times New Roman" w:cs="Times New Roman" w:eastAsia="Times New Roman" w:hAnsi="Times New Roman"/>
          <w:sz w:val="18"/>
          <w:szCs w:val="18"/>
        </w:rPr>
        <w:t xml:space="preserve">[28] Ke, G., Meng, Q., Finley, T. et al. (2017). LightGBM: A highly efficient gradient boosting decision tree. Advances in Neural Information Processing Systems, 3146–3154.</w:t>
      </w:r>
    </w:p>
    <w:p>
      <w:pPr>
        <w:spacing w:after="60" w:before="60"/>
        <w:ind w:left="360" w:hanging="360"/>
        <w:jc w:val="both"/>
      </w:pPr>
      <w:r>
        <w:rPr>
          <w:rFonts w:ascii="Times New Roman" w:cs="Times New Roman" w:eastAsia="Times New Roman" w:hAnsi="Times New Roman"/>
          <w:sz w:val="18"/>
          <w:szCs w:val="18"/>
        </w:rPr>
        <w:t xml:space="preserve">[29] U.S. Environmental Protection Agency (2023). PFAS national primary drinking water regulation.</w:t>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120" w:before="200"/>
      <w:outlineLvl w:val="2"/>
    </w:pPr>
    <w:rPr>
      <w:rFonts w:ascii="Times New Roman" w:cs="Times New Roman" w:eastAsia="Times New Roman" w:hAnsi="Times New Roman"/>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2026-05-28T18:43:55.968Z</dcterms:created>
  <dcterms:modified xsi:type="dcterms:W3CDTF">2026-05-28T18:43:55.969Z</dcterms:modified>
</cp:coreProperties>
</file>

<file path=docProps/custom.xml><?xml version="1.0" encoding="utf-8"?>
<Properties xmlns="http://schemas.openxmlformats.org/officeDocument/2006/custom-properties" xmlns:vt="http://schemas.openxmlformats.org/officeDocument/2006/docPropsVTypes"/>
</file>