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Chapitre II ▶ État de l'art sur la prédiction des contaminants émergents de l'eau par intelligence artificielle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SOMMAIRE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II.1 - Introduction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II.2 - Modèles statistiques et machine learning classiques pour les PFAS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II.2.1 - Modèles basés sur les réseaux bayésiens</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II.2.2 - Forêts aléatoires et gradient boosting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II.3 - Approches basées sur l'apprentissage profond et les graphes</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II.3.1 - Réseaux de neurones pour la prédiction d'occurrence des PFAS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II.3.2 - Approches semi-supervisées multi-étiquettes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II.3.3 - Réseaux de neurones sur graphes hétérogènes pour les PFAS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II.4 - Analyse comparative des approches existantes</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II.4.1 - Mode confirmatoire vs mode prédictif</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II.4.2 - Lacunes identifiées dans la littérature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II.5 - Synthèse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II.1 - Introduction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préservation de la qualité des ressources en eau souterraine s'impose aujourd'hui comme l'un des enjeux sanitaires et environnementaux les plus critiques à l'échelle mondiale.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Parmi la multitude de polluants anthropiques, les substances per- et polyfluoroalkylées (PFAS) constituent une classe de contaminants particulièrement préoccupante.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Regroupant plusieurs milliers de composés synthétiques, les PFAS sont largement exploités depuis les années 1950 dans des applications industrielles et de consommation courante, notamment pour la formulation de mousses filmogènes aqueuses (AFFF) anti-incendie, de revêtements hydrofuges et d'agents tensioactifs.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structure atomique des PFAS, caractérisée par une chaîne carbonée saturée en atomes de fluor, repose sur la liaison covalente carbone-fluor (</w:t>
      </w:r>
      <w:r w:rsidDel="00000000" w:rsidR="00000000" w:rsidRPr="00000000">
        <w:rPr>
          <w:rFonts w:ascii="Arial" w:cs="Arial" w:eastAsia="Arial" w:hAnsi="Arial"/>
          <w:color w:val="1f1f1f"/>
        </w:rPr>
        <w:drawing>
          <wp:inline distB="19050" distT="19050" distL="19050" distR="19050">
            <wp:extent cx="546497" cy="249279"/>
            <wp:effectExtent b="0" l="0" r="0" t="0"/>
            <wp:docPr id="3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46497" cy="24927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Cette liaison, l'une des plus énergétiques de la chimie organique, confère à ces molécules une stabilité thermique et chimique exceptionnelle, leur valant le qualificatif de "polluants éternels" en raison de leur récalcitrance absolue face aux processus naturels de biodégradation et d'atténuation.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raison de leur solubilité élevée et de leur faible propension à l'adsorption sur les matrices de sol standards, les PFAS migrent rapidement à travers la zone non saturée pour contaminer durablement les aquifères.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Les risques toxicologiques associés à une exposition chronique, même à des concentrations de l'ordre de la partie par trillion (ng/L), incluent des perturbations endocriniennes, des cancers rénaux et testiculaires, des dysfonctionnements immunitaires et des anomalies du développement foetal.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Face à ces preuves toxicologiques, les autorités de régulation ont radicalement durci les seuils admissibles.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L'agence américaine pour la protection de l'environnement (U.S. EPA) a récemment promulgué des limites maximales de contaminants (MCL) contraignantes s'élevant à seulement 4 ng/L pour le sulfonate de perfluorooctane (PFOS) et l'acide perfluorooctanoïque (PFOA).</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mise en œuvre pratique de ces normes se heurte toutefois à une barrière technologique et financière majeure.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détection et la quantification précises des PFAS exigent des protocoles de prélèvement extrêmement rigoureux pour éviter toute contamination croisée par des polymères fluorés usuels, suivis d'analyses de laboratoire sophistiquées par chromatographie en phase liquide couplée à la spectrométrie de masse en tandem (LC-MS/MS).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coût prohibitif de ces campagnes analytiques empêche un dépistage systématique de l'ensemble des puits d'approvisionnement publics et privés, créant ainsi une asymétrie d'information critique pour la gestion des risques sanitaires.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pallier cette limitation matérielle, l'intégration des techniques d'intelligence artificielle (IA) et d'apprentissage automatique (Machine Learning) suscite un intérêt scientifique croissant.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Ces outils de modélisation prédictive visent à concevoir des systèmes d'aide à la décision capables de hiérarchiser les puits à échantillonner en priorité (prioritisation d'échantillonnage).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 exploitant des bases de données environnementales existantes et peu coûteuses (qualité de l'eau de base, proximité des sources de pollution, propriétés des sols et hydrogéologie), les algorithmes apprennent à anticiper la probabilité d'occurrence des PFAS avant même la réalisation de mesures en laboratoire.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chapitre propose une analyse rigoureuse et exhaustive de l'état de l'art concernant l'application des méthodes d'intelligence artificielle à la prédiction des PFAS dans les eaux souterraines. La section II.2 examine les approches statistiques et de machine learning classiques, telles que les réseaux bayésiens et les méthodes d'ensemble. La section II.3 explore les paradigmes récents fondés sur l'apprentissage profond (Deep Learning) et la théorie des graphes, introduisant notamment le concept novateur de transformeur de graphe hétérogène (HGT). Enfin, la section II.4 propose une étude critique comparant les modes d'évaluation confirmatoires et prédictifs, tout en identifiant les limites structurelles persistantes de la littérature, avant de conclure par une synthèse des contributions majeures.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II.2 - Modèles statistiques et machine learning classiques pour les PFAS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premières tentatives visant à cartographier et prédire la vulnérabilité des aquifères face aux PFAS ont naturellement exploité des modèles statistiques multivariés et des algorithmes d'apprentissage supervisé traditionnel.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Ces modèles reposent sur l'identification de corrélations statistiques entre la présence des polluants et divers descripteurs physiques ou géochimiques du milieu poreux.</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II.2.1 - Modèles basés sur les réseaux bayésiens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Les réseaux bayésiens (Bayesian Networks, BN) constituent des modèles graphiques probabilistes particulièrement adaptés pour modéliser des incertitudes complexes et des relations de causalité au sein de systèmes environnementaux ouverts.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Structurellement, un réseau bayésien est défini par un graphe orienté acyclique (Directed Acyclic Graph, DAG) noté </w:t>
      </w:r>
      <w:r w:rsidDel="00000000" w:rsidR="00000000" w:rsidRPr="00000000">
        <w:rPr>
          <w:rFonts w:ascii="Arial" w:cs="Arial" w:eastAsia="Arial" w:hAnsi="Arial"/>
          <w:color w:val="1f1f1f"/>
        </w:rPr>
        <w:drawing>
          <wp:inline distB="19050" distT="19050" distL="19050" distR="19050">
            <wp:extent cx="885825" cy="238125"/>
            <wp:effectExtent b="0" l="0" r="0" t="0"/>
            <wp:docPr id="3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885825" cy="238125"/>
                    </a:xfrm>
                    <a:prstGeom prst="rect"/>
                    <a:ln/>
                  </pic:spPr>
                </pic:pic>
              </a:graphicData>
            </a:graphic>
          </wp:inline>
        </w:drawing>
      </w:r>
      <w:r w:rsidDel="00000000" w:rsidR="00000000" w:rsidRPr="00000000">
        <w:rPr>
          <w:rFonts w:ascii="Arial" w:cs="Arial" w:eastAsia="Arial" w:hAnsi="Arial"/>
          <w:color w:val="1f1f1f"/>
          <w:rtl w:val="0"/>
        </w:rPr>
        <w:t xml:space="preserve">, où les nœuds </w:t>
      </w:r>
      <w:r w:rsidDel="00000000" w:rsidR="00000000" w:rsidRPr="00000000">
        <w:rPr>
          <w:rFonts w:ascii="Arial" w:cs="Arial" w:eastAsia="Arial" w:hAnsi="Arial"/>
          <w:color w:val="1f1f1f"/>
        </w:rPr>
        <w:drawing>
          <wp:inline distB="19050" distT="19050" distL="19050" distR="19050">
            <wp:extent cx="136178" cy="243175"/>
            <wp:effectExtent b="0" l="0" r="0" t="0"/>
            <wp:docPr id="3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36178" cy="243175"/>
                    </a:xfrm>
                    <a:prstGeom prst="rect"/>
                    <a:ln/>
                  </pic:spPr>
                </pic:pic>
              </a:graphicData>
            </a:graphic>
          </wp:inline>
        </w:drawing>
      </w:r>
      <w:r w:rsidDel="00000000" w:rsidR="00000000" w:rsidRPr="00000000">
        <w:rPr>
          <w:rFonts w:ascii="Arial" w:cs="Arial" w:eastAsia="Arial" w:hAnsi="Arial"/>
          <w:color w:val="1f1f1f"/>
          <w:rtl w:val="0"/>
        </w:rPr>
        <w:t xml:space="preserve"> représentent les variables environnementales aléatoires et les arêtes orientées </w:t>
      </w:r>
      <w:r w:rsidDel="00000000" w:rsidR="00000000" w:rsidRPr="00000000">
        <w:rPr>
          <w:rFonts w:ascii="Arial" w:cs="Arial" w:eastAsia="Arial" w:hAnsi="Arial"/>
          <w:color w:val="1f1f1f"/>
        </w:rPr>
        <w:drawing>
          <wp:inline distB="19050" distT="19050" distL="19050" distR="19050">
            <wp:extent cx="120848" cy="232401"/>
            <wp:effectExtent b="0" l="0" r="0" t="0"/>
            <wp:docPr id="3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0848" cy="232401"/>
                    </a:xfrm>
                    <a:prstGeom prst="rect"/>
                    <a:ln/>
                  </pic:spPr>
                </pic:pic>
              </a:graphicData>
            </a:graphic>
          </wp:inline>
        </w:drawing>
      </w:r>
      <w:r w:rsidDel="00000000" w:rsidR="00000000" w:rsidRPr="00000000">
        <w:rPr>
          <w:rFonts w:ascii="Arial" w:cs="Arial" w:eastAsia="Arial" w:hAnsi="Arial"/>
          <w:color w:val="1f1f1f"/>
          <w:rtl w:val="0"/>
        </w:rPr>
        <w:t xml:space="preserve"> encodent les dépendances statistiques directes.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La distribution de probabilité conjointe de l'ensemble des variables de l'aquifère </w:t>
      </w:r>
      <w:r w:rsidDel="00000000" w:rsidR="00000000" w:rsidRPr="00000000">
        <w:rPr>
          <w:rFonts w:ascii="Arial" w:cs="Arial" w:eastAsia="Arial" w:hAnsi="Arial"/>
          <w:color w:val="1f1f1f"/>
        </w:rPr>
        <w:drawing>
          <wp:inline distB="19050" distT="19050" distL="19050" distR="19050">
            <wp:extent cx="1892646" cy="247280"/>
            <wp:effectExtent b="0" l="0" r="0" t="0"/>
            <wp:docPr id="3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892646" cy="247280"/>
                    </a:xfrm>
                    <a:prstGeom prst="rect"/>
                    <a:ln/>
                  </pic:spPr>
                </pic:pic>
              </a:graphicData>
            </a:graphic>
          </wp:inline>
        </w:drawing>
      </w:r>
      <w:r w:rsidDel="00000000" w:rsidR="00000000" w:rsidRPr="00000000">
        <w:rPr>
          <w:rFonts w:ascii="Arial" w:cs="Arial" w:eastAsia="Arial" w:hAnsi="Arial"/>
          <w:color w:val="1f1f1f"/>
          <w:rtl w:val="0"/>
        </w:rPr>
        <w:t xml:space="preserve"> est alors factorisée sous la forme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3623"/>
            <wp:effectExtent b="0" l="0" r="0" t="0"/>
            <wp:docPr id="38"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05500" cy="72362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où </w:t>
      </w:r>
      <w:r w:rsidDel="00000000" w:rsidR="00000000" w:rsidRPr="00000000">
        <w:rPr>
          <w:rFonts w:ascii="Arial" w:cs="Arial" w:eastAsia="Arial" w:hAnsi="Arial"/>
          <w:color w:val="1f1f1f"/>
        </w:rPr>
        <w:drawing>
          <wp:inline distB="19050" distT="19050" distL="19050" distR="19050">
            <wp:extent cx="1028995" cy="247721"/>
            <wp:effectExtent b="0" l="0" r="0" t="0"/>
            <wp:docPr id="3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1028995" cy="247721"/>
                    </a:xfrm>
                    <a:prstGeom prst="rect"/>
                    <a:ln/>
                  </pic:spPr>
                </pic:pic>
              </a:graphicData>
            </a:graphic>
          </wp:inline>
        </w:drawing>
      </w:r>
      <w:r w:rsidDel="00000000" w:rsidR="00000000" w:rsidRPr="00000000">
        <w:rPr>
          <w:rFonts w:ascii="Arial" w:cs="Arial" w:eastAsia="Arial" w:hAnsi="Arial"/>
          <w:color w:val="1f1f1f"/>
          <w:rtl w:val="0"/>
        </w:rPr>
        <w:t xml:space="preserve"> représente l'ensemble des variables influençant directement le nœud </w:t>
      </w:r>
      <w:r w:rsidDel="00000000" w:rsidR="00000000" w:rsidRPr="00000000">
        <w:rPr>
          <w:rFonts w:ascii="Arial" w:cs="Arial" w:eastAsia="Arial" w:hAnsi="Arial"/>
          <w:color w:val="1f1f1f"/>
        </w:rPr>
        <w:drawing>
          <wp:inline distB="19050" distT="19050" distL="19050" distR="19050">
            <wp:extent cx="219224" cy="247818"/>
            <wp:effectExtent b="0" l="0" r="0" t="0"/>
            <wp:docPr id="41"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219224" cy="247818"/>
                    </a:xfrm>
                    <a:prstGeom prst="rect"/>
                    <a:ln/>
                  </pic:spPr>
                </pic:pic>
              </a:graphicData>
            </a:graphic>
          </wp:inline>
        </w:drawing>
      </w:r>
      <w:r w:rsidDel="00000000" w:rsidR="00000000" w:rsidRPr="00000000">
        <w:rPr>
          <w:rFonts w:ascii="Arial" w:cs="Arial" w:eastAsia="Arial" w:hAnsi="Arial"/>
          <w:color w:val="1f1f1f"/>
          <w:rtl w:val="0"/>
        </w:rPr>
        <w:t xml:space="preserve"> dans le DAG.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L'apprentissage de la structure du réseau s'effectue généralement par des algorithmes basés sur des scores de compromis entre la vraisemblance et la complexité du graphe, à l'instar du critère de longueur de description minimale (Minimum Description Length, MDL).</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Dans ce domaine, les travaux menés par Li et MacDonald Gibson (2022) font figure de référence en évaluant l'aptitude des réseaux bayésiens appris à partir de données réelles pour prédire l'occurrence de PFAS à chaîne courte dans les eaux souterraines du Minnesota.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Les composés à chaîne courte (tels que le perfluorobutanesulfonate, PFBS, ou l'acide perfluorobutanoïque, PFBA) ont été massivement introduits comme substituts industriels aux molécules à longue chaîne interdites, bien qu'ils s'avèrent encore plus mobiles en phase aqueuse et extrêmement difficiles à modéliser de façon déterministe en raison du manque de données physico-chimiques sur leur sorption aux interfaces air-eau.</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Les modèles de réseaux bayésiens, entraînés sur un jeu de données de surveillance substantiel (</w:t>
      </w:r>
      <w:r w:rsidDel="00000000" w:rsidR="00000000" w:rsidRPr="00000000">
        <w:rPr>
          <w:rFonts w:ascii="Arial" w:cs="Arial" w:eastAsia="Arial" w:hAnsi="Arial"/>
          <w:color w:val="1f1f1f"/>
        </w:rPr>
        <w:drawing>
          <wp:inline distB="19050" distT="19050" distL="19050" distR="19050">
            <wp:extent cx="900856" cy="246550"/>
            <wp:effectExtent b="0" l="0" r="0" t="0"/>
            <wp:docPr id="40"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900856" cy="246550"/>
                    </a:xfrm>
                    <a:prstGeom prst="rect"/>
                    <a:ln/>
                  </pic:spPr>
                </pic:pic>
              </a:graphicData>
            </a:graphic>
          </wp:inline>
        </w:drawing>
      </w:r>
      <w:r w:rsidDel="00000000" w:rsidR="00000000" w:rsidRPr="00000000">
        <w:rPr>
          <w:rFonts w:ascii="Arial" w:cs="Arial" w:eastAsia="Arial" w:hAnsi="Arial"/>
          <w:color w:val="1f1f1f"/>
          <w:rtl w:val="0"/>
        </w:rPr>
        <w:t xml:space="preserve"> échantillons) couplé à 88 variables environnementales, ont démontré d'excellentes capacités prédictives avec des aires sous la courbe ROC (AUC) supérieures à 0,96 en validation croisée.</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structure apprise par les DAGs a révélé des interdépendances causales fortes : la distance géospatiale par rapport aux usines de production chimique (notamment le complexe industriel de 3M à Cottage Grove), la proximité des décharges de déchets solides non étanchées, ainsi que l'étendue surfacique des zones humides et des zones urbaines développées constituent les variables les plus prédictives du dépassement des seuils de potabilité.</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De surcroît, ces modèles ont mis en lumière que les acides perfluorosulfoniques présentaient des risques de propagation et des concentrations sédimentaires systématiquement supérieurs à ceux des acides perfluorocarboxyliques dotés d'un nombre identique d'atomes de carbone.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Néanmoins, l'efficacité des réseaux bayésiens décline fortement lorsqu'ils sont confrontés à des espaces de caractéristiques hautement dimensionnels ou à des distributions de contaminants extrêmement asymétriques, où les concentrations maximales mesurées en situation de crise peuvent dépasser de 3 000 à 300 000 fois les valeurs médianes de fond de nappe.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II.2.2 - Forêts aléatoires et gradient boosting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appréhender de grands volumes de données tabulaires hétérogènes sans nécessiter d'hypothèses restrictives sur la distribution des variables, les algorithmes basés sur des ensembles d'arbres de décision, tels que les forêts aléatoires (Random Forest, RF) et les arbres boostés (Extreme Gradient Boosting, XGBoost), se sont imposés comme les outils les plus robustes de la discipline.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principe de l'algorithme XGBoost repose sur l'implémentation du gradient boosting, où des modèles d'arbres faibles sont ajoutés séquentiellement de manière à minimiser une fonction d'objectif globale régularisée.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À chaque itération </w:t>
      </w:r>
      <w:r w:rsidDel="00000000" w:rsidR="00000000" w:rsidRPr="00000000">
        <w:rPr>
          <w:rFonts w:ascii="Arial" w:cs="Arial" w:eastAsia="Arial" w:hAnsi="Arial"/>
          <w:color w:val="1f1f1f"/>
        </w:rPr>
        <w:drawing>
          <wp:inline distB="19050" distT="19050" distL="19050" distR="19050">
            <wp:extent cx="70842" cy="263128"/>
            <wp:effectExtent b="0" l="0" r="0" t="0"/>
            <wp:docPr id="4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le système cherche à optimiser l'équation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23623"/>
            <wp:effectExtent b="0" l="0" r="0" t="0"/>
            <wp:docPr id="42"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905500" cy="72362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où </w:t>
      </w:r>
      <w:r w:rsidDel="00000000" w:rsidR="00000000" w:rsidRPr="00000000">
        <w:rPr>
          <w:rFonts w:ascii="Arial" w:cs="Arial" w:eastAsia="Arial" w:hAnsi="Arial"/>
          <w:color w:val="1f1f1f"/>
        </w:rPr>
        <w:drawing>
          <wp:inline distB="19050" distT="19050" distL="19050" distR="19050">
            <wp:extent cx="62210" cy="231066"/>
            <wp:effectExtent b="0" l="0" r="0" t="0"/>
            <wp:docPr id="43"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62210" cy="231066"/>
                    </a:xfrm>
                    <a:prstGeom prst="rect"/>
                    <a:ln/>
                  </pic:spPr>
                </pic:pic>
              </a:graphicData>
            </a:graphic>
          </wp:inline>
        </w:drawing>
      </w:r>
      <w:r w:rsidDel="00000000" w:rsidR="00000000" w:rsidRPr="00000000">
        <w:rPr>
          <w:rFonts w:ascii="Arial" w:cs="Arial" w:eastAsia="Arial" w:hAnsi="Arial"/>
          <w:color w:val="1f1f1f"/>
          <w:rtl w:val="0"/>
        </w:rPr>
        <w:t xml:space="preserve"> correspond à la fonction de perte mesurant l'écart entre la valeur réelle </w:t>
      </w:r>
      <w:r w:rsidDel="00000000" w:rsidR="00000000" w:rsidRPr="00000000">
        <w:rPr>
          <w:rFonts w:ascii="Arial" w:cs="Arial" w:eastAsia="Arial" w:hAnsi="Arial"/>
          <w:color w:val="1f1f1f"/>
        </w:rPr>
        <w:drawing>
          <wp:inline distB="19050" distT="19050" distL="19050" distR="19050">
            <wp:extent cx="152995" cy="248617"/>
            <wp:effectExtent b="0" l="0" r="0" t="0"/>
            <wp:docPr id="45"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color w:val="1f1f1f"/>
          <w:rtl w:val="0"/>
        </w:rPr>
        <w:t xml:space="preserve"> et la prédiction cumulée à l'étape précédente </w:t>
      </w:r>
      <w:r w:rsidDel="00000000" w:rsidR="00000000" w:rsidRPr="00000000">
        <w:rPr>
          <w:rFonts w:ascii="Arial" w:cs="Arial" w:eastAsia="Arial" w:hAnsi="Arial"/>
          <w:color w:val="1f1f1f"/>
        </w:rPr>
        <w:drawing>
          <wp:inline distB="19050" distT="19050" distL="19050" distR="19050">
            <wp:extent cx="443806" cy="264395"/>
            <wp:effectExtent b="0" l="0" r="0" t="0"/>
            <wp:docPr id="46"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443806" cy="264395"/>
                    </a:xfrm>
                    <a:prstGeom prst="rect"/>
                    <a:ln/>
                  </pic:spPr>
                </pic:pic>
              </a:graphicData>
            </a:graphic>
          </wp:inline>
        </w:drawing>
      </w:r>
      <w:r w:rsidDel="00000000" w:rsidR="00000000" w:rsidRPr="00000000">
        <w:rPr>
          <w:rFonts w:ascii="Arial" w:cs="Arial" w:eastAsia="Arial" w:hAnsi="Arial"/>
          <w:color w:val="1f1f1f"/>
          <w:rtl w:val="0"/>
        </w:rPr>
        <w:t xml:space="preserve"> incrémentée du nouvel arbre </w:t>
      </w:r>
      <w:r w:rsidDel="00000000" w:rsidR="00000000" w:rsidRPr="00000000">
        <w:rPr>
          <w:rFonts w:ascii="Arial" w:cs="Arial" w:eastAsia="Arial" w:hAnsi="Arial"/>
          <w:color w:val="1f1f1f"/>
        </w:rPr>
        <w:drawing>
          <wp:inline distB="19050" distT="19050" distL="19050" distR="19050">
            <wp:extent cx="476697" cy="247882"/>
            <wp:effectExtent b="0" l="0" r="0" t="0"/>
            <wp:docPr id="47"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476697" cy="24788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terme </w:t>
      </w:r>
      <w:r w:rsidDel="00000000" w:rsidR="00000000" w:rsidRPr="00000000">
        <w:rPr>
          <w:rFonts w:ascii="Arial" w:cs="Arial" w:eastAsia="Arial" w:hAnsi="Arial"/>
          <w:color w:val="1f1f1f"/>
        </w:rPr>
        <w:drawing>
          <wp:inline distB="19050" distT="19050" distL="19050" distR="19050">
            <wp:extent cx="449163" cy="248473"/>
            <wp:effectExtent b="0" l="0" r="0" t="0"/>
            <wp:docPr id="4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49163" cy="248473"/>
                    </a:xfrm>
                    <a:prstGeom prst="rect"/>
                    <a:ln/>
                  </pic:spPr>
                </pic:pic>
              </a:graphicData>
            </a:graphic>
          </wp:inline>
        </w:drawing>
      </w:r>
      <w:r w:rsidDel="00000000" w:rsidR="00000000" w:rsidRPr="00000000">
        <w:rPr>
          <w:rFonts w:ascii="Arial" w:cs="Arial" w:eastAsia="Arial" w:hAnsi="Arial"/>
          <w:color w:val="1f1f1f"/>
          <w:rtl w:val="0"/>
        </w:rPr>
        <w:t xml:space="preserve"> pénalise la complexité de l'arbre pour empêcher le surapprentissage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72682"/>
            <wp:effectExtent b="0" l="0" r="0" t="0"/>
            <wp:docPr id="49"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905500" cy="77268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avec </w:t>
      </w:r>
      <w:r w:rsidDel="00000000" w:rsidR="00000000" w:rsidRPr="00000000">
        <w:rPr>
          <w:rFonts w:ascii="Arial" w:cs="Arial" w:eastAsia="Arial" w:hAnsi="Arial"/>
          <w:color w:val="1f1f1f"/>
        </w:rPr>
        <w:drawing>
          <wp:inline distB="19050" distT="19050" distL="19050" distR="19050">
            <wp:extent cx="141536" cy="245329"/>
            <wp:effectExtent b="0" l="0" r="0" t="0"/>
            <wp:docPr id="50"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141536" cy="245329"/>
                    </a:xfrm>
                    <a:prstGeom prst="rect"/>
                    <a:ln/>
                  </pic:spPr>
                </pic:pic>
              </a:graphicData>
            </a:graphic>
          </wp:inline>
        </w:drawing>
      </w:r>
      <w:r w:rsidDel="00000000" w:rsidR="00000000" w:rsidRPr="00000000">
        <w:rPr>
          <w:rFonts w:ascii="Arial" w:cs="Arial" w:eastAsia="Arial" w:hAnsi="Arial"/>
          <w:color w:val="1f1f1f"/>
          <w:rtl w:val="0"/>
        </w:rPr>
        <w:t xml:space="preserve"> le nombre de nœuds terminaux (feuilles) et </w:t>
      </w:r>
      <w:r w:rsidDel="00000000" w:rsidR="00000000" w:rsidRPr="00000000">
        <w:rPr>
          <w:rFonts w:ascii="Arial" w:cs="Arial" w:eastAsia="Arial" w:hAnsi="Arial"/>
          <w:color w:val="1f1f1f"/>
        </w:rPr>
        <w:drawing>
          <wp:inline distB="19050" distT="19050" distL="19050" distR="19050">
            <wp:extent cx="145553" cy="252293"/>
            <wp:effectExtent b="0" l="0" r="0" t="0"/>
            <wp:docPr id="51"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145553" cy="252293"/>
                    </a:xfrm>
                    <a:prstGeom prst="rect"/>
                    <a:ln/>
                  </pic:spPr>
                </pic:pic>
              </a:graphicData>
            </a:graphic>
          </wp:inline>
        </w:drawing>
      </w:r>
      <w:r w:rsidDel="00000000" w:rsidR="00000000" w:rsidRPr="00000000">
        <w:rPr>
          <w:rFonts w:ascii="Arial" w:cs="Arial" w:eastAsia="Arial" w:hAnsi="Arial"/>
          <w:color w:val="1f1f1f"/>
          <w:rtl w:val="0"/>
        </w:rPr>
        <w:t xml:space="preserve"> le vecteur des scores affectés aux feuilles.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À l'échelle continentale des États-Unis, Tokranov et al. (2024) ont développé un modèle prédictif XGBoost à l'échelle nationale pour évaluer la vulnérabilité des ressources en eau potable de fond de nappe.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En entraînant leur modèle sur des données géochimiques nationales (USGS) collectées entre 2019 et 2022, les auteurs ont pu estimer qu'entre 71 et 95 millions de citoyens américains dépendent d'aquifères non traités présentant des concentrations détectables de PFAS.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L'analyse de l'importance des variables au sein de ce modèle a classé l'utilisation des sols urbains, la profondeur de crépine des puits, la teneur moyenne en argile des sols, la densité de population, le taux de recharge annuelle de l'aquifère et la distance géospatiale aux sources potentielles de rejets industriels (aéroports, centres d'entraînement des pompiers, décharges de classe I) comme les facteurs explicatifs majeurs.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parallèle, l'étude pionnière de George et Dixit (2021) en Californie a démontré que l'algorithme Random Forest surclassait les modèles de régression linéaire classiques.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En intégrant des empreintes de co-contaminants inorganiques (nitrates, sulfates, solides dissous totaux), des données hydrogéologiques et des indicateurs de proximité industrielle, leur modèle a obtenu une exactitude globale de 91% (avec une AUC de 0,90) pour identifier les puits présentant des concentrations critiques en PFAS supérieures aux recommandations sanitaires.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De même, les modèles d'arbres de régression boostés (BRT) appliqués par McMahon et al. (2022) dans l'est des États-Unis ont mis en relief le rôle d'indicateurs géochimiques clés.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La concentration en tritium (indiquant un temps de séjour court et une recharge moderne de la nappe), les teneurs en carbone organique dissous (DOC) et la présence d'autres composés organiques volatils (COV) d'origine industrielle s'avèrent être des proxys prédictifs très puissants pour repérer les panaches de PFAS.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tableau ci-dessous dresse une comparaison systématique des performances et des configurations de ces principales approches classiques de la littérature.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Étude et Référence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Modèle Classique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Échelle d'Analyse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Variables Explicatives Majeures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Métriques de Performance Référence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Li &amp; MacDonald Gibson </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Réseau Bayésien (MDL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Régionale (Minnesota, </w:t>
            </w:r>
            <w:r w:rsidDel="00000000" w:rsidR="00000000" w:rsidRPr="00000000">
              <w:rPr>
                <w:rFonts w:ascii="Arial" w:cs="Arial" w:eastAsia="Arial" w:hAnsi="Arial"/>
                <w:color w:val="1f1f1f"/>
                <w:shd w:fill="auto" w:val="clear"/>
              </w:rPr>
              <w:drawing>
                <wp:inline distB="19050" distT="19050" distL="19050" distR="19050">
                  <wp:extent cx="794891" cy="220271"/>
                  <wp:effectExtent b="0" l="0" r="0" t="0"/>
                  <wp:docPr id="52"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794891" cy="22027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Distance à l'usine 3M, distance aux décharges, hydrogéologie locale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AUC ROC </w:t>
            </w:r>
            <w:r w:rsidDel="00000000" w:rsidR="00000000" w:rsidRPr="00000000">
              <w:rPr>
                <w:rFonts w:ascii="Arial" w:cs="Arial" w:eastAsia="Arial" w:hAnsi="Arial"/>
                <w:color w:val="1f1f1f"/>
                <w:shd w:fill="auto" w:val="clear"/>
              </w:rPr>
              <w:drawing>
                <wp:inline distB="19050" distT="19050" distL="19050" distR="19050">
                  <wp:extent cx="134541" cy="211421"/>
                  <wp:effectExtent b="0" l="0" r="0" t="0"/>
                  <wp:docPr id="21"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134541" cy="211421"/>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0,96 (Cross-Validation)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Tokranov et al. </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XGBoost (SMOTE Rebalancing)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Nationale (USA, résolution 1x1 km)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Sols urbains, profondeur de puits, argile, recharge, distance 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Prédiction d'exposition nationale (71-95 millions d'humains)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George &amp; Dixit </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Random Forest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État (Californie, base GAMA)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Co-contaminants, variables de sol, proximité aéroports/bases militaires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Exactitude globale : 91%, AUC ROC : 0,90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McMahon et al. </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Boosted Regression Trees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Régionale (Est des USA, 254 puits)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Tritium, distance aires d'incendie, sols urbains, DOC, COV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Identification de la signature hydro-géochimique moderne</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Malgré l'efficacité empirique indéniable de ces approches, leur architecture purement tabulaire induit une limite conceptuelle fondamentale : elles font l'hypothèse de l'indépendance statistique des observations et ignorent la topologie relationnelle intrinsèque des réseaux de surveillance environnementaux.</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puits ne sont pas des entités isolées mais s'inscrivent dans des continuums géologiques caractérisés par des écoulements advectifs et des proximités partagées avec des réseaux d'infrastructures polluantes.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II.3 - Approches basées sur l'apprentissage profond et les graphes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dépasser l'aveuglement spatial des méthodes classiques, la recherche s'est orientée vers l'apprentissage profond et le développement d'architectures connexionnistes capables d'appréhender directement les dépendances géométriques et chimiques.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II.3.1 - Réseaux de neurones pour la prédiction d'occurrence des PFAS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Les architectures neuronales profondes de type perceptron multicouche (Multi-Layer Perceptron, MLP) ont d'abord été introduites pour capturer des interactions de transport non linéaires à haute dimensionnalité.</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Cependant, l'une des applications les plus fructueuses de l'apprentissage profond s'est développée à l'échelle moléculaire pour surmonter le déficit de connaissances concernant les caractéristiques toxicologiques des milliers de PFAS enregistrés.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pallier le coût rédhibitoire des essais toxicologiques </w:t>
      </w:r>
      <w:r w:rsidDel="00000000" w:rsidR="00000000" w:rsidRPr="00000000">
        <w:rPr>
          <w:rFonts w:ascii="Arial" w:cs="Arial" w:eastAsia="Arial" w:hAnsi="Arial"/>
          <w:i w:val="1"/>
          <w:iCs w:val="1"/>
          <w:color w:val="1f1f1f"/>
          <w:rtl w:val="0"/>
        </w:rPr>
        <w:t xml:space="preserve">in vivo</w:t>
      </w:r>
      <w:r w:rsidDel="00000000" w:rsidR="00000000" w:rsidRPr="00000000">
        <w:rPr>
          <w:rFonts w:ascii="Arial" w:cs="Arial" w:eastAsia="Arial" w:hAnsi="Arial"/>
          <w:color w:val="1f1f1f"/>
          <w:rtl w:val="0"/>
        </w:rPr>
        <w:t xml:space="preserve">, Cheng et Ng (2019) ont entraîné des modèles QSAR (Quantitative Structure-Activity Relationship) fondés sur l'apprentissage profond pour prédire la bioactivité de 3 486 PFAS issus de la liste de référence de l'OCDE.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En évaluant différentes structures neuronales sur une base de données moléculaires compilée pour 26 bioessais (protéines, enzymes, récepteurs cellulaires), les auteurs ont établi que les réseaux de neurones multitâches (Multitask Neural Networks, MNN) et les réseaux convolutifs sur graphes moléculaires (Graph Convolutional Networks, GCN) offraient des performances prédictives de premier plan, atteignant une AUC moyenne de 0,916.</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Ces travaux démontrent que l'apprentissage conjoint de plusieurs tâches biologiques permet au réseau de partager des représentations latentes de la structure chimique, compensant ainsi le manque d'étiquettes pour certains essais spécifiques.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Les prédictions générées révèlent que les composés présentant une bioactivité significative possèdent majoritairement des longueurs de chaîne perfluorée inférieures à 12 carbones.</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De plus, pour optimiser les procédés d'élimination de ces polluants, les réseaux de neurones feed-forward ont été appliqués avec succès pour prédire avec une précision extrême (déviation moyenne inférieure à 0,70 kcal/mol) les énergies de dissociation des liaisons carbone-fluor (</w:t>
      </w:r>
      <w:r w:rsidDel="00000000" w:rsidR="00000000" w:rsidRPr="00000000">
        <w:rPr>
          <w:rFonts w:ascii="Arial" w:cs="Arial" w:eastAsia="Arial" w:hAnsi="Arial"/>
          <w:color w:val="1f1f1f"/>
        </w:rPr>
        <w:drawing>
          <wp:inline distB="19050" distT="19050" distL="19050" distR="19050">
            <wp:extent cx="546497" cy="249279"/>
            <wp:effectExtent b="0" l="0" r="0" t="0"/>
            <wp:docPr id="2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46497" cy="249279"/>
                    </a:xfrm>
                    <a:prstGeom prst="rect"/>
                    <a:ln/>
                  </pic:spPr>
                </pic:pic>
              </a:graphicData>
            </a:graphic>
          </wp:inline>
        </w:drawing>
      </w:r>
      <w:r w:rsidDel="00000000" w:rsidR="00000000" w:rsidRPr="00000000">
        <w:rPr>
          <w:rFonts w:ascii="Arial" w:cs="Arial" w:eastAsia="Arial" w:hAnsi="Arial"/>
          <w:color w:val="1f1f1f"/>
          <w:rtl w:val="0"/>
        </w:rPr>
        <w:t xml:space="preserve">) des PFAS, facilitant ainsi la conception de stratégies expérimentales de défluoration ciblée sans exiger de simulations de mécanique quantique tridimensionnelles coûteuses.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II.3.2 - Approches semi-supervisées multi-étiquettes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Dans les environnements réels, les PFAS coexistent sous la forme de mélanges complexes résultant de rejets multi-sources ou de transformations physico-chimiques </w:t>
      </w:r>
      <w:r w:rsidDel="00000000" w:rsidR="00000000" w:rsidRPr="00000000">
        <w:rPr>
          <w:rFonts w:ascii="Arial" w:cs="Arial" w:eastAsia="Arial" w:hAnsi="Arial"/>
          <w:i w:val="1"/>
          <w:iCs w:val="1"/>
          <w:color w:val="1f1f1f"/>
          <w:rtl w:val="0"/>
        </w:rPr>
        <w:t xml:space="preserve">in situ</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Face à la multiplicité des analytes à surveiller, l'entraînement de modèles de classification binaires indépendants pour chaque molécule s'avère sous-optimal, car cela néglige les corrélations inhérentes aux différentes sous-familles chimiques (acides carboxyliques, sulfonates, dérivés fluorotélomériques).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exploiter ces corrélations, Dong et al. (2024) ont développé un pipeline d'apprentissage semi-supervisé multi-étiquettes (Multilabel Semi-Supervised Learning) appliqué aux eaux souterraines de Californie.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En rassemblant 23 bases de données publiques (couvrant la période 2016-2022), les auteurs ont structuré une base de données de 25 000 observations géoréférencées.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 cœur de leur méthodologie repose sur l'implémentation de chaînes de classificateurs (Classifier Chains, CC).</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Contrairement aux approches classiques d'évaluation indépendante, une chaîne de classificateurs ordonne les étiquettes de PFAS cibles </w:t>
      </w:r>
      <w:r w:rsidDel="00000000" w:rsidR="00000000" w:rsidRPr="00000000">
        <w:rPr>
          <w:rFonts w:ascii="Arial" w:cs="Arial" w:eastAsia="Arial" w:hAnsi="Arial"/>
          <w:color w:val="1f1f1f"/>
        </w:rPr>
        <w:drawing>
          <wp:inline distB="19050" distT="19050" distL="19050" distR="19050">
            <wp:extent cx="1320108" cy="246927"/>
            <wp:effectExtent b="0" l="0" r="0" t="0"/>
            <wp:docPr id="2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320108" cy="246927"/>
                    </a:xfrm>
                    <a:prstGeom prst="rect"/>
                    <a:ln/>
                  </pic:spPr>
                </pic:pic>
              </a:graphicData>
            </a:graphic>
          </wp:inline>
        </w:drawing>
      </w:r>
      <w:r w:rsidDel="00000000" w:rsidR="00000000" w:rsidRPr="00000000">
        <w:rPr>
          <w:rFonts w:ascii="Arial" w:cs="Arial" w:eastAsia="Arial" w:hAnsi="Arial"/>
          <w:color w:val="1f1f1f"/>
          <w:rtl w:val="0"/>
        </w:rPr>
        <w:t xml:space="preserve"> (par exemple, les statuts de contamination de 35 molécules individuelles au-dessus d'un seuil de 2 ng/L) et effectue ses prédictions de manière séquentielle.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 modèle affecté à l'étape </w:t>
      </w:r>
      <w:r w:rsidDel="00000000" w:rsidR="00000000" w:rsidRPr="00000000">
        <w:rPr>
          <w:rFonts w:ascii="Arial" w:cs="Arial" w:eastAsia="Arial" w:hAnsi="Arial"/>
          <w:color w:val="1f1f1f"/>
        </w:rPr>
        <w:drawing>
          <wp:inline distB="19050" distT="19050" distL="19050" distR="19050">
            <wp:extent cx="91976" cy="239137"/>
            <wp:effectExtent b="0" l="0" r="0" t="0"/>
            <wp:docPr id="2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91976" cy="239137"/>
                    </a:xfrm>
                    <a:prstGeom prst="rect"/>
                    <a:ln/>
                  </pic:spPr>
                </pic:pic>
              </a:graphicData>
            </a:graphic>
          </wp:inline>
        </w:drawing>
      </w:r>
      <w:r w:rsidDel="00000000" w:rsidR="00000000" w:rsidRPr="00000000">
        <w:rPr>
          <w:rFonts w:ascii="Arial" w:cs="Arial" w:eastAsia="Arial" w:hAnsi="Arial"/>
          <w:color w:val="1f1f1f"/>
          <w:rtl w:val="0"/>
        </w:rPr>
        <w:t xml:space="preserve"> intègre ainsi les variables environnementales </w:t>
      </w:r>
      <w:r w:rsidDel="00000000" w:rsidR="00000000" w:rsidRPr="00000000">
        <w:rPr>
          <w:rFonts w:ascii="Arial" w:cs="Arial" w:eastAsia="Arial" w:hAnsi="Arial"/>
          <w:color w:val="1f1f1f"/>
        </w:rPr>
        <w:drawing>
          <wp:inline distB="19050" distT="19050" distL="19050" distR="19050">
            <wp:extent cx="112067" cy="242813"/>
            <wp:effectExtent b="0" l="0" r="0" t="0"/>
            <wp:docPr id="25"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12067" cy="242813"/>
                    </a:xfrm>
                    <a:prstGeom prst="rect"/>
                    <a:ln/>
                  </pic:spPr>
                </pic:pic>
              </a:graphicData>
            </a:graphic>
          </wp:inline>
        </w:drawing>
      </w:r>
      <w:r w:rsidDel="00000000" w:rsidR="00000000" w:rsidRPr="00000000">
        <w:rPr>
          <w:rFonts w:ascii="Arial" w:cs="Arial" w:eastAsia="Arial" w:hAnsi="Arial"/>
          <w:color w:val="1f1f1f"/>
          <w:rtl w:val="0"/>
        </w:rPr>
        <w:t xml:space="preserve"> ainsi que les prédictions d'occurrence des contaminants déjà évalués en amont de la chaîne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58048"/>
            <wp:effectExtent b="0" l="0" r="0" t="0"/>
            <wp:docPr id="26"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05500" cy="55804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Cette modélisation des interdépendances logiques entre analytes (comme la probabilité accrue de détecter des acides carboxyliques à chaîne courte lorsque leurs précurseurs fluorotélomères sont détectés en amont) a permis d'élever l'AUC ROC entre 73% et 100% selon les substances.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L'intégration du paradigme semi-supervisé, exploitant des techniques de pseudo-étiquetage sur des puits d'eau non mesurés historiquement, a permis de combler les lacunes d'analyse chimique et de reconstruire des historiques temporels complets de contamination à l'échelle de l'État de Californie.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II.3.3 - Réseaux de neurones sur graphes hétérogènes pour les PFAS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Bien que les approches multi-étiquettes intègrent les relations chimiques, l'absence de représentation explicite des voies de transfert physique dans le sous-sol limitait leur portée prédictive.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Pour combler cette lacune, Bomgni et al. (2025) ont introduit une architecture hybride novatrice, combinant un transformeur de graphe hétérogène (Heterogeneous Graph Transformer, HGT) et un classificateur XGBoost dans un cadre d'apprentissage géométrique profond.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 puissance de ce formalisme réside dans sa capacité à transcrire mathématiquement le modèle conceptuel environnemental "source-voie de transfert-récepteur".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 graphe hétérogène </w:t>
      </w:r>
      <w:r w:rsidDel="00000000" w:rsidR="00000000" w:rsidRPr="00000000">
        <w:rPr>
          <w:rFonts w:ascii="Arial" w:cs="Arial" w:eastAsia="Arial" w:hAnsi="Arial"/>
          <w:color w:val="1f1f1f"/>
        </w:rPr>
        <w:drawing>
          <wp:inline distB="19050" distT="19050" distL="19050" distR="19050">
            <wp:extent cx="885825" cy="238125"/>
            <wp:effectExtent b="0" l="0" r="0" t="0"/>
            <wp:docPr id="2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885825" cy="238125"/>
                    </a:xfrm>
                    <a:prstGeom prst="rect"/>
                    <a:ln/>
                  </pic:spPr>
                </pic:pic>
              </a:graphicData>
            </a:graphic>
          </wp:inline>
        </w:drawing>
      </w:r>
      <w:r w:rsidDel="00000000" w:rsidR="00000000" w:rsidRPr="00000000">
        <w:rPr>
          <w:rFonts w:ascii="Arial" w:cs="Arial" w:eastAsia="Arial" w:hAnsi="Arial"/>
          <w:color w:val="1f1f1f"/>
          <w:rtl w:val="0"/>
        </w:rPr>
        <w:t xml:space="preserve"> est ainsi construit, où les nœuds </w:t>
      </w:r>
      <w:r w:rsidDel="00000000" w:rsidR="00000000" w:rsidRPr="00000000">
        <w:rPr>
          <w:rFonts w:ascii="Arial" w:cs="Arial" w:eastAsia="Arial" w:hAnsi="Arial"/>
          <w:color w:val="1f1f1f"/>
        </w:rPr>
        <w:drawing>
          <wp:inline distB="19050" distT="19050" distL="19050" distR="19050">
            <wp:extent cx="136178" cy="243175"/>
            <wp:effectExtent b="0" l="0" r="0" t="0"/>
            <wp:docPr id="2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136178" cy="243175"/>
                    </a:xfrm>
                    <a:prstGeom prst="rect"/>
                    <a:ln/>
                  </pic:spPr>
                </pic:pic>
              </a:graphicData>
            </a:graphic>
          </wp:inline>
        </w:drawing>
      </w:r>
      <w:r w:rsidDel="00000000" w:rsidR="00000000" w:rsidRPr="00000000">
        <w:rPr>
          <w:rFonts w:ascii="Arial" w:cs="Arial" w:eastAsia="Arial" w:hAnsi="Arial"/>
          <w:color w:val="1f1f1f"/>
          <w:rtl w:val="0"/>
        </w:rPr>
        <w:t xml:space="preserve"> et les arêtes </w:t>
      </w:r>
      <w:r w:rsidDel="00000000" w:rsidR="00000000" w:rsidRPr="00000000">
        <w:rPr>
          <w:rFonts w:ascii="Arial" w:cs="Arial" w:eastAsia="Arial" w:hAnsi="Arial"/>
          <w:color w:val="1f1f1f"/>
        </w:rPr>
        <w:drawing>
          <wp:inline distB="19050" distT="19050" distL="19050" distR="19050">
            <wp:extent cx="120848" cy="232401"/>
            <wp:effectExtent b="0" l="0" r="0" t="0"/>
            <wp:docPr id="29"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120848" cy="232401"/>
                    </a:xfrm>
                    <a:prstGeom prst="rect"/>
                    <a:ln/>
                  </pic:spPr>
                </pic:pic>
              </a:graphicData>
            </a:graphic>
          </wp:inline>
        </w:drawing>
      </w:r>
      <w:r w:rsidDel="00000000" w:rsidR="00000000" w:rsidRPr="00000000">
        <w:rPr>
          <w:rFonts w:ascii="Arial" w:cs="Arial" w:eastAsia="Arial" w:hAnsi="Arial"/>
          <w:color w:val="1f1f1f"/>
          <w:rtl w:val="0"/>
        </w:rPr>
        <w:t xml:space="preserve"> sont typés.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 réseau est structuré autour de six types de nœuds spécifiques (</w:t>
      </w:r>
      <w:r w:rsidDel="00000000" w:rsidR="00000000" w:rsidRPr="00000000">
        <w:rPr>
          <w:rFonts w:ascii="Arial" w:cs="Arial" w:eastAsia="Arial" w:hAnsi="Arial"/>
          <w:color w:val="1f1f1f"/>
        </w:rPr>
        <w:drawing>
          <wp:inline distB="19050" distT="19050" distL="19050" distR="19050">
            <wp:extent cx="187970" cy="234963"/>
            <wp:effectExtent b="0" l="0" r="0" t="0"/>
            <wp:docPr id="30"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187970" cy="234963"/>
                    </a:xfrm>
                    <a:prstGeom prst="rect"/>
                    <a:ln/>
                  </pic:spPr>
                </pic:pic>
              </a:graphicData>
            </a:graphic>
          </wp:inline>
        </w:drawing>
      </w:r>
      <w:r w:rsidDel="00000000" w:rsidR="00000000" w:rsidRPr="00000000">
        <w:rPr>
          <w:rFonts w:ascii="Arial" w:cs="Arial" w:eastAsia="Arial" w:hAnsi="Arial"/>
          <w:color w:val="1f1f1f"/>
          <w:rtl w:val="0"/>
        </w:rPr>
        <w:t xml:space="preserve">) :</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Les nœuds Échantillons (Samples)</w:t>
      </w:r>
      <w:r w:rsidDel="00000000" w:rsidR="00000000" w:rsidRPr="00000000">
        <w:rPr>
          <w:rFonts w:ascii="Arial" w:cs="Arial" w:eastAsia="Arial" w:hAnsi="Arial"/>
          <w:color w:val="1f1f1f"/>
          <w:rtl w:val="0"/>
        </w:rPr>
        <w:t xml:space="preserve"> : représentant les puits de surveillance réels, initialisés avec un vecteur de caractéristiques tabulaires à 58 dimensions (mesures physico-chimiques de base, hydrogéologie, géographie).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Les nœuds Composés PFAS (Compounds)</w:t>
      </w:r>
      <w:r w:rsidDel="00000000" w:rsidR="00000000" w:rsidRPr="00000000">
        <w:rPr>
          <w:rFonts w:ascii="Arial" w:cs="Arial" w:eastAsia="Arial" w:hAnsi="Arial"/>
          <w:color w:val="1f1f1f"/>
          <w:rtl w:val="0"/>
        </w:rPr>
        <w:t xml:space="preserve"> : encapsulant les propriétés moléculaires intrinsèques (poids moléculaire, solubilité, hydrophobicité LogP).</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Les nœuds Sources (Facilities)</w:t>
      </w:r>
      <w:r w:rsidDel="00000000" w:rsidR="00000000" w:rsidRPr="00000000">
        <w:rPr>
          <w:rFonts w:ascii="Arial" w:cs="Arial" w:eastAsia="Arial" w:hAnsi="Arial"/>
          <w:color w:val="1f1f1f"/>
          <w:rtl w:val="0"/>
        </w:rPr>
        <w:t xml:space="preserve"> : localisant les sources anthropiques potentielles (aéroports, bases militaires, usines de traitement, décharges).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Les nœuds Environnementaux (Environmental Variables)</w:t>
      </w:r>
      <w:r w:rsidDel="00000000" w:rsidR="00000000" w:rsidRPr="00000000">
        <w:rPr>
          <w:rFonts w:ascii="Arial" w:cs="Arial" w:eastAsia="Arial" w:hAnsi="Arial"/>
          <w:color w:val="1f1f1f"/>
          <w:rtl w:val="0"/>
        </w:rPr>
        <w:t xml:space="preserve"> : décrivant les propriétés physiques locales (précipitation, taux de recharge annuel, nature texturale du sol).</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Les nœuds Qualité de l'Eau (Water Quality)</w:t>
      </w:r>
      <w:r w:rsidDel="00000000" w:rsidR="00000000" w:rsidRPr="00000000">
        <w:rPr>
          <w:rFonts w:ascii="Arial" w:cs="Arial" w:eastAsia="Arial" w:hAnsi="Arial"/>
          <w:color w:val="1f1f1f"/>
          <w:rtl w:val="0"/>
        </w:rPr>
        <w:t xml:space="preserve"> : intégrant les concentrations de co-contaminants marqueurs d'activité anthropique (nitrates, sulfates, solvants chlorés comme le trichloroéthylène).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Les nœuds Clusters Géographiques (Geographic Clusters)</w:t>
      </w:r>
      <w:r w:rsidDel="00000000" w:rsidR="00000000" w:rsidRPr="00000000">
        <w:rPr>
          <w:rFonts w:ascii="Arial" w:cs="Arial" w:eastAsia="Arial" w:hAnsi="Arial"/>
          <w:color w:val="1f1f1f"/>
          <w:rtl w:val="0"/>
        </w:rPr>
        <w:t xml:space="preserve"> : capturant l'autocorrélation spatiale par un partitionnement géospatial préalable.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propagation des informations environnementales s'opère par des relations typées (</w:t>
      </w:r>
      <w:r w:rsidDel="00000000" w:rsidR="00000000" w:rsidRPr="00000000">
        <w:rPr>
          <w:rFonts w:ascii="Arial" w:cs="Arial" w:eastAsia="Arial" w:hAnsi="Arial"/>
          <w:color w:val="1f1f1f"/>
        </w:rPr>
        <w:drawing>
          <wp:inline distB="19050" distT="19050" distL="19050" distR="19050">
            <wp:extent cx="180380" cy="237342"/>
            <wp:effectExtent b="0" l="0" r="0" t="0"/>
            <wp:docPr id="1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180380" cy="237342"/>
                    </a:xfrm>
                    <a:prstGeom prst="rect"/>
                    <a:ln/>
                  </pic:spPr>
                </pic:pic>
              </a:graphicData>
            </a:graphic>
          </wp:inline>
        </w:drawing>
      </w:r>
      <w:r w:rsidDel="00000000" w:rsidR="00000000" w:rsidRPr="00000000">
        <w:rPr>
          <w:rFonts w:ascii="Arial" w:cs="Arial" w:eastAsia="Arial" w:hAnsi="Arial"/>
          <w:color w:val="1f1f1f"/>
          <w:rtl w:val="0"/>
        </w:rPr>
        <w:t xml:space="preserve">) reliant ces nœuds (par exemple, les arêtes </w:t>
      </w:r>
      <w:r w:rsidDel="00000000" w:rsidR="00000000" w:rsidRPr="00000000">
        <w:rPr>
          <w:rFonts w:ascii="Arial" w:cs="Arial" w:eastAsia="Arial" w:hAnsi="Arial"/>
          <w:i w:val="1"/>
          <w:iCs w:val="1"/>
          <w:color w:val="1f1f1f"/>
          <w:rtl w:val="0"/>
        </w:rPr>
        <w:t xml:space="preserve">has_env</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near_facility</w:t>
      </w:r>
      <w:r w:rsidDel="00000000" w:rsidR="00000000" w:rsidRPr="00000000">
        <w:rPr>
          <w:rFonts w:ascii="Arial" w:cs="Arial" w:eastAsia="Arial" w:hAnsi="Arial"/>
          <w:color w:val="1f1f1f"/>
          <w:rtl w:val="0"/>
        </w:rPr>
        <w:t xml:space="preserve"> ou </w:t>
      </w:r>
      <w:r w:rsidDel="00000000" w:rsidR="00000000" w:rsidRPr="00000000">
        <w:rPr>
          <w:rFonts w:ascii="Arial" w:cs="Arial" w:eastAsia="Arial" w:hAnsi="Arial"/>
          <w:i w:val="1"/>
          <w:iCs w:val="1"/>
          <w:color w:val="1f1f1f"/>
          <w:rtl w:val="0"/>
        </w:rPr>
        <w:t xml:space="preserve">detected_in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À chaque couche du réseau HGT, l'agrégation des messages géospatiaux et géochimiques est modulée par un mécanisme d'attention hétérogène, qui projette les nœuds dans des espaces de représentation dédiés à leur sémantique propre avant d'évaluer leur influence mutuelle.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Mathématiquement, l'attention réciproque entre un nœud cible </w:t>
      </w:r>
      <w:r w:rsidDel="00000000" w:rsidR="00000000" w:rsidRPr="00000000">
        <w:rPr>
          <w:rFonts w:ascii="Arial" w:cs="Arial" w:eastAsia="Arial" w:hAnsi="Arial"/>
          <w:color w:val="1f1f1f"/>
        </w:rPr>
        <w:drawing>
          <wp:inline distB="19050" distT="19050" distL="19050" distR="19050">
            <wp:extent cx="70842" cy="263128"/>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et un nœud voisin </w:t>
      </w:r>
      <w:r w:rsidDel="00000000" w:rsidR="00000000" w:rsidRPr="00000000">
        <w:rPr>
          <w:rFonts w:ascii="Arial" w:cs="Arial" w:eastAsia="Arial" w:hAnsi="Arial"/>
          <w:color w:val="1f1f1f"/>
        </w:rPr>
        <w:drawing>
          <wp:inline distB="19050" distT="19050" distL="19050" distR="19050">
            <wp:extent cx="91976" cy="239137"/>
            <wp:effectExtent b="0" l="0" r="0" t="0"/>
            <wp:docPr id="13"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91976" cy="239137"/>
                    </a:xfrm>
                    <a:prstGeom prst="rect"/>
                    <a:ln/>
                  </pic:spPr>
                </pic:pic>
              </a:graphicData>
            </a:graphic>
          </wp:inline>
        </w:drawing>
      </w:r>
      <w:r w:rsidDel="00000000" w:rsidR="00000000" w:rsidRPr="00000000">
        <w:rPr>
          <w:rFonts w:ascii="Arial" w:cs="Arial" w:eastAsia="Arial" w:hAnsi="Arial"/>
          <w:color w:val="1f1f1f"/>
          <w:rtl w:val="0"/>
        </w:rPr>
        <w:t xml:space="preserve"> lié par l'arête </w:t>
      </w:r>
      <w:r w:rsidDel="00000000" w:rsidR="00000000" w:rsidRPr="00000000">
        <w:rPr>
          <w:rFonts w:ascii="Arial" w:cs="Arial" w:eastAsia="Arial" w:hAnsi="Arial"/>
          <w:color w:val="1f1f1f"/>
        </w:rPr>
        <w:drawing>
          <wp:inline distB="19050" distT="19050" distL="19050" distR="19050">
            <wp:extent cx="754708" cy="248385"/>
            <wp:effectExtent b="0" l="0" r="0" t="0"/>
            <wp:docPr id="14"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754708" cy="248385"/>
                    </a:xfrm>
                    <a:prstGeom prst="rect"/>
                    <a:ln/>
                  </pic:spPr>
                </pic:pic>
              </a:graphicData>
            </a:graphic>
          </wp:inline>
        </w:drawing>
      </w:r>
      <w:r w:rsidDel="00000000" w:rsidR="00000000" w:rsidRPr="00000000">
        <w:rPr>
          <w:rFonts w:ascii="Arial" w:cs="Arial" w:eastAsia="Arial" w:hAnsi="Arial"/>
          <w:color w:val="1f1f1f"/>
          <w:rtl w:val="0"/>
        </w:rPr>
        <w:t xml:space="preserve"> est régie par l'opérateur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60417"/>
            <wp:effectExtent b="0" l="0" r="0" t="0"/>
            <wp:docPr id="15"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05500" cy="76041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où </w:t>
      </w:r>
      <w:r w:rsidDel="00000000" w:rsidR="00000000" w:rsidRPr="00000000">
        <w:rPr>
          <w:rFonts w:ascii="Arial" w:cs="Arial" w:eastAsia="Arial" w:hAnsi="Arial"/>
          <w:color w:val="1f1f1f"/>
        </w:rPr>
        <w:drawing>
          <wp:inline distB="19050" distT="19050" distL="19050" distR="19050">
            <wp:extent cx="178742" cy="244595"/>
            <wp:effectExtent b="0" l="0" r="0" t="0"/>
            <wp:docPr id="1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178742" cy="244595"/>
                    </a:xfrm>
                    <a:prstGeom prst="rect"/>
                    <a:ln/>
                  </pic:spPr>
                </pic:pic>
              </a:graphicData>
            </a:graphic>
          </wp:inline>
        </w:drawing>
      </w:r>
      <w:r w:rsidDel="00000000" w:rsidR="00000000" w:rsidRPr="00000000">
        <w:rPr>
          <w:rFonts w:ascii="Arial" w:cs="Arial" w:eastAsia="Arial" w:hAnsi="Arial"/>
          <w:color w:val="1f1f1f"/>
          <w:rtl w:val="0"/>
        </w:rPr>
        <w:t xml:space="preserve"> désigne les vecteurs de caractéristiques des nœuds, </w:t>
      </w:r>
      <w:r w:rsidDel="00000000" w:rsidR="00000000" w:rsidRPr="00000000">
        <w:rPr>
          <w:rFonts w:ascii="Arial" w:cs="Arial" w:eastAsia="Arial" w:hAnsi="Arial"/>
          <w:color w:val="1f1f1f"/>
        </w:rPr>
        <w:drawing>
          <wp:inline distB="19050" distT="19050" distL="19050" distR="19050">
            <wp:extent cx="446782" cy="247156"/>
            <wp:effectExtent b="0" l="0" r="0" t="0"/>
            <wp:docPr id="1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46782" cy="247156"/>
                    </a:xfrm>
                    <a:prstGeom prst="rect"/>
                    <a:ln/>
                  </pic:spPr>
                </pic:pic>
              </a:graphicData>
            </a:graphic>
          </wp:inline>
        </w:drawing>
      </w:r>
      <w:r w:rsidDel="00000000" w:rsidR="00000000" w:rsidRPr="00000000">
        <w:rPr>
          <w:rFonts w:ascii="Arial" w:cs="Arial" w:eastAsia="Arial" w:hAnsi="Arial"/>
          <w:color w:val="1f1f1f"/>
          <w:rtl w:val="0"/>
        </w:rPr>
        <w:t xml:space="preserve"> et </w:t>
      </w:r>
      <w:r w:rsidDel="00000000" w:rsidR="00000000" w:rsidRPr="00000000">
        <w:rPr>
          <w:rFonts w:ascii="Arial" w:cs="Arial" w:eastAsia="Arial" w:hAnsi="Arial"/>
          <w:color w:val="1f1f1f"/>
        </w:rPr>
        <w:drawing>
          <wp:inline distB="19050" distT="19050" distL="19050" distR="19050">
            <wp:extent cx="579090" cy="246825"/>
            <wp:effectExtent b="0" l="0" r="0" t="0"/>
            <wp:docPr id="18"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79090" cy="246825"/>
                    </a:xfrm>
                    <a:prstGeom prst="rect"/>
                    <a:ln/>
                  </pic:spPr>
                </pic:pic>
              </a:graphicData>
            </a:graphic>
          </wp:inline>
        </w:drawing>
      </w:r>
      <w:r w:rsidDel="00000000" w:rsidR="00000000" w:rsidRPr="00000000">
        <w:rPr>
          <w:rFonts w:ascii="Arial" w:cs="Arial" w:eastAsia="Arial" w:hAnsi="Arial"/>
          <w:color w:val="1f1f1f"/>
          <w:rtl w:val="0"/>
        </w:rPr>
        <w:t xml:space="preserve"> sont des matrices d'extraction sémantique, </w:t>
      </w:r>
      <w:r w:rsidDel="00000000" w:rsidR="00000000" w:rsidRPr="00000000">
        <w:rPr>
          <w:rFonts w:ascii="Arial" w:cs="Arial" w:eastAsia="Arial" w:hAnsi="Arial"/>
          <w:color w:val="1f1f1f"/>
        </w:rPr>
        <w:drawing>
          <wp:inline distB="19050" distT="19050" distL="19050" distR="19050">
            <wp:extent cx="396330" cy="245347"/>
            <wp:effectExtent b="0" l="0" r="0" t="0"/>
            <wp:docPr id="1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396330" cy="245347"/>
                    </a:xfrm>
                    <a:prstGeom prst="rect"/>
                    <a:ln/>
                  </pic:spPr>
                </pic:pic>
              </a:graphicData>
            </a:graphic>
          </wp:inline>
        </w:drawing>
      </w:r>
      <w:r w:rsidDel="00000000" w:rsidR="00000000" w:rsidRPr="00000000">
        <w:rPr>
          <w:rFonts w:ascii="Arial" w:cs="Arial" w:eastAsia="Arial" w:hAnsi="Arial"/>
          <w:color w:val="1f1f1f"/>
          <w:rtl w:val="0"/>
        </w:rPr>
        <w:t xml:space="preserve"> est une matrice de dépendance spécifique à la relation, et </w:t>
      </w:r>
      <w:r w:rsidDel="00000000" w:rsidR="00000000" w:rsidRPr="00000000">
        <w:rPr>
          <w:rFonts w:ascii="Arial" w:cs="Arial" w:eastAsia="Arial" w:hAnsi="Arial"/>
          <w:color w:val="1f1f1f"/>
        </w:rPr>
        <w:drawing>
          <wp:inline distB="19050" distT="19050" distL="19050" distR="19050">
            <wp:extent cx="101947" cy="240966"/>
            <wp:effectExtent b="0" l="0" r="0" t="0"/>
            <wp:docPr id="20" name="image17.png"/>
            <a:graphic>
              <a:graphicData uri="http://schemas.openxmlformats.org/drawingml/2006/picture">
                <pic:pic>
                  <pic:nvPicPr>
                    <pic:cNvPr id="0" name="image17.png"/>
                    <pic:cNvPicPr preferRelativeResize="0"/>
                  </pic:nvPicPr>
                  <pic:blipFill>
                    <a:blip r:embed="rId40"/>
                    <a:srcRect b="0" l="0" r="0" t="0"/>
                    <a:stretch>
                      <a:fillRect/>
                    </a:stretch>
                  </pic:blipFill>
                  <pic:spPr>
                    <a:xfrm>
                      <a:off x="0" y="0"/>
                      <a:ext cx="101947" cy="240966"/>
                    </a:xfrm>
                    <a:prstGeom prst="rect"/>
                    <a:ln/>
                  </pic:spPr>
                </pic:pic>
              </a:graphicData>
            </a:graphic>
          </wp:inline>
        </w:drawing>
      </w:r>
      <w:r w:rsidDel="00000000" w:rsidR="00000000" w:rsidRPr="00000000">
        <w:rPr>
          <w:rFonts w:ascii="Arial" w:cs="Arial" w:eastAsia="Arial" w:hAnsi="Arial"/>
          <w:color w:val="1f1f1f"/>
          <w:rtl w:val="0"/>
        </w:rPr>
        <w:t xml:space="preserve"> est le facteur de normalisation de l'attention.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Après plusieurs couches de convolution de graphe hétérogène, le modèle extrait pour chaque puits échantillon un plongement latent (embedding) tridimensionnel de dimension 64 qui capture la signature relationnelle de son contexte physique et industriel.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Afin d'éviter de submerger le signal des données tabulaires primaires lors de la phase de classification, ces représentations neuronales de 64 dimensions sont compressées par analyse en composantes principales (PCA) pour ne conserver que la composante principale majeure expliquant plus de 95% de la variance (notée HGT_emb_0).</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Cette caractéristique hybride est injectée aux côtés des 58 descripteurs tabulaires d'origine au sein d'une forêt d'arbres de décision XGBoost (pipeline d'Embedding Fusion), tirant profit à la fois de la puissance prédictive des méthodes d'ensemble et de l'intelligence contextuelle des convolutions sur graphes.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parfaire cette architecture, Bomgni et al. (2025) proposent une architecture d'Ensemble Stacking.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Cette méthode combine les prédictions hors-pli issues de trois modèles de base (HGT standalone, XGBoost tabulaire, LightGBM tabulaire) entraînés selon une validation croisée à 5 plis pour éviter toute fuite de données.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Ces probabilités initiales, croisées avec des métriques de confiance (entropie de prédiction) et le résumé latent géométrique (HGT_emb_0), forment un vecteur de 21 méta-features d'entrée pour un méta-classificateur XGBoost final, qui apprend à arbitrer les divergences de décision entre la tête géométrique et la tête tabulaire pour minimiser les faux négatifs.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II.4 - Analyse comparative des approches existantes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L'analyse de l'état de l'art met en relief une grande diversité de métriques et d'approches d'évaluation. Une comparaison objective exige d'isoler l'impact des données analytiques fournies aux modèles.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II.4.1 - Mode confirmatoire vs mode prédictif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L'apport fondamental des travaux de Bomgni et al. (2025) réside dans la démonstration formelle de l'asymétrie de performance qui sépare le </w:t>
      </w:r>
      <w:r w:rsidDel="00000000" w:rsidR="00000000" w:rsidRPr="00000000">
        <w:rPr>
          <w:rFonts w:ascii="Arial" w:cs="Arial" w:eastAsia="Arial" w:hAnsi="Arial"/>
          <w:b w:val="1"/>
          <w:bCs w:val="1"/>
          <w:color w:val="1f1f1f"/>
          <w:rtl w:val="0"/>
        </w:rPr>
        <w:t xml:space="preserve">mode confirmatoire</w:t>
      </w:r>
      <w:r w:rsidDel="00000000" w:rsidR="00000000" w:rsidRPr="00000000">
        <w:rPr>
          <w:rFonts w:ascii="Arial" w:cs="Arial" w:eastAsia="Arial" w:hAnsi="Arial"/>
          <w:color w:val="1f1f1f"/>
          <w:rtl w:val="0"/>
        </w:rPr>
        <w:t xml:space="preserve"> du </w:t>
      </w:r>
      <w:r w:rsidDel="00000000" w:rsidR="00000000" w:rsidRPr="00000000">
        <w:rPr>
          <w:rFonts w:ascii="Arial" w:cs="Arial" w:eastAsia="Arial" w:hAnsi="Arial"/>
          <w:b w:val="1"/>
          <w:bCs w:val="1"/>
          <w:color w:val="1f1f1f"/>
          <w:rtl w:val="0"/>
        </w:rPr>
        <w:t xml:space="preserve">mode prédictif</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Mode Confirmatoire</w:t>
      </w:r>
      <w:r w:rsidDel="00000000" w:rsidR="00000000" w:rsidRPr="00000000">
        <w:rPr>
          <w:rFonts w:ascii="Arial" w:cs="Arial" w:eastAsia="Arial" w:hAnsi="Arial"/>
          <w:color w:val="1f1f1f"/>
          <w:rtl w:val="0"/>
        </w:rPr>
        <w:t xml:space="preserve"> : Il simule une situation où le modèle est évalué sur un puits pour lequel la composition analytique détaillée de PFAS (les 38 concentrations individuelles d'analytes) est déjà connue et renseignée dans le vecteur d'entrée.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Dans ce cas, la détection de la contamination globale (is_contaminated) est facilitée par la présence directe des mesures chimiques individuelles qui déterminent logiquement le label.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Les performances observées sont proches de la perfection, avec des scores </w:t>
      </w:r>
      <w:r w:rsidDel="00000000" w:rsidR="00000000" w:rsidRPr="00000000">
        <w:rPr>
          <w:rFonts w:ascii="Arial" w:cs="Arial" w:eastAsia="Arial" w:hAnsi="Arial"/>
          <w:color w:val="1f1f1f"/>
        </w:rPr>
        <w:drawing>
          <wp:inline distB="19050" distT="19050" distL="19050" distR="19050">
            <wp:extent cx="204192" cy="252809"/>
            <wp:effectExtent b="0" l="0" r="0" t="0"/>
            <wp:docPr id="1"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04192" cy="252809"/>
                    </a:xfrm>
                    <a:prstGeom prst="rect"/>
                    <a:ln/>
                  </pic:spPr>
                </pic:pic>
              </a:graphicData>
            </a:graphic>
          </wp:inline>
        </w:drawing>
      </w:r>
      <w:r w:rsidDel="00000000" w:rsidR="00000000" w:rsidRPr="00000000">
        <w:rPr>
          <w:rFonts w:ascii="Arial" w:cs="Arial" w:eastAsia="Arial" w:hAnsi="Arial"/>
          <w:color w:val="1f1f1f"/>
          <w:rtl w:val="0"/>
        </w:rPr>
        <w:t xml:space="preserve"> atteignant 0,978.</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 Mode Prédictif</w:t>
      </w:r>
      <w:r w:rsidDel="00000000" w:rsidR="00000000" w:rsidRPr="00000000">
        <w:rPr>
          <w:rFonts w:ascii="Arial" w:cs="Arial" w:eastAsia="Arial" w:hAnsi="Arial"/>
          <w:color w:val="1f1f1f"/>
          <w:rtl w:val="0"/>
        </w:rPr>
        <w:t xml:space="preserve"> : Il représente la seule condition opérationnelle d'aide à la décision sur le terrain.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Il s'applique à un puits candidat n'ayant jamais fait l'objet d'analyses chimiques préalables.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modèle doit formellement prédire le risque en excluant toute mesure de PFAS du vecteur de caractéristiques d'entrée, et le graphe HGT doit être construit en omettant les nœuds de composés chimiques et leurs arêtes associées.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modèle ne s'appuie plus que sur 17 covariables géospatiales et physico-chimiques génériques.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 tableau ci-dessous confronte de manière exhaustive les métriques réelles obtenues par les différentes architectures sous ces deux protocoles d'évaluation.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Protocole d'Évaluation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Modèle Évalué</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Exactitude (Accuracy)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Précision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Rappel (Recall)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Score F1​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ROC-AUC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Mode Confirmatoire</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HGT Standalone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0,942081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0,881818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0,935691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0,907956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0,984972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(Taille échantillon test </w:t>
            </w:r>
            <w:r w:rsidDel="00000000" w:rsidR="00000000" w:rsidRPr="00000000">
              <w:rPr>
                <w:rFonts w:ascii="Arial" w:cs="Arial" w:eastAsia="Arial" w:hAnsi="Arial"/>
                <w:i w:val="1"/>
                <w:iCs w:val="1"/>
                <w:color w:val="1f1f1f"/>
                <w:shd w:fill="auto" w:val="clear"/>
              </w:rPr>
              <w:drawing>
                <wp:inline distB="19050" distT="19050" distL="19050" distR="19050">
                  <wp:extent cx="708570" cy="220231"/>
                  <wp:effectExtent b="0" l="0" r="0" t="0"/>
                  <wp:docPr id="2"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708570" cy="220231"/>
                          </a:xfrm>
                          <a:prstGeom prst="rect"/>
                          <a:ln/>
                        </pic:spPr>
                      </pic:pic>
                    </a:graphicData>
                  </a:graphic>
                </wp:inline>
              </w:drawing>
            </w:r>
            <w:r w:rsidDel="00000000" w:rsidR="00000000" w:rsidRPr="00000000">
              <w:rPr>
                <w:rFonts w:ascii="Arial" w:cs="Arial" w:eastAsia="Arial" w:hAnsi="Arial"/>
                <w:i w:val="1"/>
                <w:i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XGBoost Tabulaire Baseline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0,985929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0,975427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0,978564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0,976993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0,998380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Embedding Fusion (HGT </w:t>
            </w:r>
            <w:r w:rsidDel="00000000" w:rsidR="00000000" w:rsidRPr="00000000">
              <w:rPr>
                <w:rFonts w:ascii="Arial" w:cs="Arial" w:eastAsia="Arial" w:hAnsi="Arial"/>
                <w:color w:val="1f1f1f"/>
                <w:shd w:fill="auto" w:val="clear"/>
              </w:rPr>
              <w:drawing>
                <wp:inline distB="19050" distT="19050" distL="19050" distR="19050">
                  <wp:extent cx="172789" cy="211187"/>
                  <wp:effectExtent b="0" l="0" r="0" t="0"/>
                  <wp:docPr id="3"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172789" cy="21118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XGB)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0,974149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0,970264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0,944266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0,957089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0,997454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Stacking Ensemble (Hybride)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0,986911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0,983749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0,973205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0,978448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0,997335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Mode Prédictif</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HGT Standalone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0,773000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0,781000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0,665000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0,853000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(Taille échantillon test </w:t>
            </w:r>
            <w:r w:rsidDel="00000000" w:rsidR="00000000" w:rsidRPr="00000000">
              <w:rPr>
                <w:rFonts w:ascii="Arial" w:cs="Arial" w:eastAsia="Arial" w:hAnsi="Arial"/>
                <w:i w:val="1"/>
                <w:iCs w:val="1"/>
                <w:color w:val="1f1f1f"/>
                <w:shd w:fill="auto" w:val="clear"/>
              </w:rPr>
              <w:drawing>
                <wp:inline distB="19050" distT="19050" distL="19050" distR="19050">
                  <wp:extent cx="917823" cy="219895"/>
                  <wp:effectExtent b="0" l="0" r="0" t="0"/>
                  <wp:docPr id="4"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917823" cy="219895"/>
                          </a:xfrm>
                          <a:prstGeom prst="rect"/>
                          <a:ln/>
                        </pic:spPr>
                      </pic:pic>
                    </a:graphicData>
                  </a:graphic>
                </wp:inline>
              </w:drawing>
            </w:r>
            <w:r w:rsidDel="00000000" w:rsidR="00000000" w:rsidRPr="00000000">
              <w:rPr>
                <w:rFonts w:ascii="Arial" w:cs="Arial" w:eastAsia="Arial" w:hAnsi="Arial"/>
                <w:i w:val="1"/>
                <w:i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XGBoost Tabulaire Baseline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0,899000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0,786000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0,818000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0,953000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i w:val="1"/>
                <w:iCs w:val="1"/>
                <w:color w:val="1f1f1f"/>
                <w:shd w:fill="auto" w:val="clear"/>
              </w:rPr>
            </w:pPr>
            <w:r w:rsidDel="00000000" w:rsidR="00000000" w:rsidRPr="00000000">
              <w:rPr>
                <w:rFonts w:ascii="Arial" w:cs="Arial" w:eastAsia="Arial" w:hAnsi="Arial"/>
                <w:i w:val="1"/>
                <w:iCs w:val="1"/>
                <w:color w:val="1f1f1f"/>
                <w:shd w:fill="auto" w:val="clear"/>
                <w:rtl w:val="0"/>
              </w:rPr>
              <w:t xml:space="preserve">(Sans intrants chimiques PFAS)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Embedding Fusion (HGT </w:t>
            </w:r>
            <w:r w:rsidDel="00000000" w:rsidR="00000000" w:rsidRPr="00000000">
              <w:rPr>
                <w:rFonts w:ascii="Arial" w:cs="Arial" w:eastAsia="Arial" w:hAnsi="Arial"/>
                <w:color w:val="1f1f1f"/>
                <w:shd w:fill="auto" w:val="clear"/>
              </w:rPr>
              <w:drawing>
                <wp:inline distB="19050" distT="19050" distL="19050" distR="19050">
                  <wp:extent cx="172789" cy="211187"/>
                  <wp:effectExtent b="0" l="0" r="0" t="0"/>
                  <wp:docPr id="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172789" cy="211187"/>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XGB)</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0,921000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0,856000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0,863000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0,953000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Stacking Ensemble (Hybride)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0,928000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0,865000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0,873000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0,962000</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L'examen de ces données chiffrées révèle des comportements algorithmiques distincts. En mode confirmatoire, la puissance prédictive pure des arbres de décision classiques (XGBoost) capte l'intégralité du signal chimique direct, affichant un score </w:t>
      </w:r>
      <w:r w:rsidDel="00000000" w:rsidR="00000000" w:rsidRPr="00000000">
        <w:rPr>
          <w:rFonts w:ascii="Arial" w:cs="Arial" w:eastAsia="Arial" w:hAnsi="Arial"/>
          <w:color w:val="1f1f1f"/>
        </w:rPr>
        <w:drawing>
          <wp:inline distB="19050" distT="19050" distL="19050" distR="19050">
            <wp:extent cx="204192" cy="252809"/>
            <wp:effectExtent b="0" l="0" r="0" t="0"/>
            <wp:docPr id="6"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04192" cy="252809"/>
                    </a:xfrm>
                    <a:prstGeom prst="rect"/>
                    <a:ln/>
                  </pic:spPr>
                </pic:pic>
              </a:graphicData>
            </a:graphic>
          </wp:inline>
        </w:drawing>
      </w:r>
      <w:r w:rsidDel="00000000" w:rsidR="00000000" w:rsidRPr="00000000">
        <w:rPr>
          <w:rFonts w:ascii="Arial" w:cs="Arial" w:eastAsia="Arial" w:hAnsi="Arial"/>
          <w:color w:val="1f1f1f"/>
          <w:rtl w:val="0"/>
        </w:rPr>
        <w:t xml:space="preserve"> de 0,977.</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 plongement de graphe (HGT) apporte une information contextuelle marginale, le stacking n'élevant le score </w:t>
      </w:r>
      <w:r w:rsidDel="00000000" w:rsidR="00000000" w:rsidRPr="00000000">
        <w:rPr>
          <w:rFonts w:ascii="Arial" w:cs="Arial" w:eastAsia="Arial" w:hAnsi="Arial"/>
          <w:color w:val="1f1f1f"/>
        </w:rPr>
        <w:drawing>
          <wp:inline distB="19050" distT="19050" distL="19050" distR="19050">
            <wp:extent cx="204192" cy="252809"/>
            <wp:effectExtent b="0" l="0" r="0" t="0"/>
            <wp:docPr id="7"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04192" cy="252809"/>
                    </a:xfrm>
                    <a:prstGeom prst="rect"/>
                    <a:ln/>
                  </pic:spPr>
                </pic:pic>
              </a:graphicData>
            </a:graphic>
          </wp:inline>
        </w:drawing>
      </w:r>
      <w:r w:rsidDel="00000000" w:rsidR="00000000" w:rsidRPr="00000000">
        <w:rPr>
          <w:rFonts w:ascii="Arial" w:cs="Arial" w:eastAsia="Arial" w:hAnsi="Arial"/>
          <w:color w:val="1f1f1f"/>
          <w:rtl w:val="0"/>
        </w:rPr>
        <w:t xml:space="preserve"> qu'à 0,978.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L'embedding fusion simple souffre même d'une légère baisse de recall (0,944), indiquant qu'une concaténation naïve du plongement HGT (PCA comprimé) dilue la pureté du signal analytique direct au sein du classificateur tabulaire.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 revanche, sous le protocole prédictif (sans intrants PFAS), l'apport de la structure de graphe hétérogène devient déterminant.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Alors que le modèle XGBoost tabulaire isolé plafonne à un score </w:t>
      </w:r>
      <w:r w:rsidDel="00000000" w:rsidR="00000000" w:rsidRPr="00000000">
        <w:rPr>
          <w:rFonts w:ascii="Arial" w:cs="Arial" w:eastAsia="Arial" w:hAnsi="Arial"/>
          <w:color w:val="1f1f1f"/>
        </w:rPr>
        <w:drawing>
          <wp:inline distB="19050" distT="19050" distL="19050" distR="19050">
            <wp:extent cx="204192" cy="252809"/>
            <wp:effectExtent b="0" l="0" r="0" t="0"/>
            <wp:docPr id="8"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04192" cy="252809"/>
                    </a:xfrm>
                    <a:prstGeom prst="rect"/>
                    <a:ln/>
                  </pic:spPr>
                </pic:pic>
              </a:graphicData>
            </a:graphic>
          </wp:inline>
        </w:drawing>
      </w:r>
      <w:r w:rsidDel="00000000" w:rsidR="00000000" w:rsidRPr="00000000">
        <w:rPr>
          <w:rFonts w:ascii="Arial" w:cs="Arial" w:eastAsia="Arial" w:hAnsi="Arial"/>
          <w:color w:val="1f1f1f"/>
          <w:rtl w:val="0"/>
        </w:rPr>
        <w:t xml:space="preserve"> de 0,818, le pipeline d'embedding fusion s'élève à 0,863, et l'ensemble hybride par stacking atteint un niveau d'excellence de 0,873 (avec une AUC ROC de 0,962).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La structure de graphe propage les probabilités de contamination le long des arêtes de similarité géologique et de proximité industrielle, compensant l'absence de mesures de laboratoire.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Cette dualité se confirme par l'analyse d'interprétabilité SHAP (SHapley Additive exPlanaTions).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En mode confirmatoire, le bloc tabulaire concentre la quasi-totalité de l'importance explicative (70% à 80% de la masse SHAP globale), dominé de façon écrasante par les concentrations individuelles de PFOS, PFOA et PFHxS.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En mode prédictif, l'importance globale se redistribue : le plongement relationnel comprimé du graphe (HGT_emb_0) émerge comme la caractéristique explicative individuelle la plus puissante, suivie des variables géochimiques co-contaminantes (solides dissous totaux, nitrates, solvants chlorés industriels) et des indices de proximité géographique aux sources potentielles d'émissions.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Pour illustrer concrètement la mise en œuvre pratique de ces modèles hybrides, le tableau ci-dessous détaille les configurations d'hyperparamètres optimales sélectionnées par optimisation automatisée (Optuna) pour l'HGT, la fusion et le stacking meta-learner.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Hyperparamètre de Configuration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Valeur Optimale HGT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Valeur Optimale XGBoost Fusion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Valeur Optimale Stacking Meta-Classifier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Dimension Latente (Hidden Dim)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Nombre de Couches (Layers / Max Depth)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 layers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Max Depth : 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Max Depth :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Têtes d'Attention (Attention Heads)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Taux d'Apprentissage (Learning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0,00939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0,0142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Taux de Régularisation (Dropout / Gamma / L2)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Dropout : 0,325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Gamma : 0,894 / </w:t>
            </w:r>
            <w:r w:rsidDel="00000000" w:rsidR="00000000" w:rsidRPr="00000000">
              <w:rPr>
                <w:rFonts w:ascii="Arial" w:cs="Arial" w:eastAsia="Arial" w:hAnsi="Arial"/>
                <w:color w:val="1f1f1f"/>
                <w:shd w:fill="auto" w:val="clear"/>
              </w:rPr>
              <w:drawing>
                <wp:inline distB="19050" distT="19050" distL="19050" distR="19050">
                  <wp:extent cx="100756" cy="210672"/>
                  <wp:effectExtent b="0" l="0" r="0" t="0"/>
                  <wp:docPr id="9"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100756" cy="21067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0,00942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Gamma : 0,412 / </w:t>
            </w:r>
            <w:r w:rsidDel="00000000" w:rsidR="00000000" w:rsidRPr="00000000">
              <w:rPr>
                <w:rFonts w:ascii="Arial" w:cs="Arial" w:eastAsia="Arial" w:hAnsi="Arial"/>
                <w:color w:val="1f1f1f"/>
                <w:shd w:fill="auto" w:val="clear"/>
              </w:rPr>
              <w:drawing>
                <wp:inline distB="19050" distT="19050" distL="19050" distR="19050">
                  <wp:extent cx="100756" cy="210672"/>
                  <wp:effectExtent b="0" l="0" r="0" t="0"/>
                  <wp:docPr id="1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100756" cy="210672"/>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0,0138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Nombre d'Estimateurs (Epochs / Trees)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Max Epochs : 100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027357" cy="218789"/>
                  <wp:effectExtent b="0" l="0" r="0" t="0"/>
                  <wp:docPr id="36"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027357" cy="21878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265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1027357" cy="218789"/>
                  <wp:effectExtent b="0" l="0" r="0" t="0"/>
                  <wp:docPr id="39"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1027357" cy="21878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 297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Sous-échantillonnage (Subsample / Colsample)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Batch size : 128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Subsample : 0,866 / Colsample : 0,402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Subsample : 0,638 / Colsample : 0,556</w:t>
            </w:r>
          </w:p>
        </w:tc>
      </w:tr>
    </w:tbl>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II.4.2 - Lacunes identifiées dans la littérature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Malgré les avancées significatives des modèles prédictifs des PFAS, l'analyse approfondie de l'état de l'art révèle quatre limites conceptuelles majeures qu'il convient de combler :</w:t>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L'aveuglement topologique et relationnel</w:t>
      </w:r>
      <w:r w:rsidDel="00000000" w:rsidR="00000000" w:rsidRPr="00000000">
        <w:rPr>
          <w:rFonts w:ascii="Arial" w:cs="Arial" w:eastAsia="Arial" w:hAnsi="Arial"/>
          <w:color w:val="1f1f1f"/>
          <w:rtl w:val="0"/>
        </w:rPr>
        <w:t xml:space="preserve"> : La majorité des études de surveillance continuent de considérer les puits d'échantillonnage comme des entités i.i.d. (indépendantes et identiquement distribuées) au sein de matrices tabulaires standards.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 postulat nie la nature continue et interconnectée des hydrosystèmes souterrains, où les panaches de contamination s'étendent le long de lignes d'écoulement préférentielles.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biais d'évaluation circulaire</w:t>
      </w:r>
      <w:r w:rsidDel="00000000" w:rsidR="00000000" w:rsidRPr="00000000">
        <w:rPr>
          <w:rFonts w:ascii="Arial" w:cs="Arial" w:eastAsia="Arial" w:hAnsi="Arial"/>
          <w:color w:val="1f1f1f"/>
          <w:rtl w:val="0"/>
        </w:rPr>
        <w:t xml:space="preserve"> : Trop de publications évaluent des algorithmes d'apprentissage en mode confirmatoire tout en affirmant concevoir des outils opérationnels destinés à la prospection de terrains vierges.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Cette absence de dissociation méthodologique conduit à une surévaluation flagrante de l'utilité réelle des modèles lors de leur déploiement pratique.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réductionnisme statique des représentations de graphes</w:t>
      </w:r>
      <w:r w:rsidDel="00000000" w:rsidR="00000000" w:rsidRPr="00000000">
        <w:rPr>
          <w:rFonts w:ascii="Arial" w:cs="Arial" w:eastAsia="Arial" w:hAnsi="Arial"/>
          <w:color w:val="1f1f1f"/>
          <w:rtl w:val="0"/>
        </w:rPr>
        <w:t xml:space="preserve"> : Les structures de graphes actuellement implémentées figent les données sous forme de réseaux statiques.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Or, les conditions d'infiltration et de transport hydrogéologique fluctuent fortement sous l'effet des cycles climatiques saisonniers, des variations thermiques affectant la solubilité et des variations de pompage des captages.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Le déficit de transférabilité géographique contrôlée</w:t>
      </w:r>
      <w:r w:rsidDel="00000000" w:rsidR="00000000" w:rsidRPr="00000000">
        <w:rPr>
          <w:rFonts w:ascii="Arial" w:cs="Arial" w:eastAsia="Arial" w:hAnsi="Arial"/>
          <w:color w:val="1f1f1f"/>
          <w:rtl w:val="0"/>
        </w:rPr>
        <w:t xml:space="preserve"> : Les modèles prédictifs sont quasi systématiquement entraînés et validés sur une aire géographique unique (par exemple, la Californie centrale ou une portion du Minnesota).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Aucune validation croisée spatiale rigoureuse n'est menée pour tester l'adaptabilité d'un modèle entraîné sur un aquifère alluvial complexe face à un aquifère karstique ou de socle fracturé, limitant fortement la généralisation des outils développés.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II.5 - Synthèse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 deuxième chapitre a permis de dresser un panorama complet, critique et structuré de l'évolution des techniques d'intelligence artificielle appliquées à la prédiction des contaminants émergents de l'eau, et plus particulièrement des PFAS. La recherche est passée de modèles statistiques et probabilistes locaux, à l'instar des réseaux bayésiens, à des architectures d'apprentissage d'ensemble tabulaires hautement performantes comme XGBoost, avant d'aborder les modèles récents de Deep Learning géométrique fondés sur les réseaux de neurones sur graphes hétérogènes.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 confrontation de ces paradigmes a mis en lumière une dualité essentielle : si les modèles classiques excellent dans la modélisation directe en mode confirmatoire grâce à l'apport prépondérant des analyses chimiques, l'exploitation de la sémantique environnementale et relationnelle portée par les transformeurs de graphes hétérogènes (HGT) s'avère indispensable pour garantir une prédiction robuste en mode prédictif pré-échantillonnage. Les structures hybrides combinant convolutions de graphes, réduction dimensionnelle rigoureuse et Stacking d'ensemble stabilisent les performances tout en réduisant considérablement le taux de faux négatifs, un impératif éthique et sanitaire incontournable en matière de gestion des eaux de boisson.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Ces constats posent les fondements théoriques et techniques nécessaires au développement de notre propre contribution. Le chapitre suivant sera consacré à la description détaillée de notre méthodologie hybride, à l'implémentation de notre architecture sur graphe hétérogène et à l'analyse approfondie de nos résultats expérimentaux.</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Sources des citations</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main.pdf</w:t>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Prediction of 35 Target Per- and Polyfluoroalkyl Substances (PFASs) in California Groundwater Using Multilabel Semisupervised Machine Learning | ACS ES&amp;T Water, consulté le mai 28, 2026, </w:t>
      </w:r>
      <w:hyperlink r:id="rId47">
        <w:r w:rsidDel="00000000" w:rsidR="00000000" w:rsidRPr="00000000">
          <w:rPr>
            <w:rFonts w:ascii="Arial" w:cs="Arial" w:eastAsia="Arial" w:hAnsi="Arial"/>
            <w:color w:val="0000ee"/>
            <w:sz w:val="24"/>
            <w:szCs w:val="24"/>
            <w:u w:val="single"/>
            <w:rtl w:val="0"/>
          </w:rPr>
          <w:t xml:space="preserve">https://pubs.acs.org/doi/10.1021/acsestwater.3c00134</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the occurrence of short-chain PFAS in groundwater using machine-learned Bayesian networks - ResearchGate, consulté le mai 28, 2026, </w:t>
      </w:r>
      <w:hyperlink r:id="rId48">
        <w:r w:rsidDel="00000000" w:rsidR="00000000" w:rsidRPr="00000000">
          <w:rPr>
            <w:rFonts w:ascii="Arial" w:cs="Arial" w:eastAsia="Arial" w:hAnsi="Arial"/>
            <w:color w:val="0000ee"/>
            <w:sz w:val="24"/>
            <w:szCs w:val="24"/>
            <w:u w:val="single"/>
            <w:rtl w:val="0"/>
          </w:rPr>
          <w:t xml:space="preserve">https://www.researchgate.net/publication/365091512_Predicting_the_occurrence_of_short-chain_PFAS_in_groundwater_using_machine-learned_Bayesian_networks</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Harnessing Semi-Supervised Machine Learning to Automatically Predict Bioactivities of Per- and Polyfluoroalkyl Substances (PFASs) | Environmental Science &amp; Technology Letters - ACS Publications, consulté le mai 28, 2026, </w:t>
      </w:r>
      <w:hyperlink r:id="rId49">
        <w:r w:rsidDel="00000000" w:rsidR="00000000" w:rsidRPr="00000000">
          <w:rPr>
            <w:rFonts w:ascii="Arial" w:cs="Arial" w:eastAsia="Arial" w:hAnsi="Arial"/>
            <w:color w:val="0000ee"/>
            <w:sz w:val="24"/>
            <w:szCs w:val="24"/>
            <w:u w:val="single"/>
            <w:rtl w:val="0"/>
          </w:rPr>
          <w:t xml:space="preserve">https://pubs.acs.org/doi/10.1021/acs.estlett.2c00530</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Detecting PFAS and Microplastics in Wastewater Using Advanced Analytical Technologies, consulté le mai 28, 2026, </w:t>
      </w:r>
      <w:hyperlink r:id="rId50">
        <w:r w:rsidDel="00000000" w:rsidR="00000000" w:rsidRPr="00000000">
          <w:rPr>
            <w:rFonts w:ascii="Arial" w:cs="Arial" w:eastAsia="Arial" w:hAnsi="Arial"/>
            <w:color w:val="0000ee"/>
            <w:sz w:val="24"/>
            <w:szCs w:val="24"/>
            <w:u w:val="single"/>
            <w:rtl w:val="0"/>
          </w:rPr>
          <w:t xml:space="preserve">https://www.news-medical.net/life-sciences/Detecting-PFAS-and-Microplastics-in-Wastewater-Using-Advanced-Analytical-Technologies.aspx</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Mitigating 'forever chemicals' faster with AI and novel modeling | LANL, consulté le mai 28, 2026, </w:t>
      </w:r>
      <w:hyperlink r:id="rId51">
        <w:r w:rsidDel="00000000" w:rsidR="00000000" w:rsidRPr="00000000">
          <w:rPr>
            <w:rFonts w:ascii="Arial" w:cs="Arial" w:eastAsia="Arial" w:hAnsi="Arial"/>
            <w:color w:val="0000ee"/>
            <w:sz w:val="24"/>
            <w:szCs w:val="24"/>
            <w:u w:val="single"/>
            <w:rtl w:val="0"/>
          </w:rPr>
          <w:t xml:space="preserve">https://www.lanl.gov/media/newsletters/ste-highlights/11-2025-forever-chemicals-pfas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predicts PFAS occurrence in groundwater in the US - EurekAlert!, consulté le mai 28, 2026, </w:t>
      </w:r>
      <w:hyperlink r:id="rId52">
        <w:r w:rsidDel="00000000" w:rsidR="00000000" w:rsidRPr="00000000">
          <w:rPr>
            <w:rFonts w:ascii="Arial" w:cs="Arial" w:eastAsia="Arial" w:hAnsi="Arial"/>
            <w:color w:val="0000ee"/>
            <w:sz w:val="24"/>
            <w:szCs w:val="24"/>
            <w:u w:val="single"/>
            <w:rtl w:val="0"/>
          </w:rPr>
          <w:t xml:space="preserve">https://www.eurekalert.org/news-releases/1061933</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Towards smart PFAS management: Integrating artificial intelligence in water and wastewater systems - PubMed, consulté le mai 28, 2026, </w:t>
      </w:r>
      <w:hyperlink r:id="rId53">
        <w:r w:rsidDel="00000000" w:rsidR="00000000" w:rsidRPr="00000000">
          <w:rPr>
            <w:rFonts w:ascii="Arial" w:cs="Arial" w:eastAsia="Arial" w:hAnsi="Arial"/>
            <w:color w:val="0000ee"/>
            <w:sz w:val="24"/>
            <w:szCs w:val="24"/>
            <w:u w:val="single"/>
            <w:rtl w:val="0"/>
          </w:rPr>
          <w:t xml:space="preserve">https://pubmed.ncbi.nlm.nih.gov/41483514/</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Predictions of PFAS in groundwater used as a source of drinking water and related data in the conterminous United States | U.S. Geological Survey - USGS.gov, consulté le mai 28, 2026, </w:t>
      </w:r>
      <w:hyperlink r:id="rId54">
        <w:r w:rsidDel="00000000" w:rsidR="00000000" w:rsidRPr="00000000">
          <w:rPr>
            <w:rFonts w:ascii="Arial" w:cs="Arial" w:eastAsia="Arial" w:hAnsi="Arial"/>
            <w:color w:val="0000ee"/>
            <w:sz w:val="24"/>
            <w:szCs w:val="24"/>
            <w:u w:val="single"/>
            <w:rtl w:val="0"/>
          </w:rPr>
          <w:t xml:space="preserve">https://www.usgs.gov/data/predictions-pfas-groundwater-used-a-source-drinking-water-and-related-data-conterminous-united</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Perfluoroalkyl and Polyfluoroalkyl Substances in Groundwater Used as a Source of Drinking Water in the Eastern United States | Environmental Science &amp; Technology - ACS Publications, consulté le mai 28, 2026, </w:t>
      </w:r>
      <w:hyperlink r:id="rId55">
        <w:r w:rsidDel="00000000" w:rsidR="00000000" w:rsidRPr="00000000">
          <w:rPr>
            <w:rFonts w:ascii="Arial" w:cs="Arial" w:eastAsia="Arial" w:hAnsi="Arial"/>
            <w:color w:val="0000ee"/>
            <w:sz w:val="24"/>
            <w:szCs w:val="24"/>
            <w:u w:val="single"/>
            <w:rtl w:val="0"/>
          </w:rPr>
          <w:t xml:space="preserve">https://pubs.acs.org/doi/abs/10.1021/acs.est.1c04795</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Perfluoroalkyl and Polyfluoroalkyl Substances in Groundwater Used as a Source of Drinking Water in the Eastern United States | Environmental Science &amp; Technology - ACS Publications, consulté le mai 28, 2026, </w:t>
      </w:r>
      <w:hyperlink r:id="rId56">
        <w:r w:rsidDel="00000000" w:rsidR="00000000" w:rsidRPr="00000000">
          <w:rPr>
            <w:rFonts w:ascii="Arial" w:cs="Arial" w:eastAsia="Arial" w:hAnsi="Arial"/>
            <w:color w:val="0000ee"/>
            <w:sz w:val="24"/>
            <w:szCs w:val="24"/>
            <w:u w:val="single"/>
            <w:rtl w:val="0"/>
          </w:rPr>
          <w:t xml:space="preserve">https://pubs.acs.org/doi/10.1021/acs.est.1c04795</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the occurrence of short-chain PFAS in groundwater using machine-learned Bayesian networks - Frontiers, consulté le mai 28, 2026, </w:t>
      </w:r>
      <w:hyperlink r:id="rId57">
        <w:r w:rsidDel="00000000" w:rsidR="00000000" w:rsidRPr="00000000">
          <w:rPr>
            <w:rFonts w:ascii="Arial" w:cs="Arial" w:eastAsia="Arial" w:hAnsi="Arial"/>
            <w:color w:val="0000ee"/>
            <w:sz w:val="24"/>
            <w:szCs w:val="24"/>
            <w:u w:val="single"/>
            <w:rtl w:val="0"/>
          </w:rPr>
          <w:t xml:space="preserve">https://www.frontiersin.org/journals/environmental-science/articles/10.3389/fenvs.2022.958784/full</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machine learning approach for prioritizing groundwater testing for per-and polyfluoroalkyl substances (PFAS) - PubMed, consulté le mai 28, 2026, </w:t>
      </w:r>
      <w:hyperlink r:id="rId58">
        <w:r w:rsidDel="00000000" w:rsidR="00000000" w:rsidRPr="00000000">
          <w:rPr>
            <w:rFonts w:ascii="Arial" w:cs="Arial" w:eastAsia="Arial" w:hAnsi="Arial"/>
            <w:color w:val="0000ee"/>
            <w:sz w:val="24"/>
            <w:szCs w:val="24"/>
            <w:u w:val="single"/>
            <w:rtl w:val="0"/>
          </w:rPr>
          <w:t xml:space="preserve">https://pubmed.ncbi.nlm.nih.gov/34346391/</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Predictions of groundwater PFAS occurrence at drinking water supply depths in the United States - USGS.gov, consulté le mai 28, 2026, </w:t>
      </w:r>
      <w:hyperlink r:id="rId59">
        <w:r w:rsidDel="00000000" w:rsidR="00000000" w:rsidRPr="00000000">
          <w:rPr>
            <w:rFonts w:ascii="Arial" w:cs="Arial" w:eastAsia="Arial" w:hAnsi="Arial"/>
            <w:color w:val="0000ee"/>
            <w:sz w:val="24"/>
            <w:szCs w:val="24"/>
            <w:u w:val="single"/>
            <w:rtl w:val="0"/>
          </w:rPr>
          <w:t xml:space="preserve">https://www.usgs.gov/publications/predictions-groundwater-pfas-occurrence-drinking-water-supply-depths-united-states</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machine learning approach for prioritizing groundwater testing for per-and polyfluoroalkyl substances (PFAS) | Request PDF - ResearchGate, consulté le mai 28, 2026, </w:t>
      </w:r>
      <w:hyperlink r:id="rId60">
        <w:r w:rsidDel="00000000" w:rsidR="00000000" w:rsidRPr="00000000">
          <w:rPr>
            <w:rFonts w:ascii="Arial" w:cs="Arial" w:eastAsia="Arial" w:hAnsi="Arial"/>
            <w:color w:val="0000ee"/>
            <w:sz w:val="24"/>
            <w:szCs w:val="24"/>
            <w:u w:val="single"/>
            <w:rtl w:val="0"/>
          </w:rPr>
          <w:t xml:space="preserve">https://www.researchgate.net/publication/353442049_A_machine_learning_approach_for_prioritizing_groundwater_testing_for_per-and_polyfluoroalkyl_substances_PFAS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Perfluoroalkyl and polyfluoroalkyl substances in groundwater used as a source of drinking water in the eastern United States - USGS.gov, consulté le mai 28, 2026, </w:t>
      </w:r>
      <w:hyperlink r:id="rId61">
        <w:r w:rsidDel="00000000" w:rsidR="00000000" w:rsidRPr="00000000">
          <w:rPr>
            <w:rFonts w:ascii="Arial" w:cs="Arial" w:eastAsia="Arial" w:hAnsi="Arial"/>
            <w:color w:val="0000ee"/>
            <w:sz w:val="24"/>
            <w:szCs w:val="24"/>
            <w:u w:val="single"/>
            <w:rtl w:val="0"/>
          </w:rPr>
          <w:t xml:space="preserve">https://www.usgs.gov/publications/perfluoroalkyl-and-polyfluoroalkyl-substances-groundwater-used-a-source-drinking-water</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Perfluoroalkyl and Polyfluoroalkyl Substances in Groundwater Used as a Source of Drinking Water in the Eastern United States - PubMed, consulté le mai 28, 2026, </w:t>
      </w:r>
      <w:hyperlink r:id="rId62">
        <w:r w:rsidDel="00000000" w:rsidR="00000000" w:rsidRPr="00000000">
          <w:rPr>
            <w:rFonts w:ascii="Arial" w:cs="Arial" w:eastAsia="Arial" w:hAnsi="Arial"/>
            <w:color w:val="0000ee"/>
            <w:sz w:val="24"/>
            <w:szCs w:val="24"/>
            <w:u w:val="single"/>
            <w:rtl w:val="0"/>
          </w:rPr>
          <w:t xml:space="preserve">https://pubmed.ncbi.nlm.nih.gov/35113548/</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Machine Learning to Classify Bioactivity for 3486 Per- and Polyfluoroalkyl Substances (PFASs) from the OECD List | Environmental Science &amp; Technology - ACS Publications, consulté le mai 28, 2026, </w:t>
      </w:r>
      <w:hyperlink r:id="rId63">
        <w:r w:rsidDel="00000000" w:rsidR="00000000" w:rsidRPr="00000000">
          <w:rPr>
            <w:rFonts w:ascii="Arial" w:cs="Arial" w:eastAsia="Arial" w:hAnsi="Arial"/>
            <w:color w:val="0000ee"/>
            <w:sz w:val="24"/>
            <w:szCs w:val="24"/>
            <w:u w:val="single"/>
            <w:rtl w:val="0"/>
          </w:rPr>
          <w:t xml:space="preserve">https://pubs.acs.org/doi/10.1021/acs.est.9b04833</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Machine Learning to Classify Bioactivity for 3486 Per- and Polyfluoroalkyl Substances (PFASs) from the OECD List - PubMed, consulté le mai 28, 2026, </w:t>
      </w:r>
      <w:hyperlink r:id="rId64">
        <w:r w:rsidDel="00000000" w:rsidR="00000000" w:rsidRPr="00000000">
          <w:rPr>
            <w:rFonts w:ascii="Arial" w:cs="Arial" w:eastAsia="Arial" w:hAnsi="Arial"/>
            <w:color w:val="0000ee"/>
            <w:sz w:val="24"/>
            <w:szCs w:val="24"/>
            <w:u w:val="single"/>
            <w:rtl w:val="0"/>
          </w:rPr>
          <w:t xml:space="preserve">https://pubmed.ncbi.nlm.nih.gov/31661253/</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Machine Learning Approach for Predicting Defluorination of Per- and Polyfluoroalkyl Substances (PFAS) for Their Efficient Treatment and Removal | Environmental Science &amp; Technology Letters - ACS Publications, consulté le mai 28, 2026, </w:t>
      </w:r>
      <w:hyperlink r:id="rId65">
        <w:r w:rsidDel="00000000" w:rsidR="00000000" w:rsidRPr="00000000">
          <w:rPr>
            <w:rFonts w:ascii="Arial" w:cs="Arial" w:eastAsia="Arial" w:hAnsi="Arial"/>
            <w:color w:val="0000ee"/>
            <w:sz w:val="24"/>
            <w:szCs w:val="24"/>
            <w:u w:val="single"/>
            <w:rtl w:val="0"/>
          </w:rPr>
          <w:t xml:space="preserve">https://pubs.acs.org/doi/abs/10.1021/acs.estlett.9b00476?ref=vi_ai-machine-learning</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Prediction of 35 Target Per- and Polyfluoroalkyl Substances (PFASs) in California Groundwater Using Multilabel Semisupervised Ma - eScholarship.org, consulté le mai 28, 2026, </w:t>
      </w:r>
      <w:hyperlink r:id="rId66">
        <w:r w:rsidDel="00000000" w:rsidR="00000000" w:rsidRPr="00000000">
          <w:rPr>
            <w:rFonts w:ascii="Arial" w:cs="Arial" w:eastAsia="Arial" w:hAnsi="Arial"/>
            <w:color w:val="0000ee"/>
            <w:sz w:val="24"/>
            <w:szCs w:val="24"/>
            <w:u w:val="single"/>
            <w:rtl w:val="0"/>
          </w:rPr>
          <w:t xml:space="preserve">https://escholarship.org/content/qt96k7v7ck/qt96k7v7ck.pdf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png"/><Relationship Id="rId42" Type="http://schemas.openxmlformats.org/officeDocument/2006/relationships/image" Target="media/image2.png"/><Relationship Id="rId41" Type="http://schemas.openxmlformats.org/officeDocument/2006/relationships/image" Target="media/image3.png"/><Relationship Id="rId44" Type="http://schemas.openxmlformats.org/officeDocument/2006/relationships/image" Target="media/image1.png"/><Relationship Id="rId43" Type="http://schemas.openxmlformats.org/officeDocument/2006/relationships/image" Target="media/image4.png"/><Relationship Id="rId46" Type="http://schemas.openxmlformats.org/officeDocument/2006/relationships/image" Target="media/image26.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hyperlink" Target="https://www.researchgate.net/publication/365091512_Predicting_the_occurrence_of_short-chain_PFAS_in_groundwater_using_machine-learned_Bayesian_networks" TargetMode="External"/><Relationship Id="rId47" Type="http://schemas.openxmlformats.org/officeDocument/2006/relationships/hyperlink" Target="https://pubs.acs.org/doi/10.1021/acsestwater.3c00134" TargetMode="External"/><Relationship Id="rId49" Type="http://schemas.openxmlformats.org/officeDocument/2006/relationships/hyperlink" Target="https://pubs.acs.org/doi/10.1021/acs.estlett.2c00530" TargetMode="Externa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21.png"/><Relationship Id="rId8" Type="http://schemas.openxmlformats.org/officeDocument/2006/relationships/image" Target="media/image18.png"/><Relationship Id="rId31" Type="http://schemas.openxmlformats.org/officeDocument/2006/relationships/image" Target="media/image22.png"/><Relationship Id="rId30" Type="http://schemas.openxmlformats.org/officeDocument/2006/relationships/image" Target="media/image19.png"/><Relationship Id="rId33" Type="http://schemas.openxmlformats.org/officeDocument/2006/relationships/image" Target="media/image14.png"/><Relationship Id="rId32" Type="http://schemas.openxmlformats.org/officeDocument/2006/relationships/image" Target="media/image6.png"/><Relationship Id="rId35" Type="http://schemas.openxmlformats.org/officeDocument/2006/relationships/image" Target="media/image12.png"/><Relationship Id="rId34" Type="http://schemas.openxmlformats.org/officeDocument/2006/relationships/image" Target="media/image7.png"/><Relationship Id="rId37" Type="http://schemas.openxmlformats.org/officeDocument/2006/relationships/image" Target="media/image11.png"/><Relationship Id="rId36" Type="http://schemas.openxmlformats.org/officeDocument/2006/relationships/image" Target="media/image5.png"/><Relationship Id="rId39" Type="http://schemas.openxmlformats.org/officeDocument/2006/relationships/image" Target="media/image8.png"/><Relationship Id="rId38" Type="http://schemas.openxmlformats.org/officeDocument/2006/relationships/image" Target="media/image10.png"/><Relationship Id="rId62" Type="http://schemas.openxmlformats.org/officeDocument/2006/relationships/hyperlink" Target="https://pubmed.ncbi.nlm.nih.gov/35113548/" TargetMode="External"/><Relationship Id="rId61" Type="http://schemas.openxmlformats.org/officeDocument/2006/relationships/hyperlink" Target="https://www.usgs.gov/publications/perfluoroalkyl-and-polyfluoroalkyl-substances-groundwater-used-a-source-drinking-water" TargetMode="External"/><Relationship Id="rId20" Type="http://schemas.openxmlformats.org/officeDocument/2006/relationships/image" Target="media/image35.png"/><Relationship Id="rId64" Type="http://schemas.openxmlformats.org/officeDocument/2006/relationships/hyperlink" Target="https://pubmed.ncbi.nlm.nih.gov/31661253/" TargetMode="External"/><Relationship Id="rId63" Type="http://schemas.openxmlformats.org/officeDocument/2006/relationships/hyperlink" Target="https://pubs.acs.org/doi/10.1021/acs.est.9b04833" TargetMode="External"/><Relationship Id="rId22" Type="http://schemas.openxmlformats.org/officeDocument/2006/relationships/image" Target="media/image34.png"/><Relationship Id="rId66" Type="http://schemas.openxmlformats.org/officeDocument/2006/relationships/hyperlink" Target="https://escholarship.org/content/qt96k7v7ck/qt96k7v7ck.pdf" TargetMode="External"/><Relationship Id="rId21" Type="http://schemas.openxmlformats.org/officeDocument/2006/relationships/image" Target="media/image32.png"/><Relationship Id="rId65" Type="http://schemas.openxmlformats.org/officeDocument/2006/relationships/hyperlink" Target="https://pubs.acs.org/doi/abs/10.1021/acs.estlett.9b00476?ref=vi_ai-machine-learning" TargetMode="External"/><Relationship Id="rId24" Type="http://schemas.openxmlformats.org/officeDocument/2006/relationships/image" Target="media/image38.png"/><Relationship Id="rId23" Type="http://schemas.openxmlformats.org/officeDocument/2006/relationships/image" Target="media/image41.png"/><Relationship Id="rId60" Type="http://schemas.openxmlformats.org/officeDocument/2006/relationships/hyperlink" Target="https://www.researchgate.net/publication/353442049_A_machine_learning_approach_for_prioritizing_groundwater_testing_for_per-and_polyfluoroalkyl_substances_PFAS" TargetMode="External"/><Relationship Id="rId26" Type="http://schemas.openxmlformats.org/officeDocument/2006/relationships/image" Target="media/image24.png"/><Relationship Id="rId25" Type="http://schemas.openxmlformats.org/officeDocument/2006/relationships/image" Target="media/image37.png"/><Relationship Id="rId28" Type="http://schemas.openxmlformats.org/officeDocument/2006/relationships/image" Target="media/image13.png"/><Relationship Id="rId27" Type="http://schemas.openxmlformats.org/officeDocument/2006/relationships/image" Target="media/image16.png"/><Relationship Id="rId29" Type="http://schemas.openxmlformats.org/officeDocument/2006/relationships/image" Target="media/image23.png"/><Relationship Id="rId51" Type="http://schemas.openxmlformats.org/officeDocument/2006/relationships/hyperlink" Target="https://www.lanl.gov/media/newsletters/ste-highlights/11-2025-forever-chemicals-pfas" TargetMode="External"/><Relationship Id="rId50" Type="http://schemas.openxmlformats.org/officeDocument/2006/relationships/hyperlink" Target="https://www.news-medical.net/life-sciences/Detecting-PFAS-and-Microplastics-in-Wastewater-Using-Advanced-Analytical-Technologies.aspx" TargetMode="External"/><Relationship Id="rId53" Type="http://schemas.openxmlformats.org/officeDocument/2006/relationships/hyperlink" Target="https://pubmed.ncbi.nlm.nih.gov/41483514/" TargetMode="External"/><Relationship Id="rId52" Type="http://schemas.openxmlformats.org/officeDocument/2006/relationships/hyperlink" Target="https://www.eurekalert.org/news-releases/1061933" TargetMode="External"/><Relationship Id="rId11" Type="http://schemas.openxmlformats.org/officeDocument/2006/relationships/image" Target="media/image27.png"/><Relationship Id="rId55" Type="http://schemas.openxmlformats.org/officeDocument/2006/relationships/hyperlink" Target="https://pubs.acs.org/doi/abs/10.1021/acs.est.1c04795" TargetMode="External"/><Relationship Id="rId10" Type="http://schemas.openxmlformats.org/officeDocument/2006/relationships/image" Target="media/image25.png"/><Relationship Id="rId54" Type="http://schemas.openxmlformats.org/officeDocument/2006/relationships/hyperlink" Target="https://www.usgs.gov/data/predictions-pfas-groundwater-used-a-source-drinking-water-and-related-data-conterminous-united" TargetMode="External"/><Relationship Id="rId13" Type="http://schemas.openxmlformats.org/officeDocument/2006/relationships/image" Target="media/image33.png"/><Relationship Id="rId57" Type="http://schemas.openxmlformats.org/officeDocument/2006/relationships/hyperlink" Target="https://www.frontiersin.org/journals/environmental-science/articles/10.3389/fenvs.2022.958784/full" TargetMode="External"/><Relationship Id="rId12" Type="http://schemas.openxmlformats.org/officeDocument/2006/relationships/image" Target="media/image28.png"/><Relationship Id="rId56" Type="http://schemas.openxmlformats.org/officeDocument/2006/relationships/hyperlink" Target="https://pubs.acs.org/doi/10.1021/acs.est.1c04795" TargetMode="External"/><Relationship Id="rId15" Type="http://schemas.openxmlformats.org/officeDocument/2006/relationships/image" Target="media/image9.png"/><Relationship Id="rId59" Type="http://schemas.openxmlformats.org/officeDocument/2006/relationships/hyperlink" Target="https://www.usgs.gov/publications/predictions-groundwater-pfas-occurrence-drinking-water-supply-depths-united-states" TargetMode="External"/><Relationship Id="rId14" Type="http://schemas.openxmlformats.org/officeDocument/2006/relationships/image" Target="media/image36.png"/><Relationship Id="rId58" Type="http://schemas.openxmlformats.org/officeDocument/2006/relationships/hyperlink" Target="https://pubmed.ncbi.nlm.nih.gov/34346391/" TargetMode="External"/><Relationship Id="rId17" Type="http://schemas.openxmlformats.org/officeDocument/2006/relationships/image" Target="media/image39.png"/><Relationship Id="rId16" Type="http://schemas.openxmlformats.org/officeDocument/2006/relationships/image" Target="media/image29.png"/><Relationship Id="rId19" Type="http://schemas.openxmlformats.org/officeDocument/2006/relationships/image" Target="media/image31.png"/><Relationship Id="rId1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