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A29A" w14:textId="7177EE92" w:rsidR="009303D9" w:rsidRPr="00333356" w:rsidRDefault="00046D53" w:rsidP="008B6524">
      <w:pPr>
        <w:pStyle w:val="papertitle"/>
        <w:spacing w:before="100" w:beforeAutospacing="1" w:after="100" w:afterAutospacing="1"/>
        <w:rPr>
          <w:color w:val="000000" w:themeColor="text1"/>
          <w:kern w:val="48"/>
        </w:rPr>
      </w:pPr>
      <w:r w:rsidRPr="00333356">
        <w:rPr>
          <w:color w:val="000000" w:themeColor="text1"/>
          <w:kern w:val="48"/>
        </w:rPr>
        <w:t>Acquisition and Analysis of Soil Parameters for Vine Monitoring using the IoT Sensor Network</w:t>
      </w:r>
    </w:p>
    <w:p w14:paraId="4D062304" w14:textId="5DA705AD" w:rsidR="00B20EFD" w:rsidRPr="00333356" w:rsidRDefault="001E031F" w:rsidP="00B20EFD">
      <w:pPr>
        <w:pStyle w:val="Author"/>
        <w:rPr>
          <w:color w:val="000000" w:themeColor="text1"/>
          <w:lang w:val="fr-FR"/>
        </w:rPr>
      </w:pPr>
      <w:r w:rsidRPr="00333356">
        <w:rPr>
          <w:color w:val="000000" w:themeColor="text1"/>
          <w:lang w:val="fr-FR"/>
        </w:rPr>
        <w:t>Mihaela Hnatiuc, Mirel Paun, Domnica Alpetri</w:t>
      </w:r>
    </w:p>
    <w:p w14:paraId="30F8E9A4" w14:textId="63224033" w:rsidR="00BD670B" w:rsidRPr="00333356" w:rsidRDefault="001E031F" w:rsidP="008D4A89">
      <w:pPr>
        <w:pStyle w:val="Affiliation"/>
        <w:rPr>
          <w:color w:val="000000" w:themeColor="text1"/>
        </w:rPr>
      </w:pPr>
      <w:r w:rsidRPr="00333356">
        <w:rPr>
          <w:color w:val="000000" w:themeColor="text1"/>
        </w:rPr>
        <w:t>Electronics and Telecommunications Department</w:t>
      </w:r>
      <w:r w:rsidR="00D72D06" w:rsidRPr="00333356">
        <w:rPr>
          <w:color w:val="000000" w:themeColor="text1"/>
        </w:rPr>
        <w:br/>
      </w:r>
      <w:r w:rsidRPr="00333356">
        <w:rPr>
          <w:color w:val="000000" w:themeColor="text1"/>
        </w:rPr>
        <w:t>Constanta Maritime University, Constanta, Romania</w:t>
      </w:r>
      <w:r w:rsidR="001A3B3D" w:rsidRPr="00333356">
        <w:rPr>
          <w:color w:val="000000" w:themeColor="text1"/>
        </w:rPr>
        <w:br/>
      </w:r>
      <w:r w:rsidRPr="00333356">
        <w:rPr>
          <w:color w:val="000000" w:themeColor="text1"/>
        </w:rPr>
        <w:t>mihaela.hnatiuc@cmu-edu.eu</w:t>
      </w:r>
    </w:p>
    <w:p w14:paraId="30D2A973" w14:textId="001ECEA2" w:rsidR="00447BB9" w:rsidRPr="00333356" w:rsidRDefault="00447BB9" w:rsidP="00447BB9">
      <w:pPr>
        <w:pStyle w:val="Author"/>
        <w:spacing w:before="100" w:beforeAutospacing="1"/>
        <w:rPr>
          <w:color w:val="000000" w:themeColor="text1"/>
        </w:rPr>
      </w:pPr>
    </w:p>
    <w:p w14:paraId="1CBB7081" w14:textId="77777777" w:rsidR="009F1D79" w:rsidRPr="00333356" w:rsidRDefault="009F1D79">
      <w:pPr>
        <w:rPr>
          <w:color w:val="000000" w:themeColor="text1"/>
        </w:rPr>
        <w:sectPr w:rsidR="009F1D79" w:rsidRPr="00333356" w:rsidSect="005A2F88">
          <w:headerReference w:type="default" r:id="rId8"/>
          <w:headerReference w:type="first" r:id="rId9"/>
          <w:footerReference w:type="first" r:id="rId10"/>
          <w:type w:val="continuous"/>
          <w:pgSz w:w="11906" w:h="16838" w:code="9"/>
          <w:pgMar w:top="720" w:right="893" w:bottom="1440" w:left="893" w:header="720" w:footer="720" w:gutter="0"/>
          <w:cols w:space="720"/>
          <w:docGrid w:linePitch="360"/>
        </w:sectPr>
      </w:pPr>
    </w:p>
    <w:p w14:paraId="394EA1B1" w14:textId="00663DAC" w:rsidR="004D72B5" w:rsidRPr="00333356" w:rsidRDefault="009303D9" w:rsidP="008D4A89">
      <w:pPr>
        <w:pStyle w:val="Abstract"/>
        <w:rPr>
          <w:i/>
          <w:iCs/>
          <w:color w:val="000000" w:themeColor="text1"/>
        </w:rPr>
      </w:pPr>
      <w:r w:rsidRPr="00333356">
        <w:rPr>
          <w:i/>
          <w:iCs/>
          <w:color w:val="000000" w:themeColor="text1"/>
        </w:rPr>
        <w:t>Abstract</w:t>
      </w:r>
      <w:r w:rsidRPr="00333356">
        <w:rPr>
          <w:color w:val="000000" w:themeColor="text1"/>
        </w:rPr>
        <w:t>—</w:t>
      </w:r>
      <w:r w:rsidR="001E031F" w:rsidRPr="00333356">
        <w:rPr>
          <w:color w:val="000000" w:themeColor="text1"/>
        </w:rPr>
        <w:t xml:space="preserve"> In recent years, the concept of the Internet of Things (IoT) has spread in most fields due to the multiple benefits it offers, so it recently started to be used in viticulture, together with artificial intelligence (AI). These two innovative technologies combined with classical methods can lead to a much more efficient and rapid prediction of diseases that may occur in grapevine culture. The present study aims to detect diseases in the period when evolution can still be prevented, by minimizing the favorable environment in which the pathogen can develop. This prevention can be achieved using algorithms for predicting and comparing the data from IoT sensors with the data classically gathered by farmers. The IoT sensors system developed to acquire information about environmental parameters is tested in the Murfatlar vineyard, Romania. Two types of untreated Cabernet and Sauvignon Blanc varieties are used in the experimental study with the aim of reducing the chemical treatment concentration. All the sensors' data are stored in a cloud. This paper presents an analysis of sensor data consisting of soil parameters such as temperature, humidity, conductivity, nitrogen (N), phosphorus (P), and potassium (K). Big data algorithms using machine learning (ML) for clustering and prediction are tested to identify the vine diseases. The results are detailed at the end of the paper.</w:t>
      </w:r>
    </w:p>
    <w:p w14:paraId="189DC551" w14:textId="7DB6FED5" w:rsidR="009303D9" w:rsidRPr="00333356" w:rsidRDefault="004D72B5" w:rsidP="00972203">
      <w:pPr>
        <w:pStyle w:val="Keywords"/>
        <w:rPr>
          <w:color w:val="000000" w:themeColor="text1"/>
        </w:rPr>
      </w:pPr>
      <w:r w:rsidRPr="00333356">
        <w:rPr>
          <w:color w:val="000000" w:themeColor="text1"/>
        </w:rPr>
        <w:t>Keywords—</w:t>
      </w:r>
      <w:r w:rsidR="001E031F" w:rsidRPr="00333356">
        <w:rPr>
          <w:color w:val="000000" w:themeColor="text1"/>
        </w:rPr>
        <w:t xml:space="preserve"> nutrient sensor, pH sensor, silhouette parameter</w:t>
      </w:r>
    </w:p>
    <w:p w14:paraId="77A768DF" w14:textId="5CD4DDF7" w:rsidR="009303D9" w:rsidRPr="00333356" w:rsidRDefault="009303D9" w:rsidP="006B6B66">
      <w:pPr>
        <w:pStyle w:val="Titlu1"/>
        <w:rPr>
          <w:color w:val="000000" w:themeColor="text1"/>
        </w:rPr>
      </w:pPr>
      <w:r w:rsidRPr="00333356">
        <w:rPr>
          <w:color w:val="000000" w:themeColor="text1"/>
        </w:rPr>
        <w:t>Introduction</w:t>
      </w:r>
    </w:p>
    <w:p w14:paraId="6C6F38E8" w14:textId="3C32EB12" w:rsidR="009303D9" w:rsidRPr="00333356" w:rsidRDefault="001E031F" w:rsidP="00E7596C">
      <w:pPr>
        <w:pStyle w:val="Corptext"/>
        <w:rPr>
          <w:color w:val="000000" w:themeColor="text1"/>
          <w:lang w:val="en-US"/>
        </w:rPr>
      </w:pPr>
      <w:r w:rsidRPr="00333356">
        <w:rPr>
          <w:color w:val="000000" w:themeColor="text1"/>
          <w:lang w:val="en-US"/>
        </w:rPr>
        <w:t>Disease detection is an intensive area of research in viticulture. Given the significant impact and economic costs of diseases, it is important to automate the early detection of these diseases in vineyards. Disease occurrence is dependent on ever-changing environmental factors, nutrient fluctuations, and prevention or control technologies, as the case may be. The disease occurs when the pathogen encounters the right organism in an environment favorable for its development and multiplication. The main mineral substances that must be considered in the crop plant are nitrogen, phosphorus and potassium. In addition to these, the amount of humus, water and acidity (expressed in pH) must be controlled in the soil. These are the important elements for most plants, and the deficiency or excess of one or more of the substances mentioned above can make the difference between a profitable crop and a harmful one [1, 2]. The concentration of nutrients is variable depending on the atmospheric conditions and the soil depth [3, 4]. The sensor data is compared with data collected using conventional methods in order to check the data accuracy [5].</w:t>
      </w:r>
    </w:p>
    <w:p w14:paraId="2D37E3A1" w14:textId="14389834" w:rsidR="000803BF" w:rsidRPr="00333356" w:rsidRDefault="000803BF" w:rsidP="000803BF">
      <w:pPr>
        <w:pStyle w:val="Corptext"/>
        <w:rPr>
          <w:color w:val="000000" w:themeColor="text1"/>
          <w:lang w:val="en-US"/>
        </w:rPr>
      </w:pPr>
      <w:r w:rsidRPr="00333356">
        <w:rPr>
          <w:color w:val="000000" w:themeColor="text1"/>
          <w:lang w:val="en-US"/>
        </w:rPr>
        <w:t xml:space="preserve">Among the technologies implemented in Precision Agriculture (PA), along with the advantages it brings, we list: artificial intelligence and machine learning that offer intelligent software applications based on learning algorithms </w:t>
      </w:r>
      <w:r w:rsidRPr="00333356">
        <w:rPr>
          <w:color w:val="000000" w:themeColor="text1"/>
          <w:lang w:val="en-US"/>
        </w:rPr>
        <w:t xml:space="preserve">using training models; cloud computing </w:t>
      </w:r>
      <w:r w:rsidR="00C90B4A" w:rsidRPr="00333356">
        <w:rPr>
          <w:color w:val="000000" w:themeColor="text1"/>
          <w:lang w:val="en-US"/>
        </w:rPr>
        <w:t xml:space="preserve">that </w:t>
      </w:r>
      <w:r w:rsidRPr="00333356">
        <w:rPr>
          <w:color w:val="000000" w:themeColor="text1"/>
          <w:lang w:val="en-US"/>
        </w:rPr>
        <w:t xml:space="preserve">integrates computing power into cloud servers and storage options for different types of data; Internet of Things (IoT) that automatically provides data exchange between the devices we use. This field is constantly developing due to the </w:t>
      </w:r>
      <w:r w:rsidR="00C90B4A" w:rsidRPr="00333356">
        <w:rPr>
          <w:color w:val="000000" w:themeColor="text1"/>
          <w:lang w:val="en-US"/>
        </w:rPr>
        <w:t>advent</w:t>
      </w:r>
      <w:r w:rsidRPr="00333356">
        <w:rPr>
          <w:color w:val="000000" w:themeColor="text1"/>
          <w:lang w:val="en-US"/>
        </w:rPr>
        <w:t xml:space="preserve"> of devices that have the possibility of being connected to the Internet, making the way to </w:t>
      </w:r>
      <w:r w:rsidR="00C90B4A" w:rsidRPr="00333356">
        <w:rPr>
          <w:color w:val="000000" w:themeColor="text1"/>
          <w:lang w:val="en-US"/>
        </w:rPr>
        <w:t>obtaining</w:t>
      </w:r>
      <w:r w:rsidRPr="00333356">
        <w:rPr>
          <w:color w:val="000000" w:themeColor="text1"/>
          <w:lang w:val="en-US"/>
        </w:rPr>
        <w:t xml:space="preserve"> access to a multitude of </w:t>
      </w:r>
      <w:r w:rsidR="00C90B4A" w:rsidRPr="00333356">
        <w:rPr>
          <w:color w:val="000000" w:themeColor="text1"/>
          <w:lang w:val="en-US"/>
        </w:rPr>
        <w:t xml:space="preserve">very attractive </w:t>
      </w:r>
      <w:r w:rsidRPr="00333356">
        <w:rPr>
          <w:color w:val="000000" w:themeColor="text1"/>
          <w:lang w:val="en-US"/>
        </w:rPr>
        <w:t>data</w:t>
      </w:r>
      <w:r w:rsidR="00C90B4A" w:rsidRPr="00333356">
        <w:rPr>
          <w:color w:val="000000" w:themeColor="text1"/>
          <w:lang w:val="en-US"/>
        </w:rPr>
        <w:t>sets</w:t>
      </w:r>
      <w:r w:rsidRPr="00333356">
        <w:rPr>
          <w:color w:val="000000" w:themeColor="text1"/>
          <w:lang w:val="en-US"/>
        </w:rPr>
        <w:t xml:space="preserve">. With the introduction of digitized methods for agriculture, the modernization of rural communication networks </w:t>
      </w:r>
      <w:r w:rsidR="00C90B4A" w:rsidRPr="00333356">
        <w:rPr>
          <w:color w:val="000000" w:themeColor="text1"/>
          <w:lang w:val="en-US"/>
        </w:rPr>
        <w:t>has begun [</w:t>
      </w:r>
      <w:r w:rsidRPr="00333356">
        <w:rPr>
          <w:color w:val="000000" w:themeColor="text1"/>
          <w:lang w:val="en-US"/>
        </w:rPr>
        <w:t>6, 7].</w:t>
      </w:r>
    </w:p>
    <w:p w14:paraId="54246364" w14:textId="77777777" w:rsidR="000803BF" w:rsidRPr="00333356" w:rsidRDefault="000803BF" w:rsidP="000803BF">
      <w:pPr>
        <w:pStyle w:val="Corptext"/>
        <w:rPr>
          <w:color w:val="000000" w:themeColor="text1"/>
          <w:lang w:val="en-US"/>
        </w:rPr>
      </w:pPr>
      <w:r w:rsidRPr="00333356">
        <w:rPr>
          <w:rFonts w:hint="eastAsia"/>
          <w:color w:val="000000" w:themeColor="text1"/>
          <w:lang w:val="en-US"/>
        </w:rPr>
        <w:t>The occurrence of the diseases analyzed in this work is influenced by humid environments, with average precipitation around 510 mm/m</w:t>
      </w:r>
      <w:r w:rsidRPr="00333356">
        <w:rPr>
          <w:rFonts w:hint="eastAsia"/>
          <w:color w:val="000000" w:themeColor="text1"/>
          <w:vertAlign w:val="superscript"/>
          <w:lang w:val="en-US"/>
        </w:rPr>
        <w:t>2</w:t>
      </w:r>
      <w:r w:rsidRPr="00333356">
        <w:rPr>
          <w:rFonts w:hint="eastAsia"/>
          <w:color w:val="000000" w:themeColor="text1"/>
          <w:lang w:val="en-US"/>
        </w:rPr>
        <w:t>, with average daily temperatures between 14-16</w:t>
      </w:r>
      <w:r w:rsidRPr="00333356">
        <w:rPr>
          <w:rFonts w:hint="eastAsia"/>
          <w:color w:val="000000" w:themeColor="text1"/>
          <w:lang w:val="en-US"/>
        </w:rPr>
        <w:t>℃</w:t>
      </w:r>
      <w:r w:rsidRPr="00333356">
        <w:rPr>
          <w:rFonts w:hint="eastAsia"/>
          <w:color w:val="000000" w:themeColor="text1"/>
          <w:lang w:val="en-US"/>
        </w:rPr>
        <w:t>, the lush vegetation of the stumps, the excessive development of weeds, th</w:t>
      </w:r>
      <w:r w:rsidRPr="00333356">
        <w:rPr>
          <w:color w:val="000000" w:themeColor="text1"/>
          <w:lang w:val="en-US"/>
        </w:rPr>
        <w:t>e high density of the foliage. These aspects will be well observed to help identify diseases in time to combat or prevent them, depending on the intensity of the attack.</w:t>
      </w:r>
    </w:p>
    <w:p w14:paraId="2674D63F" w14:textId="77777777" w:rsidR="0084785C" w:rsidRPr="00333356" w:rsidRDefault="000803BF" w:rsidP="0084785C">
      <w:pPr>
        <w:pStyle w:val="normaltext"/>
        <w:spacing w:before="0"/>
        <w:rPr>
          <w:rFonts w:eastAsia="SimSun"/>
          <w:color w:val="000000" w:themeColor="text1"/>
          <w:spacing w:val="-1"/>
          <w:sz w:val="20"/>
          <w:lang w:eastAsia="x-none"/>
        </w:rPr>
      </w:pPr>
      <w:r w:rsidRPr="00333356">
        <w:rPr>
          <w:rFonts w:eastAsia="SimSun"/>
          <w:color w:val="000000" w:themeColor="text1"/>
          <w:spacing w:val="-1"/>
          <w:sz w:val="20"/>
          <w:lang w:eastAsia="x-none"/>
        </w:rPr>
        <w:t>WSN</w:t>
      </w:r>
      <w:r w:rsidR="00C90B4A" w:rsidRPr="00333356">
        <w:rPr>
          <w:rFonts w:eastAsia="SimSun"/>
          <w:color w:val="000000" w:themeColor="text1"/>
          <w:spacing w:val="-1"/>
          <w:sz w:val="20"/>
          <w:lang w:eastAsia="x-none"/>
        </w:rPr>
        <w:t xml:space="preserve"> </w:t>
      </w:r>
      <w:r w:rsidRPr="00333356">
        <w:rPr>
          <w:rFonts w:eastAsia="SimSun"/>
          <w:color w:val="000000" w:themeColor="text1"/>
          <w:spacing w:val="-1"/>
          <w:sz w:val="20"/>
          <w:lang w:eastAsia="x-none"/>
        </w:rPr>
        <w:t>(Wireless Sensors Network)</w:t>
      </w:r>
      <w:r w:rsidR="00C90B4A" w:rsidRPr="00333356">
        <w:rPr>
          <w:rFonts w:eastAsia="SimSun"/>
          <w:color w:val="000000" w:themeColor="text1"/>
          <w:spacing w:val="-1"/>
          <w:sz w:val="20"/>
          <w:lang w:eastAsia="x-none"/>
        </w:rPr>
        <w:t xml:space="preserve"> </w:t>
      </w:r>
      <w:r w:rsidRPr="00333356">
        <w:rPr>
          <w:rFonts w:eastAsia="SimSun"/>
          <w:color w:val="000000" w:themeColor="text1"/>
          <w:spacing w:val="-1"/>
          <w:sz w:val="20"/>
          <w:lang w:eastAsia="x-none"/>
        </w:rPr>
        <w:t xml:space="preserve">is a network of connected sensors consisting of several nodes. The sensors take data, such as temperature, humidity, </w:t>
      </w:r>
      <w:r w:rsidR="00C90B4A" w:rsidRPr="00333356">
        <w:rPr>
          <w:rFonts w:eastAsia="SimSun"/>
          <w:color w:val="000000" w:themeColor="text1"/>
          <w:spacing w:val="-1"/>
          <w:sz w:val="20"/>
          <w:lang w:eastAsia="x-none"/>
        </w:rPr>
        <w:t xml:space="preserve">wind </w:t>
      </w:r>
      <w:r w:rsidRPr="00333356">
        <w:rPr>
          <w:rFonts w:eastAsia="SimSun"/>
          <w:color w:val="000000" w:themeColor="text1"/>
          <w:spacing w:val="-1"/>
          <w:sz w:val="20"/>
          <w:lang w:eastAsia="x-none"/>
        </w:rPr>
        <w:t xml:space="preserve">speed, etc., and send the information to the processing unit. Each node consists of an antenna, microcontroller, and an interface circuit that serves as a communication, </w:t>
      </w:r>
      <w:r w:rsidR="00C90B4A" w:rsidRPr="00333356">
        <w:rPr>
          <w:rFonts w:eastAsia="SimSun"/>
          <w:color w:val="000000" w:themeColor="text1"/>
          <w:spacing w:val="-1"/>
          <w:sz w:val="20"/>
          <w:lang w:eastAsia="x-none"/>
        </w:rPr>
        <w:t>processing</w:t>
      </w:r>
      <w:r w:rsidRPr="00333356">
        <w:rPr>
          <w:rFonts w:eastAsia="SimSun"/>
          <w:color w:val="000000" w:themeColor="text1"/>
          <w:spacing w:val="-1"/>
          <w:sz w:val="20"/>
          <w:lang w:eastAsia="x-none"/>
        </w:rPr>
        <w:t xml:space="preserve"> and detection unit. To power the node, solar panels are used in combination with batteries, for more autonomous network management. Another important element proposed is an SD card, which</w:t>
      </w:r>
      <w:r w:rsidR="00C90B4A" w:rsidRPr="00333356">
        <w:rPr>
          <w:rFonts w:eastAsia="SimSun"/>
          <w:color w:val="000000" w:themeColor="text1"/>
          <w:spacing w:val="-1"/>
          <w:sz w:val="20"/>
          <w:lang w:eastAsia="x-none"/>
        </w:rPr>
        <w:t xml:space="preserve"> allows to </w:t>
      </w:r>
      <w:r w:rsidRPr="00333356">
        <w:rPr>
          <w:rFonts w:eastAsia="SimSun"/>
          <w:color w:val="000000" w:themeColor="text1"/>
          <w:spacing w:val="-1"/>
          <w:sz w:val="20"/>
          <w:lang w:eastAsia="x-none"/>
        </w:rPr>
        <w:t>record the data locally.</w:t>
      </w:r>
      <w:r w:rsidR="0084785C" w:rsidRPr="00333356">
        <w:rPr>
          <w:rFonts w:eastAsia="SimSun"/>
          <w:color w:val="000000" w:themeColor="text1"/>
          <w:spacing w:val="-1"/>
          <w:sz w:val="20"/>
          <w:lang w:eastAsia="x-none"/>
        </w:rPr>
        <w:t xml:space="preserve"> For the monitoring sensor of fluctuating concentrations of nutrients (nitrogen, potassium and phosphorus) we used SNiP-MP4.</w:t>
      </w:r>
    </w:p>
    <w:p w14:paraId="0870EC48" w14:textId="7E01CF26" w:rsidR="000803BF" w:rsidRPr="00333356" w:rsidRDefault="000803BF" w:rsidP="000803BF">
      <w:pPr>
        <w:pStyle w:val="Corptext"/>
        <w:rPr>
          <w:color w:val="000000" w:themeColor="text1"/>
          <w:lang w:val="en-US"/>
        </w:rPr>
      </w:pPr>
      <w:r w:rsidRPr="00333356">
        <w:rPr>
          <w:color w:val="000000" w:themeColor="text1"/>
          <w:lang w:val="en-US"/>
        </w:rPr>
        <w:t xml:space="preserve"> The next sections of the paper present the data communication and </w:t>
      </w:r>
      <w:r w:rsidR="00C90B4A" w:rsidRPr="00333356">
        <w:rPr>
          <w:color w:val="000000" w:themeColor="text1"/>
          <w:lang w:val="en-US"/>
        </w:rPr>
        <w:t xml:space="preserve">the </w:t>
      </w:r>
      <w:r w:rsidRPr="00333356">
        <w:rPr>
          <w:color w:val="000000" w:themeColor="text1"/>
          <w:lang w:val="en-US"/>
        </w:rPr>
        <w:t>results of data analysis.</w:t>
      </w:r>
    </w:p>
    <w:p w14:paraId="01E70CE7" w14:textId="59251427" w:rsidR="009303D9" w:rsidRPr="00333356" w:rsidRDefault="000C06B8" w:rsidP="006B6B66">
      <w:pPr>
        <w:pStyle w:val="Titlu1"/>
        <w:rPr>
          <w:color w:val="000000" w:themeColor="text1"/>
        </w:rPr>
      </w:pPr>
      <w:r w:rsidRPr="00333356">
        <w:rPr>
          <w:color w:val="000000" w:themeColor="text1"/>
        </w:rPr>
        <w:t>Data Communication</w:t>
      </w:r>
    </w:p>
    <w:p w14:paraId="0E63D579" w14:textId="394E8E07" w:rsidR="00550129" w:rsidRPr="00333356" w:rsidRDefault="000C06B8" w:rsidP="006B002A">
      <w:pPr>
        <w:pStyle w:val="Corptext"/>
        <w:ind w:firstLine="0"/>
        <w:rPr>
          <w:color w:val="000000" w:themeColor="text1"/>
          <w:lang w:val="en-US"/>
        </w:rPr>
      </w:pPr>
      <w:r w:rsidRPr="00333356">
        <w:rPr>
          <w:color w:val="000000" w:themeColor="text1"/>
          <w:lang w:val="en-US"/>
        </w:rPr>
        <w:t>The sensors system using IoT technology, developed in the laboratory for vine monitoring, was deployed in the Murfatlar vineyard in august 2022. The system consists of nodes directly connected to sensors. The data from the nodes are sent to the cloud server by means of a gateway device. The communication protocol between the node and the gateway is Long Range (LoRa) radio technology</w:t>
      </w:r>
      <w:r w:rsidR="00550129" w:rsidRPr="00333356">
        <w:rPr>
          <w:color w:val="000000" w:themeColor="text1"/>
          <w:lang w:val="en-US"/>
        </w:rPr>
        <w:t xml:space="preserve"> operating on 868 MHz</w:t>
      </w:r>
      <w:r w:rsidRPr="00333356">
        <w:rPr>
          <w:color w:val="000000" w:themeColor="text1"/>
          <w:lang w:val="en-US"/>
        </w:rPr>
        <w:t xml:space="preserve">. </w:t>
      </w:r>
      <w:r w:rsidR="00550129" w:rsidRPr="00333356">
        <w:rPr>
          <w:color w:val="000000" w:themeColor="text1"/>
          <w:lang w:val="en-US"/>
        </w:rPr>
        <w:t xml:space="preserve">Two </w:t>
      </w:r>
      <w:r w:rsidR="00287784" w:rsidRPr="00333356">
        <w:rPr>
          <w:color w:val="000000" w:themeColor="text1"/>
          <w:lang w:val="en-US"/>
        </w:rPr>
        <w:t>high-level</w:t>
      </w:r>
      <w:r w:rsidR="00550129" w:rsidRPr="00333356">
        <w:rPr>
          <w:color w:val="000000" w:themeColor="text1"/>
          <w:lang w:val="en-US"/>
        </w:rPr>
        <w:t xml:space="preserve"> communication protocols operating over LoRa have been designed and tested specifically for this system. </w:t>
      </w:r>
    </w:p>
    <w:p w14:paraId="76C85884" w14:textId="687C1126" w:rsidR="00550129" w:rsidRPr="00333356" w:rsidRDefault="00550129" w:rsidP="008F7214">
      <w:pPr>
        <w:pStyle w:val="Corptext"/>
        <w:ind w:firstLine="0"/>
        <w:rPr>
          <w:color w:val="000000" w:themeColor="text1"/>
          <w:lang w:val="en-US"/>
        </w:rPr>
      </w:pPr>
      <w:r w:rsidRPr="00333356">
        <w:rPr>
          <w:color w:val="000000" w:themeColor="text1"/>
          <w:lang w:val="en-US"/>
        </w:rPr>
        <w:t xml:space="preserve">The first one is intended for broad compatibility with </w:t>
      </w:r>
      <w:r w:rsidR="00287784" w:rsidRPr="00333356">
        <w:rPr>
          <w:color w:val="000000" w:themeColor="text1"/>
          <w:lang w:val="en-US"/>
        </w:rPr>
        <w:t>third-party</w:t>
      </w:r>
      <w:r w:rsidRPr="00333356">
        <w:rPr>
          <w:color w:val="000000" w:themeColor="text1"/>
          <w:lang w:val="en-US"/>
        </w:rPr>
        <w:t xml:space="preserve"> devices and sends the sensors data in </w:t>
      </w:r>
      <w:r w:rsidR="00287784" w:rsidRPr="00333356">
        <w:rPr>
          <w:color w:val="000000" w:themeColor="text1"/>
          <w:lang w:val="en-US"/>
        </w:rPr>
        <w:t>human-readable</w:t>
      </w:r>
      <w:r w:rsidRPr="00333356">
        <w:rPr>
          <w:color w:val="000000" w:themeColor="text1"/>
          <w:lang w:val="en-US"/>
        </w:rPr>
        <w:t xml:space="preserve"> format as ASCII text messages. </w:t>
      </w:r>
    </w:p>
    <w:p w14:paraId="5D670975" w14:textId="1AAEC856" w:rsidR="00550129" w:rsidRPr="00333356" w:rsidRDefault="00550129" w:rsidP="008F7214">
      <w:pPr>
        <w:pStyle w:val="Corptext"/>
        <w:ind w:firstLine="0"/>
        <w:rPr>
          <w:color w:val="000000" w:themeColor="text1"/>
          <w:lang w:val="en-US"/>
        </w:rPr>
      </w:pPr>
      <w:r w:rsidRPr="00333356">
        <w:rPr>
          <w:color w:val="000000" w:themeColor="text1"/>
          <w:lang w:val="en-US"/>
        </w:rPr>
        <w:lastRenderedPageBreak/>
        <w:t xml:space="preserve">The second protocol sends the sensors data in </w:t>
      </w:r>
      <w:r w:rsidR="00287784" w:rsidRPr="00333356">
        <w:rPr>
          <w:color w:val="000000" w:themeColor="text1"/>
          <w:lang w:val="en-US"/>
        </w:rPr>
        <w:t>position-encoded</w:t>
      </w:r>
      <w:r w:rsidRPr="00333356">
        <w:rPr>
          <w:color w:val="000000" w:themeColor="text1"/>
          <w:lang w:val="en-US"/>
        </w:rPr>
        <w:t xml:space="preserve"> binary format using fixed frames of 144 bytes</w:t>
      </w:r>
      <w:r w:rsidR="00CC6504" w:rsidRPr="00333356">
        <w:rPr>
          <w:color w:val="000000" w:themeColor="text1"/>
          <w:lang w:val="en-US"/>
        </w:rPr>
        <w:t>, as presented in Fig. 2</w:t>
      </w:r>
      <w:r w:rsidRPr="00333356">
        <w:rPr>
          <w:color w:val="000000" w:themeColor="text1"/>
          <w:lang w:val="en-US"/>
        </w:rPr>
        <w:t xml:space="preserve">. The advantage of the </w:t>
      </w:r>
      <w:r w:rsidR="008F7214">
        <w:rPr>
          <w:color w:val="000000" w:themeColor="text1"/>
          <w:lang w:val="en-US"/>
        </w:rPr>
        <w:t xml:space="preserve">last one </w:t>
      </w:r>
      <w:r w:rsidRPr="00333356">
        <w:rPr>
          <w:color w:val="000000" w:themeColor="text1"/>
          <w:lang w:val="en-US"/>
        </w:rPr>
        <w:t xml:space="preserve">is the reduction of data </w:t>
      </w:r>
      <w:r w:rsidR="00CC6504" w:rsidRPr="00333356">
        <w:rPr>
          <w:color w:val="000000" w:themeColor="text1"/>
          <w:lang w:val="en-US"/>
        </w:rPr>
        <w:t>flow</w:t>
      </w:r>
      <w:r w:rsidRPr="00333356">
        <w:rPr>
          <w:color w:val="000000" w:themeColor="text1"/>
          <w:lang w:val="en-US"/>
        </w:rPr>
        <w:t xml:space="preserve"> by an order of magnitude compared to the </w:t>
      </w:r>
      <w:r w:rsidR="00287784" w:rsidRPr="00333356">
        <w:rPr>
          <w:color w:val="000000" w:themeColor="text1"/>
          <w:lang w:val="en-US"/>
        </w:rPr>
        <w:t>human-readable</w:t>
      </w:r>
      <w:r w:rsidRPr="00333356">
        <w:rPr>
          <w:color w:val="000000" w:themeColor="text1"/>
          <w:lang w:val="en-US"/>
        </w:rPr>
        <w:t xml:space="preserve"> </w:t>
      </w:r>
      <w:r w:rsidR="00CC6504" w:rsidRPr="00333356">
        <w:rPr>
          <w:color w:val="000000" w:themeColor="text1"/>
          <w:lang w:val="en-US"/>
        </w:rPr>
        <w:t>protocol</w:t>
      </w:r>
      <w:r w:rsidRPr="00333356">
        <w:rPr>
          <w:color w:val="000000" w:themeColor="text1"/>
          <w:lang w:val="en-US"/>
        </w:rPr>
        <w:t xml:space="preserve">, thus </w:t>
      </w:r>
      <w:r w:rsidR="00CC6504" w:rsidRPr="00333356">
        <w:rPr>
          <w:color w:val="000000" w:themeColor="text1"/>
          <w:lang w:val="en-US"/>
        </w:rPr>
        <w:t>reducing</w:t>
      </w:r>
      <w:r w:rsidRPr="00333356">
        <w:rPr>
          <w:color w:val="000000" w:themeColor="text1"/>
          <w:lang w:val="en-US"/>
        </w:rPr>
        <w:t xml:space="preserve"> the energy </w:t>
      </w:r>
      <w:r w:rsidR="00CC6504" w:rsidRPr="00333356">
        <w:rPr>
          <w:color w:val="000000" w:themeColor="text1"/>
          <w:lang w:val="en-US"/>
        </w:rPr>
        <w:t>consumption</w:t>
      </w:r>
      <w:r w:rsidRPr="00333356">
        <w:rPr>
          <w:color w:val="000000" w:themeColor="text1"/>
          <w:lang w:val="en-US"/>
        </w:rPr>
        <w:t xml:space="preserve"> and the channel dwelling of the radio network.</w:t>
      </w:r>
      <w:r w:rsidR="00CC6504" w:rsidRPr="00333356">
        <w:rPr>
          <w:color w:val="000000" w:themeColor="text1"/>
          <w:lang w:val="en-US"/>
        </w:rPr>
        <w:t xml:space="preserve"> </w:t>
      </w:r>
    </w:p>
    <w:p w14:paraId="3BBAF8AF" w14:textId="77777777" w:rsidR="00CC6504" w:rsidRPr="00333356" w:rsidRDefault="00CC6504" w:rsidP="00CC6504">
      <w:pPr>
        <w:pStyle w:val="normaltext"/>
        <w:ind w:firstLine="0"/>
        <w:jc w:val="center"/>
        <w:rPr>
          <w:color w:val="000000" w:themeColor="text1"/>
        </w:rPr>
      </w:pPr>
      <w:r w:rsidRPr="00333356">
        <w:rPr>
          <w:noProof/>
          <w:color w:val="000000" w:themeColor="text1"/>
          <w:lang w:val="en-GB" w:eastAsia="en-GB"/>
        </w:rPr>
        <w:drawing>
          <wp:inline distT="0" distB="0" distL="0" distR="0" wp14:anchorId="48BD263B" wp14:editId="1B29A526">
            <wp:extent cx="2969895" cy="662940"/>
            <wp:effectExtent l="0" t="0" r="1905" b="3810"/>
            <wp:docPr id="14685760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l="50562" t="35194" b="37109"/>
                    <a:stretch>
                      <a:fillRect/>
                    </a:stretch>
                  </pic:blipFill>
                  <pic:spPr bwMode="auto">
                    <a:xfrm>
                      <a:off x="0" y="0"/>
                      <a:ext cx="2977869" cy="664720"/>
                    </a:xfrm>
                    <a:prstGeom prst="rect">
                      <a:avLst/>
                    </a:prstGeom>
                    <a:noFill/>
                    <a:ln>
                      <a:noFill/>
                    </a:ln>
                  </pic:spPr>
                </pic:pic>
              </a:graphicData>
            </a:graphic>
          </wp:inline>
        </w:drawing>
      </w:r>
    </w:p>
    <w:tbl>
      <w:tblPr>
        <w:tblW w:w="9314" w:type="dxa"/>
        <w:tblLayout w:type="fixed"/>
        <w:tblCellMar>
          <w:left w:w="70" w:type="dxa"/>
          <w:right w:w="70" w:type="dxa"/>
        </w:tblCellMar>
        <w:tblLook w:val="0000" w:firstRow="0" w:lastRow="0" w:firstColumn="0" w:lastColumn="0" w:noHBand="0" w:noVBand="0"/>
      </w:tblPr>
      <w:tblGrid>
        <w:gridCol w:w="9314"/>
      </w:tblGrid>
      <w:tr w:rsidR="00333356" w:rsidRPr="00333356" w14:paraId="3D8C4198" w14:textId="77777777" w:rsidTr="008630F3">
        <w:trPr>
          <w:trHeight w:val="588"/>
        </w:trPr>
        <w:tc>
          <w:tcPr>
            <w:tcW w:w="9314" w:type="dxa"/>
            <w:shd w:val="clear" w:color="auto" w:fill="auto"/>
          </w:tcPr>
          <w:p w14:paraId="0EE3359B" w14:textId="712E39ED" w:rsidR="00CC6504" w:rsidRPr="00333356" w:rsidRDefault="00CC6504" w:rsidP="008630F3">
            <w:pPr>
              <w:pStyle w:val="figurecaption"/>
              <w:rPr>
                <w:color w:val="000000" w:themeColor="text1"/>
                <w:sz w:val="20"/>
              </w:rPr>
            </w:pPr>
            <w:r w:rsidRPr="00333356">
              <w:rPr>
                <w:color w:val="000000" w:themeColor="text1"/>
              </w:rPr>
              <w:t>Data communication protocol.</w:t>
            </w:r>
          </w:p>
        </w:tc>
      </w:tr>
    </w:tbl>
    <w:p w14:paraId="16AAC79A" w14:textId="0159E4EB" w:rsidR="00550129" w:rsidRPr="00333356" w:rsidRDefault="00CC6504" w:rsidP="000C06B8">
      <w:pPr>
        <w:pStyle w:val="Corptext"/>
        <w:rPr>
          <w:color w:val="000000" w:themeColor="text1"/>
          <w:lang w:val="en-US"/>
        </w:rPr>
      </w:pPr>
      <w:r w:rsidRPr="00333356">
        <w:rPr>
          <w:color w:val="000000" w:themeColor="text1"/>
          <w:lang w:val="en-US"/>
        </w:rPr>
        <w:t xml:space="preserve">The protocol doesn’t use </w:t>
      </w:r>
      <w:r w:rsidR="00287784" w:rsidRPr="00333356">
        <w:rPr>
          <w:color w:val="000000" w:themeColor="text1"/>
          <w:lang w:val="en-US"/>
        </w:rPr>
        <w:t>a redundancy check (</w:t>
      </w:r>
      <w:r w:rsidRPr="00333356">
        <w:rPr>
          <w:color w:val="000000" w:themeColor="text1"/>
          <w:lang w:val="en-US"/>
        </w:rPr>
        <w:t>CRC</w:t>
      </w:r>
      <w:r w:rsidR="00287784" w:rsidRPr="00333356">
        <w:rPr>
          <w:color w:val="000000" w:themeColor="text1"/>
          <w:lang w:val="en-US"/>
        </w:rPr>
        <w:t>)</w:t>
      </w:r>
      <w:r w:rsidRPr="00333356">
        <w:rPr>
          <w:color w:val="000000" w:themeColor="text1"/>
          <w:lang w:val="en-US"/>
        </w:rPr>
        <w:t>, because it relies on the CRC performed by the lower layer of the LoRa implementation existing in the RFM98 modem.</w:t>
      </w:r>
    </w:p>
    <w:p w14:paraId="1F7F783B" w14:textId="54CEBFE5" w:rsidR="00550129" w:rsidRDefault="00632FFC" w:rsidP="008F7214">
      <w:pPr>
        <w:pStyle w:val="Corptext"/>
        <w:ind w:firstLine="289"/>
        <w:rPr>
          <w:noProof/>
          <w:color w:val="000000" w:themeColor="text1"/>
          <w:lang w:val="en-GB" w:eastAsia="en-GB"/>
        </w:rPr>
      </w:pPr>
      <w:r w:rsidRPr="00333356">
        <w:rPr>
          <w:color w:val="000000" w:themeColor="text1"/>
          <w:lang w:val="en-US"/>
        </w:rPr>
        <w:t xml:space="preserve">As </w:t>
      </w:r>
      <w:r w:rsidR="00287784" w:rsidRPr="00333356">
        <w:rPr>
          <w:color w:val="000000" w:themeColor="text1"/>
          <w:lang w:val="en-US"/>
        </w:rPr>
        <w:t xml:space="preserve">an </w:t>
      </w:r>
      <w:r w:rsidRPr="00333356">
        <w:rPr>
          <w:color w:val="000000" w:themeColor="text1"/>
          <w:lang w:val="en-US"/>
        </w:rPr>
        <w:t>anti-theft measure, the nodes have GPS modules for locating them in case of disappearance. GPS localization was preferred over LoRa localization because</w:t>
      </w:r>
      <w:r w:rsidR="000939A7" w:rsidRPr="00333356">
        <w:rPr>
          <w:color w:val="000000" w:themeColor="text1"/>
          <w:lang w:val="en-US"/>
        </w:rPr>
        <w:t xml:space="preserve"> </w:t>
      </w:r>
      <w:r w:rsidRPr="00333356">
        <w:rPr>
          <w:color w:val="000000" w:themeColor="text1"/>
          <w:lang w:val="en-US"/>
        </w:rPr>
        <w:t>it offers greater accuracy and works even for a network consisting of only one node and a gateway</w:t>
      </w:r>
      <w:r w:rsidR="000939A7" w:rsidRPr="00333356">
        <w:rPr>
          <w:color w:val="000000" w:themeColor="text1"/>
          <w:lang w:val="en-US"/>
        </w:rPr>
        <w:t xml:space="preserve">, contrary to LoRa </w:t>
      </w:r>
      <w:r w:rsidR="00287784" w:rsidRPr="00333356">
        <w:rPr>
          <w:color w:val="000000" w:themeColor="text1"/>
          <w:lang w:val="en-US"/>
        </w:rPr>
        <w:t>localization, which</w:t>
      </w:r>
      <w:r w:rsidR="000939A7" w:rsidRPr="00333356">
        <w:rPr>
          <w:color w:val="000000" w:themeColor="text1"/>
          <w:lang w:val="en-US"/>
        </w:rPr>
        <w:t xml:space="preserve"> needs at least 3 devices</w:t>
      </w:r>
      <w:r w:rsidR="00973203" w:rsidRPr="00333356">
        <w:rPr>
          <w:color w:val="000000" w:themeColor="text1"/>
          <w:lang w:val="en-US"/>
        </w:rPr>
        <w:t xml:space="preserve"> [8]</w:t>
      </w:r>
      <w:r w:rsidR="000939A7" w:rsidRPr="00333356">
        <w:rPr>
          <w:color w:val="000000" w:themeColor="text1"/>
          <w:lang w:val="en-US"/>
        </w:rPr>
        <w:t xml:space="preserve">. </w:t>
      </w:r>
      <w:r w:rsidRPr="00333356">
        <w:rPr>
          <w:color w:val="000000" w:themeColor="text1"/>
          <w:lang w:val="en-US"/>
        </w:rPr>
        <w:t xml:space="preserve"> </w:t>
      </w:r>
      <w:r w:rsidR="00205025" w:rsidRPr="00333356">
        <w:rPr>
          <w:color w:val="000000" w:themeColor="text1"/>
          <w:lang w:val="en-US"/>
        </w:rPr>
        <w:t>The LoRa gateway is connected to a PC for local storage or internet access. The PC program is implemented in LabVIEW</w:t>
      </w:r>
      <w:r w:rsidR="00333356">
        <w:rPr>
          <w:color w:val="000000" w:themeColor="text1"/>
          <w:lang w:val="en-US"/>
        </w:rPr>
        <w:t xml:space="preserve"> 2013</w:t>
      </w:r>
      <w:r w:rsidR="00205025" w:rsidRPr="00333356">
        <w:rPr>
          <w:color w:val="000000" w:themeColor="text1"/>
          <w:lang w:val="en-US"/>
        </w:rPr>
        <w:t>, as shown in Fig. 2 and Fig.</w:t>
      </w:r>
      <w:r w:rsidR="00E30B7A">
        <w:rPr>
          <w:color w:val="000000" w:themeColor="text1"/>
          <w:lang w:val="en-US"/>
        </w:rPr>
        <w:t>3a</w:t>
      </w:r>
      <w:r w:rsidR="00205025" w:rsidRPr="00333356">
        <w:rPr>
          <w:color w:val="000000" w:themeColor="text1"/>
          <w:lang w:val="en-US"/>
        </w:rPr>
        <w:t xml:space="preserve"> </w:t>
      </w:r>
    </w:p>
    <w:p w14:paraId="1AA488B7" w14:textId="70C8035B" w:rsidR="00E30B7A" w:rsidRPr="00333356" w:rsidRDefault="00E30B7A" w:rsidP="00E30B7A">
      <w:pPr>
        <w:pStyle w:val="Corptext"/>
        <w:rPr>
          <w:color w:val="000000" w:themeColor="text1"/>
          <w:lang w:val="en-US"/>
        </w:rPr>
      </w:pPr>
      <w:r w:rsidRPr="00333356">
        <w:rPr>
          <w:noProof/>
          <w:color w:val="000000" w:themeColor="text1"/>
          <w:lang w:val="en-GB" w:eastAsia="en-GB"/>
        </w:rPr>
        <w:drawing>
          <wp:inline distT="0" distB="0" distL="0" distR="0" wp14:anchorId="4435C008" wp14:editId="4BC7875C">
            <wp:extent cx="5107092" cy="2559440"/>
            <wp:effectExtent l="0" t="2540" r="0" b="0"/>
            <wp:docPr id="2080638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38922" name=""/>
                    <pic:cNvPicPr/>
                  </pic:nvPicPr>
                  <pic:blipFill rotWithShape="1">
                    <a:blip r:embed="rId12"/>
                    <a:srcRect t="8392" b="8969"/>
                    <a:stretch/>
                  </pic:blipFill>
                  <pic:spPr bwMode="auto">
                    <a:xfrm rot="16200000">
                      <a:off x="0" y="0"/>
                      <a:ext cx="5143603" cy="2577738"/>
                    </a:xfrm>
                    <a:prstGeom prst="rect">
                      <a:avLst/>
                    </a:prstGeom>
                    <a:ln>
                      <a:noFill/>
                    </a:ln>
                    <a:extLst>
                      <a:ext uri="{53640926-AAD7-44D8-BBD7-CCE9431645EC}">
                        <a14:shadowObscured xmlns:a14="http://schemas.microsoft.com/office/drawing/2010/main"/>
                      </a:ext>
                    </a:extLst>
                  </pic:spPr>
                </pic:pic>
              </a:graphicData>
            </a:graphic>
          </wp:inline>
        </w:drawing>
      </w:r>
    </w:p>
    <w:p w14:paraId="1FDC59FA" w14:textId="6C30B9B2" w:rsidR="00205025" w:rsidRPr="00333356" w:rsidRDefault="00205025" w:rsidP="00A80E43">
      <w:pPr>
        <w:pStyle w:val="figurecaption"/>
        <w:ind w:left="0" w:firstLine="0"/>
        <w:rPr>
          <w:color w:val="000000" w:themeColor="text1"/>
        </w:rPr>
      </w:pPr>
      <w:r w:rsidRPr="00333356">
        <w:rPr>
          <w:color w:val="000000" w:themeColor="text1"/>
        </w:rPr>
        <w:t xml:space="preserve">LabVIEW gateway </w:t>
      </w:r>
      <w:r w:rsidR="00287784" w:rsidRPr="00333356">
        <w:rPr>
          <w:color w:val="000000" w:themeColor="text1"/>
        </w:rPr>
        <w:t>implementation</w:t>
      </w:r>
    </w:p>
    <w:p w14:paraId="467FBB4E" w14:textId="153A2DB9" w:rsidR="000C06B8" w:rsidRPr="00333356" w:rsidRDefault="000C06B8" w:rsidP="000C06B8">
      <w:pPr>
        <w:pStyle w:val="Corptext"/>
        <w:rPr>
          <w:color w:val="000000" w:themeColor="text1"/>
          <w:lang w:val="en-US"/>
        </w:rPr>
      </w:pPr>
      <w:r w:rsidRPr="00333356">
        <w:rPr>
          <w:color w:val="000000" w:themeColor="text1"/>
          <w:lang w:val="en-US"/>
        </w:rPr>
        <w:t xml:space="preserve">The sensors used in the data analysis are NPK sensors which give data about the soil parameters. For the monitoring sensor of fluctuating concentrations of nutrients (nitrogen, potassium and phosphorus) we used </w:t>
      </w:r>
      <w:r w:rsidR="00E60C11" w:rsidRPr="00333356">
        <w:rPr>
          <w:color w:val="000000" w:themeColor="text1"/>
          <w:lang w:val="en-US"/>
        </w:rPr>
        <w:t xml:space="preserve">CWT-SOIL, shown in </w:t>
      </w:r>
      <w:r w:rsidR="00CC6504" w:rsidRPr="00333356">
        <w:rPr>
          <w:color w:val="000000" w:themeColor="text1"/>
          <w:lang w:val="en-US"/>
        </w:rPr>
        <w:t>F</w:t>
      </w:r>
      <w:r w:rsidR="00E60C11" w:rsidRPr="00333356">
        <w:rPr>
          <w:color w:val="000000" w:themeColor="text1"/>
          <w:lang w:val="en-US"/>
        </w:rPr>
        <w:t xml:space="preserve">ig. </w:t>
      </w:r>
      <w:r w:rsidR="00287784" w:rsidRPr="00333356">
        <w:rPr>
          <w:color w:val="000000" w:themeColor="text1"/>
          <w:lang w:val="en-US"/>
        </w:rPr>
        <w:t>3b</w:t>
      </w:r>
      <w:r w:rsidRPr="00333356">
        <w:rPr>
          <w:color w:val="000000" w:themeColor="text1"/>
          <w:lang w:val="en-US"/>
        </w:rPr>
        <w:t>.</w:t>
      </w:r>
      <w:r w:rsidR="000A44C0" w:rsidRPr="00333356">
        <w:rPr>
          <w:noProof/>
          <w:color w:val="000000" w:themeColor="text1"/>
          <w:lang w:val="en-GB" w:eastAsia="en-GB"/>
        </w:rPr>
        <w:t xml:space="preserve"> </w:t>
      </w:r>
    </w:p>
    <w:p w14:paraId="51B6C469" w14:textId="598DA793" w:rsidR="00287784" w:rsidRPr="00333356" w:rsidRDefault="00287784" w:rsidP="00287784">
      <w:pPr>
        <w:pStyle w:val="figurecaption"/>
        <w:numPr>
          <w:ilvl w:val="0"/>
          <w:numId w:val="0"/>
        </w:numPr>
        <w:ind w:left="360" w:hanging="360"/>
        <w:jc w:val="center"/>
        <w:rPr>
          <w:color w:val="000000" w:themeColor="text1"/>
          <w:sz w:val="20"/>
        </w:rPr>
      </w:pPr>
      <w:r w:rsidRPr="00333356">
        <w:rPr>
          <w:color w:val="000000" w:themeColor="text1"/>
          <w:sz w:val="20"/>
          <w:lang w:val="en-GB" w:eastAsia="en-GB"/>
        </w:rPr>
        <w:drawing>
          <wp:inline distT="0" distB="0" distL="0" distR="0" wp14:anchorId="6F0C8361" wp14:editId="50508DCA">
            <wp:extent cx="3100070" cy="2000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9047" cy="2012494"/>
                    </a:xfrm>
                    <a:prstGeom prst="rect">
                      <a:avLst/>
                    </a:prstGeom>
                    <a:noFill/>
                    <a:ln>
                      <a:noFill/>
                    </a:ln>
                  </pic:spPr>
                </pic:pic>
              </a:graphicData>
            </a:graphic>
          </wp:inline>
        </w:drawing>
      </w:r>
    </w:p>
    <w:p w14:paraId="64196F06" w14:textId="29057719" w:rsidR="000A44C0" w:rsidRPr="00333356" w:rsidRDefault="000A44C0" w:rsidP="000A44C0">
      <w:pPr>
        <w:pStyle w:val="figurecaption"/>
        <w:jc w:val="left"/>
        <w:rPr>
          <w:color w:val="000000" w:themeColor="text1"/>
          <w:sz w:val="20"/>
        </w:rPr>
      </w:pPr>
      <w:r w:rsidRPr="00333356">
        <w:rPr>
          <w:color w:val="000000" w:themeColor="text1"/>
        </w:rPr>
        <w:t>LabVIEW gateway interface</w:t>
      </w:r>
      <w:r w:rsidR="00287784" w:rsidRPr="00333356">
        <w:rPr>
          <w:color w:val="000000" w:themeColor="text1"/>
        </w:rPr>
        <w:t xml:space="preserve"> a) </w:t>
      </w:r>
      <w:r w:rsidRPr="00333356">
        <w:rPr>
          <w:color w:val="000000" w:themeColor="text1"/>
        </w:rPr>
        <w:t xml:space="preserve"> </w:t>
      </w:r>
      <w:r w:rsidR="00287784" w:rsidRPr="00333356">
        <w:rPr>
          <w:color w:val="000000" w:themeColor="text1"/>
        </w:rPr>
        <w:t>and soil sensor b)</w:t>
      </w:r>
    </w:p>
    <w:p w14:paraId="07A24CDA" w14:textId="6D627C6A" w:rsidR="009303D9" w:rsidRPr="00333356" w:rsidRDefault="000C06B8" w:rsidP="006B002A">
      <w:pPr>
        <w:pStyle w:val="Corptext"/>
        <w:ind w:firstLine="0"/>
        <w:rPr>
          <w:color w:val="000000" w:themeColor="text1"/>
          <w:lang w:val="en-US"/>
        </w:rPr>
      </w:pPr>
      <w:r w:rsidRPr="00333356">
        <w:rPr>
          <w:color w:val="000000" w:themeColor="text1"/>
          <w:lang w:val="en-US"/>
        </w:rPr>
        <w:t xml:space="preserve">We mention that the sensors are deployed </w:t>
      </w:r>
      <w:r w:rsidR="00632FFC" w:rsidRPr="00333356">
        <w:rPr>
          <w:color w:val="000000" w:themeColor="text1"/>
          <w:lang w:val="en-US"/>
        </w:rPr>
        <w:t>in</w:t>
      </w:r>
      <w:r w:rsidRPr="00333356">
        <w:rPr>
          <w:color w:val="000000" w:themeColor="text1"/>
          <w:lang w:val="en-US"/>
        </w:rPr>
        <w:t xml:space="preserve"> the field by means of a non-invasive method in order not to disturb the natural development processes of the plant and inadvertently limit the occurrence of </w:t>
      </w:r>
      <w:r w:rsidR="00E60C11" w:rsidRPr="00333356">
        <w:rPr>
          <w:color w:val="000000" w:themeColor="text1"/>
          <w:lang w:val="en-US"/>
        </w:rPr>
        <w:t xml:space="preserve">monitored </w:t>
      </w:r>
      <w:r w:rsidRPr="00333356">
        <w:rPr>
          <w:color w:val="000000" w:themeColor="text1"/>
          <w:lang w:val="en-US"/>
        </w:rPr>
        <w:t>diseases.</w:t>
      </w:r>
    </w:p>
    <w:p w14:paraId="764BDF20" w14:textId="0F0EFA33" w:rsidR="006B002A" w:rsidRPr="00333356" w:rsidRDefault="006B002A" w:rsidP="006B002A">
      <w:pPr>
        <w:pStyle w:val="Corptext"/>
        <w:ind w:firstLine="0"/>
        <w:rPr>
          <w:color w:val="000000" w:themeColor="text1"/>
          <w:lang w:val="en-US"/>
        </w:rPr>
      </w:pPr>
      <w:r w:rsidRPr="00333356">
        <w:rPr>
          <w:color w:val="000000" w:themeColor="text1"/>
          <w:lang w:val="en-US"/>
        </w:rPr>
        <w:t xml:space="preserve">The next Section has presented the influence of the soil parameters on </w:t>
      </w:r>
      <w:r w:rsidR="00DC35AA" w:rsidRPr="00333356">
        <w:rPr>
          <w:color w:val="000000" w:themeColor="text1"/>
          <w:lang w:val="en-US"/>
        </w:rPr>
        <w:t>the occurrence of the disease</w:t>
      </w:r>
      <w:r w:rsidRPr="00333356">
        <w:rPr>
          <w:color w:val="000000" w:themeColor="text1"/>
          <w:lang w:val="en-US"/>
        </w:rPr>
        <w:t>.</w:t>
      </w:r>
    </w:p>
    <w:p w14:paraId="6D3D9F24" w14:textId="54172EDF" w:rsidR="00E60C11" w:rsidRPr="00333356" w:rsidRDefault="00E60C11" w:rsidP="00E60C11">
      <w:pPr>
        <w:pStyle w:val="normaltext"/>
        <w:spacing w:before="0"/>
        <w:ind w:firstLine="0"/>
        <w:jc w:val="center"/>
        <w:rPr>
          <w:rFonts w:eastAsia="SimSun"/>
          <w:color w:val="000000" w:themeColor="text1"/>
          <w:sz w:val="18"/>
          <w:szCs w:val="24"/>
          <w:lang w:eastAsia="en-US"/>
        </w:rPr>
      </w:pPr>
    </w:p>
    <w:p w14:paraId="54EA7A16" w14:textId="112D65A9" w:rsidR="00277C6F" w:rsidRPr="00333356" w:rsidRDefault="00277C6F" w:rsidP="00277C6F">
      <w:pPr>
        <w:pStyle w:val="Titlu1"/>
        <w:rPr>
          <w:color w:val="000000" w:themeColor="text1"/>
        </w:rPr>
      </w:pPr>
      <w:r w:rsidRPr="00333356">
        <w:rPr>
          <w:color w:val="000000" w:themeColor="text1"/>
        </w:rPr>
        <w:t>Results</w:t>
      </w:r>
    </w:p>
    <w:p w14:paraId="088A1580" w14:textId="7A665322" w:rsidR="00AA6981" w:rsidRPr="00333356" w:rsidRDefault="00AA74F4" w:rsidP="008833AD">
      <w:pPr>
        <w:jc w:val="both"/>
        <w:rPr>
          <w:color w:val="000000" w:themeColor="text1"/>
        </w:rPr>
      </w:pPr>
      <w:r w:rsidRPr="00333356">
        <w:rPr>
          <w:color w:val="000000" w:themeColor="text1"/>
        </w:rPr>
        <w:t xml:space="preserve">The </w:t>
      </w:r>
      <w:r w:rsidR="00AA6981" w:rsidRPr="00333356">
        <w:rPr>
          <w:color w:val="000000" w:themeColor="text1"/>
        </w:rPr>
        <w:t xml:space="preserve">nutrient concentrations depend on the </w:t>
      </w:r>
      <w:r w:rsidRPr="00333356">
        <w:rPr>
          <w:color w:val="000000" w:themeColor="text1"/>
        </w:rPr>
        <w:t xml:space="preserve">soil temperature and humidity </w:t>
      </w:r>
      <w:r w:rsidR="00AA6981" w:rsidRPr="00333356">
        <w:rPr>
          <w:color w:val="000000" w:themeColor="text1"/>
        </w:rPr>
        <w:t xml:space="preserve">Fig.4. </w:t>
      </w:r>
    </w:p>
    <w:p w14:paraId="42903451" w14:textId="77777777" w:rsidR="008D45B6" w:rsidRPr="00333356" w:rsidRDefault="008D45B6" w:rsidP="008833AD">
      <w:pPr>
        <w:jc w:val="both"/>
        <w:rPr>
          <w:color w:val="000000" w:themeColor="text1"/>
        </w:rPr>
      </w:pPr>
    </w:p>
    <w:p w14:paraId="008BD458" w14:textId="2423047E" w:rsidR="00AA6981" w:rsidRPr="00333356" w:rsidRDefault="00AA6981" w:rsidP="008833AD">
      <w:pPr>
        <w:jc w:val="both"/>
        <w:rPr>
          <w:color w:val="000000" w:themeColor="text1"/>
        </w:rPr>
      </w:pPr>
      <w:r w:rsidRPr="00333356">
        <w:rPr>
          <w:noProof/>
          <w:color w:val="000000" w:themeColor="text1"/>
          <w:lang w:val="en-GB" w:eastAsia="en-GB"/>
        </w:rPr>
        <w:drawing>
          <wp:inline distT="0" distB="0" distL="0" distR="0" wp14:anchorId="27100B0E" wp14:editId="79422A86">
            <wp:extent cx="3086100" cy="2217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0" cy="2217420"/>
                    </a:xfrm>
                    <a:prstGeom prst="rect">
                      <a:avLst/>
                    </a:prstGeom>
                    <a:noFill/>
                    <a:ln>
                      <a:noFill/>
                    </a:ln>
                  </pic:spPr>
                </pic:pic>
              </a:graphicData>
            </a:graphic>
          </wp:inline>
        </w:drawing>
      </w:r>
    </w:p>
    <w:p w14:paraId="5E054C8E" w14:textId="49822B69" w:rsidR="00AA6981" w:rsidRPr="00333356" w:rsidRDefault="00AA6981" w:rsidP="008D45B6">
      <w:pPr>
        <w:pStyle w:val="figurecaption"/>
        <w:ind w:left="0" w:firstLine="0"/>
        <w:rPr>
          <w:color w:val="000000" w:themeColor="text1"/>
        </w:rPr>
      </w:pPr>
      <w:r w:rsidRPr="00333356">
        <w:rPr>
          <w:color w:val="000000" w:themeColor="text1"/>
        </w:rPr>
        <w:t>Fig.4. The variation of potassium contraction (orange) function of temperature (blue)</w:t>
      </w:r>
    </w:p>
    <w:p w14:paraId="2BF542EB" w14:textId="4C203B5F" w:rsidR="00AA6981" w:rsidRPr="00333356" w:rsidRDefault="00AA6981" w:rsidP="008833AD">
      <w:pPr>
        <w:jc w:val="both"/>
        <w:rPr>
          <w:color w:val="000000" w:themeColor="text1"/>
        </w:rPr>
      </w:pPr>
      <w:r w:rsidRPr="00333356">
        <w:rPr>
          <w:color w:val="000000" w:themeColor="text1"/>
        </w:rPr>
        <w:t>Note: Series1- soil temperature [</w:t>
      </w:r>
      <w:r w:rsidRPr="00333356">
        <w:rPr>
          <w:color w:val="000000" w:themeColor="text1"/>
          <w:vertAlign w:val="superscript"/>
        </w:rPr>
        <w:t>0</w:t>
      </w:r>
      <w:r w:rsidRPr="00333356">
        <w:rPr>
          <w:color w:val="000000" w:themeColor="text1"/>
        </w:rPr>
        <w:t>C]</w:t>
      </w:r>
    </w:p>
    <w:p w14:paraId="6A17FC3B" w14:textId="52DC89E5" w:rsidR="00AA6981" w:rsidRPr="00333356" w:rsidRDefault="00AA6981" w:rsidP="00AA6981">
      <w:pPr>
        <w:jc w:val="both"/>
        <w:rPr>
          <w:color w:val="000000" w:themeColor="text1"/>
        </w:rPr>
      </w:pPr>
      <w:r w:rsidRPr="00333356">
        <w:rPr>
          <w:color w:val="000000" w:themeColor="text1"/>
        </w:rPr>
        <w:t xml:space="preserve">         Series2 – potassium concentration </w:t>
      </w:r>
      <w:r w:rsidRPr="00333356">
        <w:rPr>
          <w:color w:val="000000" w:themeColor="text1"/>
          <w:spacing w:val="-1"/>
          <w:lang w:eastAsia="x-none"/>
        </w:rPr>
        <w:t>[mg/kg]</w:t>
      </w:r>
    </w:p>
    <w:p w14:paraId="64A32AE3" w14:textId="6225939B" w:rsidR="00AA74F4" w:rsidRPr="00333356" w:rsidRDefault="008833AD" w:rsidP="008833AD">
      <w:pPr>
        <w:jc w:val="both"/>
        <w:rPr>
          <w:color w:val="000000" w:themeColor="text1"/>
        </w:rPr>
      </w:pPr>
      <w:r w:rsidRPr="00333356">
        <w:rPr>
          <w:color w:val="000000" w:themeColor="text1"/>
        </w:rPr>
        <w:t>The soil data are correlated using the temperature, humidity, potassium concentration and conductivity (Fig.</w:t>
      </w:r>
      <w:r w:rsidR="00AA6981" w:rsidRPr="00333356">
        <w:rPr>
          <w:color w:val="000000" w:themeColor="text1"/>
        </w:rPr>
        <w:t>5</w:t>
      </w:r>
      <w:r w:rsidRPr="00333356">
        <w:rPr>
          <w:color w:val="000000" w:themeColor="text1"/>
        </w:rPr>
        <w:t xml:space="preserve">) in order to identify the data which gives the most relevant information about the vine. The </w:t>
      </w:r>
      <w:r w:rsidR="00AA6981" w:rsidRPr="00333356">
        <w:rPr>
          <w:color w:val="000000" w:themeColor="text1"/>
        </w:rPr>
        <w:t>processing aims</w:t>
      </w:r>
      <w:r w:rsidRPr="00333356">
        <w:rPr>
          <w:color w:val="000000" w:themeColor="text1"/>
        </w:rPr>
        <w:t xml:space="preserve"> to identify two diseases using the sensors placed on the Cabernet Sauvignon vine.</w:t>
      </w:r>
      <w:r w:rsidR="008D45B6" w:rsidRPr="00333356">
        <w:rPr>
          <w:color w:val="000000" w:themeColor="text1"/>
        </w:rPr>
        <w:t xml:space="preserve"> </w:t>
      </w:r>
    </w:p>
    <w:p w14:paraId="15A1C762" w14:textId="6C1E6204" w:rsidR="00AA74F4" w:rsidRPr="00333356" w:rsidRDefault="00AA74F4" w:rsidP="00AA74F4">
      <w:pPr>
        <w:jc w:val="both"/>
        <w:rPr>
          <w:color w:val="000000" w:themeColor="text1"/>
        </w:rPr>
      </w:pPr>
      <w:r w:rsidRPr="00333356">
        <w:rPr>
          <w:color w:val="000000" w:themeColor="text1"/>
        </w:rPr>
        <w:t xml:space="preserve"> </w:t>
      </w:r>
    </w:p>
    <w:p w14:paraId="2F8BA718" w14:textId="31B8A37E" w:rsidR="00C81558" w:rsidRPr="00333356" w:rsidRDefault="000E75ED" w:rsidP="00C81558">
      <w:pPr>
        <w:rPr>
          <w:color w:val="000000" w:themeColor="text1"/>
        </w:rPr>
      </w:pPr>
      <w:r>
        <w:rPr>
          <w:noProof/>
        </w:rPr>
        <w:lastRenderedPageBreak/>
        <w:drawing>
          <wp:inline distT="0" distB="0" distL="0" distR="0" wp14:anchorId="4D0EAD6A" wp14:editId="1364EAD3">
            <wp:extent cx="3089910" cy="2400935"/>
            <wp:effectExtent l="0" t="0" r="0" b="0"/>
            <wp:docPr id="1420572160"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400935"/>
                    </a:xfrm>
                    <a:prstGeom prst="rect">
                      <a:avLst/>
                    </a:prstGeom>
                    <a:noFill/>
                    <a:ln>
                      <a:noFill/>
                    </a:ln>
                  </pic:spPr>
                </pic:pic>
              </a:graphicData>
            </a:graphic>
          </wp:inline>
        </w:drawing>
      </w:r>
    </w:p>
    <w:p w14:paraId="5393B8FA" w14:textId="58980DC2" w:rsidR="008833AD" w:rsidRPr="00333356" w:rsidRDefault="008833AD" w:rsidP="008D45B6">
      <w:pPr>
        <w:pStyle w:val="figurecaption"/>
        <w:ind w:left="0" w:firstLine="0"/>
        <w:rPr>
          <w:color w:val="000000" w:themeColor="text1"/>
        </w:rPr>
      </w:pPr>
      <w:r w:rsidRPr="00333356">
        <w:rPr>
          <w:color w:val="000000" w:themeColor="text1"/>
        </w:rPr>
        <w:t xml:space="preserve"> Data correlation of soil parameters</w:t>
      </w:r>
    </w:p>
    <w:p w14:paraId="6B89D18B" w14:textId="5441524C" w:rsidR="000D31F4" w:rsidRPr="00333356" w:rsidRDefault="00573B79" w:rsidP="00F47933">
      <w:pPr>
        <w:pStyle w:val="Corptext"/>
        <w:ind w:firstLine="0"/>
        <w:rPr>
          <w:color w:val="000000" w:themeColor="text1"/>
          <w:lang w:val="en-US"/>
        </w:rPr>
      </w:pPr>
      <w:r w:rsidRPr="00333356">
        <w:rPr>
          <w:color w:val="000000" w:themeColor="text1"/>
          <w:lang w:val="en-US"/>
        </w:rPr>
        <w:t>The correlation between the soil nutrients</w:t>
      </w:r>
      <w:r w:rsidR="000D31F4" w:rsidRPr="00333356">
        <w:rPr>
          <w:color w:val="000000" w:themeColor="text1"/>
          <w:lang w:val="en-US"/>
        </w:rPr>
        <w:t xml:space="preserve"> like </w:t>
      </w:r>
      <w:r w:rsidR="005037F9">
        <w:rPr>
          <w:color w:val="000000" w:themeColor="text1"/>
          <w:lang w:val="en-US"/>
        </w:rPr>
        <w:t>Potassium</w:t>
      </w:r>
      <w:r w:rsidR="000D31F4" w:rsidRPr="00333356">
        <w:rPr>
          <w:color w:val="000000" w:themeColor="text1"/>
          <w:lang w:val="en-US"/>
        </w:rPr>
        <w:t xml:space="preserve"> concentration</w:t>
      </w:r>
      <w:r w:rsidRPr="00333356">
        <w:rPr>
          <w:color w:val="000000" w:themeColor="text1"/>
          <w:lang w:val="en-US"/>
        </w:rPr>
        <w:t xml:space="preserve"> </w:t>
      </w:r>
      <w:r w:rsidR="000D31F4" w:rsidRPr="00333356">
        <w:rPr>
          <w:color w:val="000000" w:themeColor="text1"/>
          <w:lang w:val="en-US"/>
        </w:rPr>
        <w:t xml:space="preserve">and soil temperature and humidity </w:t>
      </w:r>
      <w:r w:rsidRPr="00333356">
        <w:rPr>
          <w:color w:val="000000" w:themeColor="text1"/>
          <w:lang w:val="en-US"/>
        </w:rPr>
        <w:t xml:space="preserve">is observed in Fig.5 </w:t>
      </w:r>
    </w:p>
    <w:p w14:paraId="37818999" w14:textId="2138C406" w:rsidR="00573B79" w:rsidRPr="00333356" w:rsidRDefault="00573B79" w:rsidP="00F47933">
      <w:pPr>
        <w:pStyle w:val="Corptext"/>
        <w:ind w:firstLine="0"/>
        <w:rPr>
          <w:color w:val="000000" w:themeColor="text1"/>
          <w:lang w:val="en-US"/>
        </w:rPr>
      </w:pPr>
      <w:r w:rsidRPr="00333356">
        <w:rPr>
          <w:color w:val="000000" w:themeColor="text1"/>
          <w:lang w:val="en-US"/>
        </w:rPr>
        <w:t>The environmental parameter</w:t>
      </w:r>
      <w:r w:rsidR="000D31F4" w:rsidRPr="00333356">
        <w:rPr>
          <w:color w:val="000000" w:themeColor="text1"/>
          <w:lang w:val="en-US"/>
        </w:rPr>
        <w:t>s</w:t>
      </w:r>
      <w:r w:rsidRPr="00333356">
        <w:rPr>
          <w:color w:val="000000" w:themeColor="text1"/>
          <w:lang w:val="en-US"/>
        </w:rPr>
        <w:t xml:space="preserve"> and nutrients can be used in the prediction algorithm to identify the disease.</w:t>
      </w:r>
    </w:p>
    <w:p w14:paraId="70846E5E" w14:textId="5165552D" w:rsidR="00277C6F" w:rsidRPr="00333356" w:rsidRDefault="00277C6F" w:rsidP="00F47933">
      <w:pPr>
        <w:pStyle w:val="Corptext"/>
        <w:ind w:firstLine="0"/>
        <w:rPr>
          <w:color w:val="000000" w:themeColor="text1"/>
          <w:lang w:val="en-US"/>
        </w:rPr>
      </w:pPr>
      <w:r w:rsidRPr="00333356">
        <w:rPr>
          <w:color w:val="000000" w:themeColor="text1"/>
          <w:lang w:val="en-US"/>
        </w:rPr>
        <w:t xml:space="preserve">There are a number of internal measures for assessing data clustering quality. However, it should be taken into account that many of these measures are based on the evaluation of consequent clustering, whereas only one potential cluster is known when evaluating. </w:t>
      </w:r>
    </w:p>
    <w:p w14:paraId="238B065C" w14:textId="3DE580E3" w:rsidR="00277C6F" w:rsidRPr="00333356" w:rsidRDefault="00277C6F" w:rsidP="00F47933">
      <w:pPr>
        <w:pStyle w:val="Corptext"/>
        <w:ind w:firstLine="0"/>
        <w:rPr>
          <w:color w:val="000000" w:themeColor="text1"/>
          <w:lang w:val="en-US"/>
        </w:rPr>
      </w:pPr>
      <w:r w:rsidRPr="00333356">
        <w:rPr>
          <w:color w:val="000000" w:themeColor="text1"/>
          <w:lang w:val="en-US"/>
        </w:rPr>
        <w:t>The Calinski-Harabasz index is a measure of the quality of a dataset's splits in clustering. This index is based on the between-groups and within-groups variances. The distance to the cluster center is presented in [</w:t>
      </w:r>
      <w:r w:rsidR="00973203" w:rsidRPr="00333356">
        <w:rPr>
          <w:color w:val="000000" w:themeColor="text1"/>
          <w:lang w:val="en-US"/>
        </w:rPr>
        <w:t>9</w:t>
      </w:r>
      <w:r w:rsidRPr="00333356">
        <w:rPr>
          <w:color w:val="000000" w:themeColor="text1"/>
          <w:lang w:val="en-US"/>
        </w:rPr>
        <w:t>]. Another algorithm of clustering is the Dunn inde</w:t>
      </w:r>
      <w:r w:rsidR="00F47933" w:rsidRPr="00333356">
        <w:rPr>
          <w:color w:val="000000" w:themeColor="text1"/>
          <w:lang w:val="en-US"/>
        </w:rPr>
        <w:t xml:space="preserve">x and the Davies-Bouldin Index. This </w:t>
      </w:r>
      <w:r w:rsidRPr="00333356">
        <w:rPr>
          <w:color w:val="000000" w:themeColor="text1"/>
          <w:lang w:val="en-US"/>
        </w:rPr>
        <w:t>compares the cluster spacing to the cluster diameter</w:t>
      </w:r>
      <w:r w:rsidR="00F47933" w:rsidRPr="00333356">
        <w:rPr>
          <w:color w:val="000000" w:themeColor="text1"/>
          <w:lang w:val="en-US"/>
        </w:rPr>
        <w:t xml:space="preserve">. The </w:t>
      </w:r>
      <w:r w:rsidRPr="00333356">
        <w:rPr>
          <w:color w:val="000000" w:themeColor="text1"/>
          <w:lang w:val="en-US"/>
        </w:rPr>
        <w:t>Index determines the average similarity between a cluster and its nearest neighbors. These indices are computed using inter-cluster or distance-to-cluster-center values.</w:t>
      </w:r>
    </w:p>
    <w:p w14:paraId="277FB4CA" w14:textId="6789BDFD" w:rsidR="00277C6F" w:rsidRPr="00333356" w:rsidRDefault="00277C6F" w:rsidP="00F47933">
      <w:pPr>
        <w:pStyle w:val="Corptext"/>
        <w:ind w:firstLine="0"/>
        <w:rPr>
          <w:color w:val="000000" w:themeColor="text1"/>
          <w:lang w:val="en-US"/>
        </w:rPr>
      </w:pPr>
      <w:r w:rsidRPr="00333356">
        <w:rPr>
          <w:color w:val="000000" w:themeColor="text1"/>
          <w:lang w:val="en-US"/>
        </w:rPr>
        <w:t xml:space="preserve">The Silhouette index is a method for interpreting and checking the consistency within clusters. The silhouette value </w:t>
      </w:r>
      <w:r w:rsidR="00B70370" w:rsidRPr="00333356">
        <w:rPr>
          <w:color w:val="000000" w:themeColor="text1"/>
          <w:lang w:val="en-US"/>
        </w:rPr>
        <w:t>measures an object’s similarity</w:t>
      </w:r>
      <w:r w:rsidRPr="00333356">
        <w:rPr>
          <w:color w:val="000000" w:themeColor="text1"/>
          <w:lang w:val="en-US"/>
        </w:rPr>
        <w:t xml:space="preserve"> with its own cluster [</w:t>
      </w:r>
      <w:r w:rsidR="00973203" w:rsidRPr="00333356">
        <w:rPr>
          <w:color w:val="000000" w:themeColor="text1"/>
          <w:lang w:val="en-US"/>
        </w:rPr>
        <w:t>9</w:t>
      </w:r>
      <w:r w:rsidRPr="00333356">
        <w:rPr>
          <w:color w:val="000000" w:themeColor="text1"/>
          <w:lang w:val="en-US"/>
        </w:rPr>
        <w:t>].</w:t>
      </w:r>
    </w:p>
    <w:p w14:paraId="0379CCD6" w14:textId="2CE3922D" w:rsidR="00F47933" w:rsidRPr="00333356" w:rsidRDefault="00B70370" w:rsidP="00B70370">
      <w:pPr>
        <w:pStyle w:val="figurecaption"/>
        <w:numPr>
          <w:ilvl w:val="0"/>
          <w:numId w:val="0"/>
        </w:numPr>
        <w:rPr>
          <w:noProof w:val="0"/>
          <w:color w:val="000000" w:themeColor="text1"/>
          <w:spacing w:val="-1"/>
          <w:sz w:val="20"/>
          <w:szCs w:val="20"/>
          <w:lang w:eastAsia="x-none"/>
        </w:rPr>
      </w:pPr>
      <w:r w:rsidRPr="00333356">
        <w:rPr>
          <w:noProof w:val="0"/>
          <w:color w:val="000000" w:themeColor="text1"/>
          <w:spacing w:val="-1"/>
          <w:sz w:val="20"/>
          <w:szCs w:val="20"/>
          <w:lang w:eastAsia="x-none"/>
        </w:rPr>
        <w:t>This</w:t>
      </w:r>
      <w:r w:rsidR="00F47933" w:rsidRPr="00333356">
        <w:rPr>
          <w:noProof w:val="0"/>
          <w:color w:val="000000" w:themeColor="text1"/>
          <w:spacing w:val="-1"/>
          <w:sz w:val="20"/>
          <w:szCs w:val="20"/>
          <w:lang w:eastAsia="x-none"/>
        </w:rPr>
        <w:t xml:space="preserve"> study is</w:t>
      </w:r>
      <w:r w:rsidR="00277C6F" w:rsidRPr="00333356">
        <w:rPr>
          <w:noProof w:val="0"/>
          <w:color w:val="000000" w:themeColor="text1"/>
          <w:spacing w:val="-1"/>
          <w:sz w:val="20"/>
          <w:szCs w:val="20"/>
          <w:lang w:eastAsia="x-none"/>
        </w:rPr>
        <w:t xml:space="preserve"> presented the computing test for data clustering. </w:t>
      </w:r>
      <w:r w:rsidRPr="00333356">
        <w:rPr>
          <w:noProof w:val="0"/>
          <w:color w:val="000000" w:themeColor="text1"/>
          <w:spacing w:val="-1"/>
          <w:sz w:val="20"/>
          <w:szCs w:val="20"/>
          <w:lang w:eastAsia="x-none"/>
        </w:rPr>
        <w:t xml:space="preserve">The processing aims to identify two diseases using the sensors placed on the Cabernet Sauvignon vine. </w:t>
      </w:r>
      <w:r w:rsidR="00277C6F" w:rsidRPr="00333356">
        <w:rPr>
          <w:noProof w:val="0"/>
          <w:color w:val="000000" w:themeColor="text1"/>
          <w:spacing w:val="-1"/>
          <w:sz w:val="20"/>
          <w:szCs w:val="20"/>
          <w:lang w:eastAsia="x-none"/>
        </w:rPr>
        <w:t>Samples of soil parameters data for predicting the vine disease are used as initial data.</w:t>
      </w:r>
      <w:r w:rsidR="00F47933" w:rsidRPr="00333356">
        <w:rPr>
          <w:noProof w:val="0"/>
          <w:color w:val="000000" w:themeColor="text1"/>
          <w:spacing w:val="-1"/>
          <w:sz w:val="20"/>
          <w:szCs w:val="20"/>
          <w:lang w:eastAsia="x-none"/>
        </w:rPr>
        <w:t xml:space="preserve"> These parameters are </w:t>
      </w:r>
      <w:r w:rsidRPr="00333356">
        <w:rPr>
          <w:noProof w:val="0"/>
          <w:color w:val="000000" w:themeColor="text1"/>
          <w:spacing w:val="-1"/>
          <w:sz w:val="20"/>
          <w:szCs w:val="20"/>
          <w:lang w:eastAsia="x-none"/>
        </w:rPr>
        <w:t>s</w:t>
      </w:r>
      <w:r w:rsidR="00F47933" w:rsidRPr="00333356">
        <w:rPr>
          <w:noProof w:val="0"/>
          <w:color w:val="000000" w:themeColor="text1"/>
          <w:spacing w:val="-1"/>
          <w:sz w:val="20"/>
          <w:szCs w:val="20"/>
          <w:lang w:eastAsia="x-none"/>
        </w:rPr>
        <w:t>oil temperature [deg. C] and</w:t>
      </w:r>
      <w:r w:rsidRPr="00333356">
        <w:rPr>
          <w:noProof w:val="0"/>
          <w:color w:val="000000" w:themeColor="text1"/>
          <w:spacing w:val="-1"/>
          <w:sz w:val="20"/>
          <w:szCs w:val="20"/>
          <w:lang w:eastAsia="x-none"/>
        </w:rPr>
        <w:t xml:space="preserve"> </w:t>
      </w:r>
      <w:r w:rsidR="00F47933" w:rsidRPr="00333356">
        <w:rPr>
          <w:noProof w:val="0"/>
          <w:color w:val="000000" w:themeColor="text1"/>
          <w:spacing w:val="-1"/>
          <w:sz w:val="20"/>
          <w:szCs w:val="20"/>
          <w:lang w:eastAsia="x-none"/>
        </w:rPr>
        <w:t>soil Potassium [mg/kg] measured with  NPK</w:t>
      </w:r>
      <w:r w:rsidR="008D45B6" w:rsidRPr="00333356">
        <w:rPr>
          <w:noProof w:val="0"/>
          <w:color w:val="000000" w:themeColor="text1"/>
          <w:spacing w:val="-1"/>
          <w:sz w:val="20"/>
          <w:szCs w:val="20"/>
          <w:lang w:eastAsia="x-none"/>
        </w:rPr>
        <w:t xml:space="preserve">  (Fig.6</w:t>
      </w:r>
      <w:r w:rsidRPr="00333356">
        <w:rPr>
          <w:noProof w:val="0"/>
          <w:color w:val="000000" w:themeColor="text1"/>
          <w:spacing w:val="-1"/>
          <w:sz w:val="20"/>
          <w:szCs w:val="20"/>
          <w:lang w:eastAsia="x-none"/>
        </w:rPr>
        <w:t>)</w:t>
      </w:r>
      <w:r w:rsidR="00F47933" w:rsidRPr="00333356">
        <w:rPr>
          <w:noProof w:val="0"/>
          <w:color w:val="000000" w:themeColor="text1"/>
          <w:spacing w:val="-1"/>
          <w:sz w:val="20"/>
          <w:szCs w:val="20"/>
          <w:lang w:eastAsia="x-none"/>
        </w:rPr>
        <w:t>.</w:t>
      </w:r>
      <w:r w:rsidRPr="00333356">
        <w:rPr>
          <w:noProof w:val="0"/>
          <w:color w:val="000000" w:themeColor="text1"/>
          <w:spacing w:val="-1"/>
          <w:sz w:val="20"/>
          <w:szCs w:val="20"/>
          <w:lang w:eastAsia="x-none"/>
        </w:rPr>
        <w:t xml:space="preserve"> Clustering methods are used to identify the number of data groups of diseases. The silhouette parameter obtained for the three classes is 0.58 (Tabel I).</w:t>
      </w:r>
    </w:p>
    <w:p w14:paraId="592FB45C" w14:textId="335042A4" w:rsidR="00FC3FE0" w:rsidRDefault="00277C6F" w:rsidP="00FC3FE0">
      <w:pPr>
        <w:pStyle w:val="Corptext"/>
        <w:ind w:firstLine="0"/>
        <w:rPr>
          <w:color w:val="000000" w:themeColor="text1"/>
        </w:rPr>
      </w:pPr>
      <w:r w:rsidRPr="00333356">
        <w:rPr>
          <w:color w:val="000000" w:themeColor="text1"/>
          <w:lang w:val="en-US"/>
        </w:rPr>
        <w:t>The soil data are correlated using the temperature, humidity, potassium concentration, and conductivity (Fig.</w:t>
      </w:r>
      <w:r w:rsidR="008D45B6" w:rsidRPr="00333356">
        <w:rPr>
          <w:color w:val="000000" w:themeColor="text1"/>
          <w:lang w:val="en-US"/>
        </w:rPr>
        <w:t>7</w:t>
      </w:r>
      <w:r w:rsidRPr="00333356">
        <w:rPr>
          <w:color w:val="000000" w:themeColor="text1"/>
          <w:lang w:val="en-US"/>
        </w:rPr>
        <w:t xml:space="preserve">) in order to identify the data which gives the most relevant information about the vine. </w:t>
      </w:r>
      <w:r w:rsidR="00FC3FE0">
        <w:rPr>
          <w:color w:val="000000" w:themeColor="text1"/>
        </w:rPr>
        <w:t>After the cluster data</w:t>
      </w:r>
      <w:r w:rsidR="00FC3FE0">
        <w:rPr>
          <w:color w:val="000000" w:themeColor="text1"/>
          <w:lang w:val="en-GB"/>
        </w:rPr>
        <w:t>,</w:t>
      </w:r>
      <w:r w:rsidR="00FC3FE0">
        <w:rPr>
          <w:color w:val="000000" w:themeColor="text1"/>
        </w:rPr>
        <w:t xml:space="preserve"> we obtain the same number of classes </w:t>
      </w:r>
      <w:r w:rsidR="00FC3FE0">
        <w:rPr>
          <w:color w:val="000000" w:themeColor="text1"/>
          <w:lang w:val="en-GB"/>
        </w:rPr>
        <w:t>that</w:t>
      </w:r>
      <w:r w:rsidR="00FC3FE0">
        <w:rPr>
          <w:color w:val="000000" w:themeColor="text1"/>
        </w:rPr>
        <w:t xml:space="preserve"> represent the </w:t>
      </w:r>
      <w:r w:rsidR="00FC3FE0">
        <w:rPr>
          <w:color w:val="000000" w:themeColor="text1"/>
          <w:lang w:val="en-GB"/>
        </w:rPr>
        <w:t>normal</w:t>
      </w:r>
      <w:r w:rsidR="00FC3FE0">
        <w:rPr>
          <w:color w:val="000000" w:themeColor="text1"/>
        </w:rPr>
        <w:t xml:space="preserve"> and</w:t>
      </w:r>
      <w:r w:rsidR="00FC3FE0">
        <w:rPr>
          <w:color w:val="000000" w:themeColor="text1"/>
          <w:lang w:val="en-GB"/>
        </w:rPr>
        <w:t xml:space="preserve"> </w:t>
      </w:r>
      <w:r w:rsidR="00FC3FE0">
        <w:rPr>
          <w:color w:val="000000" w:themeColor="text1"/>
        </w:rPr>
        <w:t xml:space="preserve">disease </w:t>
      </w:r>
      <w:r w:rsidR="00FC3FE0">
        <w:rPr>
          <w:color w:val="000000" w:themeColor="text1"/>
          <w:lang w:val="en-GB"/>
        </w:rPr>
        <w:t xml:space="preserve">vine </w:t>
      </w:r>
      <w:r w:rsidR="00FC3FE0">
        <w:rPr>
          <w:color w:val="000000" w:themeColor="text1"/>
        </w:rPr>
        <w:t>as the classical data collected by the farmers.</w:t>
      </w:r>
    </w:p>
    <w:p w14:paraId="10A63735" w14:textId="3A51FEA0" w:rsidR="00277C6F" w:rsidRPr="00333356" w:rsidRDefault="00751DC3" w:rsidP="0064301B">
      <w:pPr>
        <w:pStyle w:val="Corptext"/>
        <w:ind w:firstLine="0"/>
        <w:jc w:val="center"/>
        <w:rPr>
          <w:color w:val="000000" w:themeColor="text1"/>
          <w:lang w:val="en-US"/>
        </w:rPr>
      </w:pPr>
      <w:r>
        <w:rPr>
          <w:noProof/>
        </w:rPr>
        <w:drawing>
          <wp:inline distT="0" distB="0" distL="0" distR="0" wp14:anchorId="74DB9AD9" wp14:editId="195EF719">
            <wp:extent cx="3089910" cy="2249805"/>
            <wp:effectExtent l="0" t="0" r="0" b="0"/>
            <wp:docPr id="208906786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2249805"/>
                    </a:xfrm>
                    <a:prstGeom prst="rect">
                      <a:avLst/>
                    </a:prstGeom>
                    <a:noFill/>
                    <a:ln>
                      <a:noFill/>
                    </a:ln>
                  </pic:spPr>
                </pic:pic>
              </a:graphicData>
            </a:graphic>
          </wp:inline>
        </w:drawing>
      </w:r>
    </w:p>
    <w:p w14:paraId="0CD71682" w14:textId="6BBCA8D9" w:rsidR="0064301B" w:rsidRPr="00333356" w:rsidRDefault="0064301B" w:rsidP="0064301B">
      <w:pPr>
        <w:pStyle w:val="figurecaption"/>
        <w:jc w:val="left"/>
        <w:rPr>
          <w:color w:val="000000" w:themeColor="text1"/>
        </w:rPr>
      </w:pPr>
      <w:r w:rsidRPr="00333356">
        <w:rPr>
          <w:color w:val="000000" w:themeColor="text1"/>
        </w:rPr>
        <w:t>S</w:t>
      </w:r>
      <w:r w:rsidR="00B70370" w:rsidRPr="00333356">
        <w:rPr>
          <w:color w:val="000000" w:themeColor="text1"/>
        </w:rPr>
        <w:t>ilhouette analysis for s</w:t>
      </w:r>
      <w:r w:rsidR="00B70370" w:rsidRPr="00333356">
        <w:rPr>
          <w:noProof w:val="0"/>
          <w:color w:val="000000" w:themeColor="text1"/>
          <w:spacing w:val="-1"/>
          <w:lang w:eastAsia="x-none"/>
        </w:rPr>
        <w:t>oil temperature [deg. C] and  soil Potassium [mg/kg]</w:t>
      </w:r>
    </w:p>
    <w:tbl>
      <w:tblPr>
        <w:tblpPr w:leftFromText="180" w:rightFromText="180" w:vertAnchor="text" w:horzAnchor="margin" w:tblpXSpec="right" w:tblpY="965"/>
        <w:tblW w:w="5016" w:type="dxa"/>
        <w:tblLook w:val="04A0" w:firstRow="1" w:lastRow="0" w:firstColumn="1" w:lastColumn="0" w:noHBand="0" w:noVBand="1"/>
      </w:tblPr>
      <w:tblGrid>
        <w:gridCol w:w="1873"/>
        <w:gridCol w:w="655"/>
        <w:gridCol w:w="893"/>
        <w:gridCol w:w="839"/>
        <w:gridCol w:w="756"/>
      </w:tblGrid>
      <w:tr w:rsidR="00333356" w:rsidRPr="00333356" w14:paraId="6A2AABDD" w14:textId="77777777" w:rsidTr="008D45B6">
        <w:trPr>
          <w:trHeight w:val="157"/>
        </w:trPr>
        <w:tc>
          <w:tcPr>
            <w:tcW w:w="1873" w:type="dxa"/>
            <w:tcBorders>
              <w:top w:val="single" w:sz="12" w:space="0" w:color="3660AC"/>
              <w:left w:val="single" w:sz="12" w:space="0" w:color="3660AC"/>
              <w:bottom w:val="single" w:sz="12" w:space="0" w:color="3660AC"/>
              <w:right w:val="single" w:sz="8" w:space="0" w:color="3660AC"/>
            </w:tcBorders>
            <w:shd w:val="clear" w:color="000000" w:fill="4472C4"/>
            <w:noWrap/>
            <w:vAlign w:val="center"/>
            <w:hideMark/>
          </w:tcPr>
          <w:p w14:paraId="5F984969" w14:textId="77777777" w:rsidR="008D45B6" w:rsidRPr="00333356" w:rsidRDefault="008D45B6" w:rsidP="008D45B6">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 </w:t>
            </w:r>
          </w:p>
        </w:tc>
        <w:tc>
          <w:tcPr>
            <w:tcW w:w="655" w:type="dxa"/>
            <w:tcBorders>
              <w:top w:val="single" w:sz="12" w:space="0" w:color="3660AC"/>
              <w:left w:val="nil"/>
              <w:bottom w:val="single" w:sz="12" w:space="0" w:color="3660AC"/>
              <w:right w:val="single" w:sz="8" w:space="0" w:color="3660AC"/>
            </w:tcBorders>
            <w:shd w:val="clear" w:color="000000" w:fill="4472C4"/>
            <w:noWrap/>
            <w:vAlign w:val="center"/>
            <w:hideMark/>
          </w:tcPr>
          <w:p w14:paraId="7045320F" w14:textId="77777777" w:rsidR="008D45B6" w:rsidRPr="00333356" w:rsidRDefault="008D45B6" w:rsidP="008D45B6">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Inertia</w:t>
            </w:r>
          </w:p>
        </w:tc>
        <w:tc>
          <w:tcPr>
            <w:tcW w:w="893" w:type="dxa"/>
            <w:tcBorders>
              <w:top w:val="single" w:sz="12" w:space="0" w:color="3660AC"/>
              <w:left w:val="nil"/>
              <w:bottom w:val="single" w:sz="12" w:space="0" w:color="3660AC"/>
              <w:right w:val="single" w:sz="8" w:space="0" w:color="3660AC"/>
            </w:tcBorders>
            <w:shd w:val="clear" w:color="000000" w:fill="4472C4"/>
            <w:noWrap/>
            <w:vAlign w:val="center"/>
            <w:hideMark/>
          </w:tcPr>
          <w:p w14:paraId="299E5F63" w14:textId="77777777" w:rsidR="008D45B6" w:rsidRPr="00333356" w:rsidRDefault="008D45B6" w:rsidP="008D45B6">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Silhouette Score</w:t>
            </w:r>
          </w:p>
        </w:tc>
        <w:tc>
          <w:tcPr>
            <w:tcW w:w="839" w:type="dxa"/>
            <w:tcBorders>
              <w:top w:val="single" w:sz="12" w:space="0" w:color="3660AC"/>
              <w:left w:val="nil"/>
              <w:bottom w:val="single" w:sz="12" w:space="0" w:color="3660AC"/>
              <w:right w:val="single" w:sz="8" w:space="0" w:color="3660AC"/>
            </w:tcBorders>
            <w:shd w:val="clear" w:color="000000" w:fill="4472C4"/>
            <w:noWrap/>
            <w:vAlign w:val="center"/>
            <w:hideMark/>
          </w:tcPr>
          <w:p w14:paraId="3BBE2F35" w14:textId="77777777" w:rsidR="008D45B6" w:rsidRPr="00333356" w:rsidRDefault="008D45B6" w:rsidP="008D45B6">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Calinski-Harabasz Index</w:t>
            </w:r>
          </w:p>
        </w:tc>
        <w:tc>
          <w:tcPr>
            <w:tcW w:w="756" w:type="dxa"/>
            <w:tcBorders>
              <w:top w:val="single" w:sz="12" w:space="0" w:color="3660AC"/>
              <w:left w:val="nil"/>
              <w:bottom w:val="single" w:sz="12" w:space="0" w:color="3660AC"/>
              <w:right w:val="single" w:sz="12" w:space="0" w:color="3660AC"/>
            </w:tcBorders>
            <w:shd w:val="clear" w:color="000000" w:fill="4472C4"/>
            <w:noWrap/>
            <w:vAlign w:val="center"/>
            <w:hideMark/>
          </w:tcPr>
          <w:p w14:paraId="0A25E0B8" w14:textId="77777777" w:rsidR="008D45B6" w:rsidRPr="00333356" w:rsidRDefault="008D45B6" w:rsidP="008D45B6">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Davies-Bouldin Index</w:t>
            </w:r>
          </w:p>
        </w:tc>
      </w:tr>
      <w:tr w:rsidR="00333356" w:rsidRPr="00333356" w14:paraId="442A6E1E" w14:textId="77777777" w:rsidTr="008D45B6">
        <w:trPr>
          <w:trHeight w:val="157"/>
        </w:trPr>
        <w:tc>
          <w:tcPr>
            <w:tcW w:w="1873" w:type="dxa"/>
            <w:tcBorders>
              <w:top w:val="nil"/>
              <w:left w:val="single" w:sz="12" w:space="0" w:color="3660AC"/>
              <w:bottom w:val="single" w:sz="8" w:space="0" w:color="3660AC"/>
              <w:right w:val="single" w:sz="12" w:space="0" w:color="3660AC"/>
            </w:tcBorders>
            <w:shd w:val="clear" w:color="000000" w:fill="8EA9DB"/>
            <w:noWrap/>
            <w:vAlign w:val="center"/>
            <w:hideMark/>
          </w:tcPr>
          <w:p w14:paraId="02101FE5" w14:textId="7FB50BBF" w:rsidR="008D45B6" w:rsidRPr="00333356" w:rsidRDefault="008D45B6" w:rsidP="008D45B6">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K-Means - Soil temp. NPK and Soil Potassium</w:t>
            </w:r>
          </w:p>
        </w:tc>
        <w:tc>
          <w:tcPr>
            <w:tcW w:w="655" w:type="dxa"/>
            <w:tcBorders>
              <w:top w:val="nil"/>
              <w:left w:val="nil"/>
              <w:bottom w:val="single" w:sz="8" w:space="0" w:color="3660AC"/>
              <w:right w:val="single" w:sz="8" w:space="0" w:color="3660AC"/>
            </w:tcBorders>
            <w:shd w:val="clear" w:color="auto" w:fill="auto"/>
            <w:noWrap/>
            <w:vAlign w:val="center"/>
            <w:hideMark/>
          </w:tcPr>
          <w:p w14:paraId="3FA4492B" w14:textId="77777777" w:rsidR="008D45B6" w:rsidRPr="00333356" w:rsidRDefault="008D45B6" w:rsidP="008D45B6">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0.55</w:t>
            </w:r>
          </w:p>
        </w:tc>
        <w:tc>
          <w:tcPr>
            <w:tcW w:w="893" w:type="dxa"/>
            <w:tcBorders>
              <w:top w:val="nil"/>
              <w:left w:val="nil"/>
              <w:bottom w:val="single" w:sz="8" w:space="0" w:color="3660AC"/>
              <w:right w:val="single" w:sz="8" w:space="0" w:color="3660AC"/>
            </w:tcBorders>
            <w:shd w:val="clear" w:color="auto" w:fill="auto"/>
            <w:noWrap/>
            <w:vAlign w:val="center"/>
            <w:hideMark/>
          </w:tcPr>
          <w:p w14:paraId="1C97BA36" w14:textId="77777777" w:rsidR="008D45B6" w:rsidRPr="00333356" w:rsidRDefault="008D45B6" w:rsidP="008D45B6">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0.58</w:t>
            </w:r>
          </w:p>
        </w:tc>
        <w:tc>
          <w:tcPr>
            <w:tcW w:w="839" w:type="dxa"/>
            <w:tcBorders>
              <w:top w:val="nil"/>
              <w:left w:val="nil"/>
              <w:bottom w:val="single" w:sz="8" w:space="0" w:color="3660AC"/>
              <w:right w:val="single" w:sz="8" w:space="0" w:color="3660AC"/>
            </w:tcBorders>
            <w:shd w:val="clear" w:color="auto" w:fill="auto"/>
            <w:noWrap/>
            <w:vAlign w:val="center"/>
            <w:hideMark/>
          </w:tcPr>
          <w:p w14:paraId="03CF6DF5" w14:textId="77777777" w:rsidR="008D45B6" w:rsidRPr="00333356" w:rsidRDefault="008D45B6" w:rsidP="008D45B6">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1227.92</w:t>
            </w:r>
          </w:p>
        </w:tc>
        <w:tc>
          <w:tcPr>
            <w:tcW w:w="756" w:type="dxa"/>
            <w:tcBorders>
              <w:top w:val="nil"/>
              <w:left w:val="nil"/>
              <w:bottom w:val="single" w:sz="8" w:space="0" w:color="3660AC"/>
              <w:right w:val="single" w:sz="12" w:space="0" w:color="3660AC"/>
            </w:tcBorders>
            <w:shd w:val="clear" w:color="auto" w:fill="auto"/>
            <w:noWrap/>
            <w:vAlign w:val="center"/>
            <w:hideMark/>
          </w:tcPr>
          <w:p w14:paraId="47B9F64B" w14:textId="77777777" w:rsidR="008D45B6" w:rsidRPr="00333356" w:rsidRDefault="008D45B6" w:rsidP="008D45B6">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0.49</w:t>
            </w:r>
          </w:p>
        </w:tc>
      </w:tr>
    </w:tbl>
    <w:p w14:paraId="645CD97F" w14:textId="4E16B9F6" w:rsidR="001344C4" w:rsidRPr="00333356" w:rsidRDefault="00B70370" w:rsidP="00B70370">
      <w:pPr>
        <w:pStyle w:val="figurecaption"/>
        <w:numPr>
          <w:ilvl w:val="0"/>
          <w:numId w:val="0"/>
        </w:numPr>
        <w:jc w:val="left"/>
        <w:rPr>
          <w:color w:val="000000" w:themeColor="text1"/>
        </w:rPr>
      </w:pPr>
      <w:r w:rsidRPr="00333356">
        <w:rPr>
          <w:color w:val="000000" w:themeColor="text1"/>
        </w:rPr>
        <w:t xml:space="preserve">Tabel I. </w:t>
      </w:r>
      <w:r w:rsidRPr="00333356">
        <w:rPr>
          <w:noProof w:val="0"/>
          <w:color w:val="000000" w:themeColor="text1"/>
          <w:spacing w:val="-1"/>
          <w:lang w:eastAsia="x-none"/>
        </w:rPr>
        <w:t>Clusters method used to identify the number of diseases that can be identified with soil parameters</w:t>
      </w:r>
      <w:r w:rsidR="001344C4" w:rsidRPr="00333356">
        <w:rPr>
          <w:noProof w:val="0"/>
          <w:color w:val="000000" w:themeColor="text1"/>
          <w:spacing w:val="-1"/>
          <w:lang w:eastAsia="x-none"/>
        </w:rPr>
        <w:t xml:space="preserve">. </w:t>
      </w:r>
      <w:r w:rsidR="001344C4" w:rsidRPr="00333356">
        <w:rPr>
          <w:color w:val="000000" w:themeColor="text1"/>
        </w:rPr>
        <w:t>Performance metrics for K-Means models (03.08.2022 - 30.09.2022)</w:t>
      </w:r>
    </w:p>
    <w:p w14:paraId="58E8F5B9" w14:textId="7C278E7F" w:rsidR="008D45B6" w:rsidRPr="00333356" w:rsidRDefault="008D45B6" w:rsidP="008D45B6">
      <w:pPr>
        <w:pStyle w:val="figurecaption"/>
        <w:numPr>
          <w:ilvl w:val="0"/>
          <w:numId w:val="0"/>
        </w:numPr>
        <w:jc w:val="right"/>
        <w:rPr>
          <w:color w:val="000000" w:themeColor="text1"/>
        </w:rPr>
      </w:pPr>
    </w:p>
    <w:p w14:paraId="505F2B8C" w14:textId="3FB619C4" w:rsidR="0059175E" w:rsidRPr="00333356" w:rsidRDefault="00643993" w:rsidP="0034552F">
      <w:pPr>
        <w:pStyle w:val="figurecaption"/>
        <w:numPr>
          <w:ilvl w:val="0"/>
          <w:numId w:val="0"/>
        </w:numPr>
        <w:rPr>
          <w:noProof w:val="0"/>
          <w:color w:val="000000" w:themeColor="text1"/>
          <w:spacing w:val="-1"/>
          <w:sz w:val="20"/>
          <w:szCs w:val="20"/>
          <w:lang w:eastAsia="x-none"/>
        </w:rPr>
      </w:pPr>
      <w:r w:rsidRPr="00333356">
        <w:rPr>
          <w:noProof w:val="0"/>
          <w:color w:val="000000" w:themeColor="text1"/>
          <w:spacing w:val="-1"/>
          <w:sz w:val="20"/>
          <w:szCs w:val="20"/>
          <w:lang w:eastAsia="x-none"/>
        </w:rPr>
        <w:t xml:space="preserve">Feature importance (variables) indicates the contribution of each feature to the prediction. Determines the degree of importance of a specific variable </w:t>
      </w:r>
      <w:r w:rsidR="00A91758" w:rsidRPr="00333356">
        <w:rPr>
          <w:noProof w:val="0"/>
          <w:color w:val="000000" w:themeColor="text1"/>
          <w:spacing w:val="-1"/>
          <w:sz w:val="20"/>
          <w:szCs w:val="20"/>
          <w:lang w:eastAsia="x-none"/>
        </w:rPr>
        <w:t xml:space="preserve">on the feature importance ranks of a </w:t>
      </w:r>
      <w:r w:rsidR="00247975" w:rsidRPr="00333356">
        <w:rPr>
          <w:noProof w:val="0"/>
          <w:color w:val="000000" w:themeColor="text1"/>
          <w:spacing w:val="-1"/>
          <w:sz w:val="20"/>
          <w:szCs w:val="20"/>
          <w:lang w:eastAsia="x-none"/>
        </w:rPr>
        <w:t>classifier</w:t>
      </w:r>
      <w:r w:rsidR="00A91758" w:rsidRPr="00333356">
        <w:rPr>
          <w:noProof w:val="0"/>
          <w:color w:val="000000" w:themeColor="text1"/>
          <w:spacing w:val="-1"/>
          <w:sz w:val="20"/>
          <w:szCs w:val="20"/>
          <w:lang w:eastAsia="x-none"/>
        </w:rPr>
        <w:t>[10]</w:t>
      </w:r>
      <w:r w:rsidRPr="00333356">
        <w:rPr>
          <w:noProof w:val="0"/>
          <w:color w:val="000000" w:themeColor="text1"/>
          <w:spacing w:val="-1"/>
          <w:sz w:val="20"/>
          <w:szCs w:val="20"/>
          <w:lang w:eastAsia="x-none"/>
        </w:rPr>
        <w:t xml:space="preserve">. </w:t>
      </w:r>
      <w:r w:rsidR="00F93E7E" w:rsidRPr="00333356">
        <w:rPr>
          <w:noProof w:val="0"/>
          <w:color w:val="000000" w:themeColor="text1"/>
          <w:spacing w:val="-1"/>
          <w:sz w:val="20"/>
          <w:szCs w:val="20"/>
          <w:lang w:eastAsia="x-none"/>
        </w:rPr>
        <w:t xml:space="preserve">The measure of this method is score. </w:t>
      </w:r>
      <w:r w:rsidRPr="00333356">
        <w:rPr>
          <w:noProof w:val="0"/>
          <w:color w:val="000000" w:themeColor="text1"/>
          <w:spacing w:val="-1"/>
          <w:sz w:val="20"/>
          <w:szCs w:val="20"/>
          <w:lang w:eastAsia="x-none"/>
        </w:rPr>
        <w:t>The higher the score value, the more important that variable is processed with the Random Forest method say which features of data are most useful for the objective, which can be both classification and regression.</w:t>
      </w:r>
    </w:p>
    <w:p w14:paraId="55B8687D" w14:textId="252EFB1F" w:rsidR="00504B6C" w:rsidRPr="00333356" w:rsidRDefault="00504B6C" w:rsidP="0064301B">
      <w:pPr>
        <w:pStyle w:val="Corptext"/>
        <w:ind w:firstLine="0"/>
        <w:jc w:val="center"/>
        <w:rPr>
          <w:color w:val="000000" w:themeColor="text1"/>
          <w:lang w:val="en-US"/>
        </w:rPr>
      </w:pPr>
      <w:r>
        <w:rPr>
          <w:noProof/>
        </w:rPr>
        <w:drawing>
          <wp:inline distT="0" distB="0" distL="0" distR="0" wp14:anchorId="7F913AF8" wp14:editId="7CB93873">
            <wp:extent cx="3089910" cy="3008630"/>
            <wp:effectExtent l="0" t="0" r="0" b="1270"/>
            <wp:docPr id="1521804551"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9910" cy="3008630"/>
                    </a:xfrm>
                    <a:prstGeom prst="rect">
                      <a:avLst/>
                    </a:prstGeom>
                    <a:noFill/>
                    <a:ln>
                      <a:noFill/>
                    </a:ln>
                  </pic:spPr>
                </pic:pic>
              </a:graphicData>
            </a:graphic>
          </wp:inline>
        </w:drawing>
      </w:r>
    </w:p>
    <w:p w14:paraId="1419DA14" w14:textId="5BD24F94" w:rsidR="0064301B" w:rsidRPr="00333356" w:rsidRDefault="00F93E7E" w:rsidP="00F93E7E">
      <w:pPr>
        <w:pStyle w:val="figurecaption"/>
        <w:rPr>
          <w:color w:val="000000" w:themeColor="text1"/>
          <w:sz w:val="20"/>
        </w:rPr>
      </w:pPr>
      <w:r w:rsidRPr="00333356">
        <w:rPr>
          <w:color w:val="000000" w:themeColor="text1"/>
        </w:rPr>
        <w:t>Feature importance for soil parameters</w:t>
      </w:r>
    </w:p>
    <w:p w14:paraId="4F726248" w14:textId="7D6579DB" w:rsidR="005A1D0D" w:rsidRPr="00333356" w:rsidRDefault="0084785C" w:rsidP="005A1D0D">
      <w:pPr>
        <w:pStyle w:val="figurecaption"/>
        <w:numPr>
          <w:ilvl w:val="0"/>
          <w:numId w:val="0"/>
        </w:numPr>
        <w:rPr>
          <w:color w:val="000000" w:themeColor="text1"/>
          <w:sz w:val="20"/>
          <w:szCs w:val="20"/>
        </w:rPr>
      </w:pPr>
      <w:r w:rsidRPr="00333356">
        <w:rPr>
          <w:color w:val="000000" w:themeColor="text1"/>
          <w:sz w:val="20"/>
          <w:szCs w:val="20"/>
        </w:rPr>
        <w:t xml:space="preserve">The regression and classification algorithms are tested for identifying the </w:t>
      </w:r>
      <w:r w:rsidR="00F545AC" w:rsidRPr="00333356">
        <w:rPr>
          <w:color w:val="000000" w:themeColor="text1"/>
          <w:sz w:val="20"/>
          <w:szCs w:val="20"/>
        </w:rPr>
        <w:t>attack</w:t>
      </w:r>
      <w:r w:rsidRPr="00333356">
        <w:rPr>
          <w:color w:val="000000" w:themeColor="text1"/>
          <w:sz w:val="20"/>
          <w:szCs w:val="20"/>
        </w:rPr>
        <w:t xml:space="preserve"> degree and </w:t>
      </w:r>
      <w:r w:rsidR="00F545AC" w:rsidRPr="00333356">
        <w:rPr>
          <w:color w:val="000000" w:themeColor="text1"/>
          <w:sz w:val="20"/>
          <w:szCs w:val="20"/>
        </w:rPr>
        <w:t>disease</w:t>
      </w:r>
      <w:r w:rsidRPr="00333356">
        <w:rPr>
          <w:color w:val="000000" w:themeColor="text1"/>
          <w:sz w:val="20"/>
          <w:szCs w:val="20"/>
        </w:rPr>
        <w:t xml:space="preserve"> occurrence. </w:t>
      </w:r>
      <w:r w:rsidR="00F545AC" w:rsidRPr="00333356">
        <w:rPr>
          <w:color w:val="000000" w:themeColor="text1"/>
          <w:sz w:val="20"/>
          <w:szCs w:val="20"/>
        </w:rPr>
        <w:t xml:space="preserve">The </w:t>
      </w:r>
      <w:r w:rsidR="00F545AC" w:rsidRPr="00333356">
        <w:rPr>
          <w:color w:val="000000" w:themeColor="text1"/>
          <w:sz w:val="20"/>
          <w:szCs w:val="20"/>
        </w:rPr>
        <w:lastRenderedPageBreak/>
        <w:t xml:space="preserve">degree of attack is observed using a classic method in the period of </w:t>
      </w:r>
      <w:r w:rsidR="001344C4" w:rsidRPr="00333356">
        <w:rPr>
          <w:color w:val="000000" w:themeColor="text1"/>
          <w:sz w:val="20"/>
          <w:szCs w:val="20"/>
        </w:rPr>
        <w:t>May</w:t>
      </w:r>
      <w:r w:rsidR="00F545AC" w:rsidRPr="00333356">
        <w:rPr>
          <w:color w:val="000000" w:themeColor="text1"/>
          <w:sz w:val="20"/>
          <w:szCs w:val="20"/>
        </w:rPr>
        <w:t xml:space="preserve"> – September 2022. These methods consist </w:t>
      </w:r>
      <w:r w:rsidR="00B02E4E" w:rsidRPr="00333356">
        <w:rPr>
          <w:color w:val="000000" w:themeColor="text1"/>
          <w:sz w:val="20"/>
          <w:szCs w:val="20"/>
        </w:rPr>
        <w:t>of</w:t>
      </w:r>
      <w:r w:rsidR="00F545AC" w:rsidRPr="00333356">
        <w:rPr>
          <w:color w:val="000000" w:themeColor="text1"/>
          <w:sz w:val="20"/>
          <w:szCs w:val="20"/>
        </w:rPr>
        <w:t xml:space="preserve"> leaves analysis on the field. The number of spots on the </w:t>
      </w:r>
      <w:r w:rsidR="001344C4" w:rsidRPr="00333356">
        <w:rPr>
          <w:color w:val="000000" w:themeColor="text1"/>
          <w:sz w:val="20"/>
          <w:szCs w:val="20"/>
        </w:rPr>
        <w:t>leaves</w:t>
      </w:r>
      <w:r w:rsidR="00F545AC" w:rsidRPr="00333356">
        <w:rPr>
          <w:color w:val="000000" w:themeColor="text1"/>
          <w:sz w:val="20"/>
          <w:szCs w:val="20"/>
        </w:rPr>
        <w:t xml:space="preserve"> </w:t>
      </w:r>
      <w:r w:rsidR="001344C4" w:rsidRPr="00333356">
        <w:rPr>
          <w:color w:val="000000" w:themeColor="text1"/>
          <w:sz w:val="20"/>
          <w:szCs w:val="20"/>
        </w:rPr>
        <w:t>is</w:t>
      </w:r>
      <w:r w:rsidR="00F545AC" w:rsidRPr="00333356">
        <w:rPr>
          <w:color w:val="000000" w:themeColor="text1"/>
          <w:sz w:val="20"/>
          <w:szCs w:val="20"/>
        </w:rPr>
        <w:t xml:space="preserve"> computed and correlated with the degree of attack.</w:t>
      </w:r>
      <w:r w:rsidR="00BB0768" w:rsidRPr="00333356">
        <w:rPr>
          <w:color w:val="000000" w:themeColor="text1"/>
          <w:sz w:val="20"/>
          <w:szCs w:val="20"/>
        </w:rPr>
        <w:t xml:space="preserve"> </w:t>
      </w:r>
      <w:r w:rsidR="001344C4" w:rsidRPr="00333356">
        <w:rPr>
          <w:color w:val="000000" w:themeColor="text1"/>
          <w:sz w:val="20"/>
          <w:szCs w:val="20"/>
        </w:rPr>
        <w:t xml:space="preserve">The number of samples used </w:t>
      </w:r>
      <w:r w:rsidR="00BB0768" w:rsidRPr="00333356">
        <w:rPr>
          <w:color w:val="000000" w:themeColor="text1"/>
          <w:sz w:val="20"/>
          <w:szCs w:val="20"/>
        </w:rPr>
        <w:t>for</w:t>
      </w:r>
      <w:r w:rsidR="001344C4" w:rsidRPr="00333356">
        <w:rPr>
          <w:color w:val="000000" w:themeColor="text1"/>
          <w:sz w:val="20"/>
          <w:szCs w:val="20"/>
        </w:rPr>
        <w:t xml:space="preserve"> training </w:t>
      </w:r>
      <w:r w:rsidR="00BB0768" w:rsidRPr="00333356">
        <w:rPr>
          <w:color w:val="000000" w:themeColor="text1"/>
          <w:sz w:val="20"/>
          <w:szCs w:val="20"/>
        </w:rPr>
        <w:t xml:space="preserve">is 1460 </w:t>
      </w:r>
      <w:r w:rsidR="001344C4" w:rsidRPr="00333356">
        <w:rPr>
          <w:color w:val="000000" w:themeColor="text1"/>
          <w:sz w:val="20"/>
          <w:szCs w:val="20"/>
        </w:rPr>
        <w:t xml:space="preserve">and </w:t>
      </w:r>
      <w:r w:rsidR="00BB0768" w:rsidRPr="00333356">
        <w:rPr>
          <w:color w:val="000000" w:themeColor="text1"/>
          <w:sz w:val="20"/>
          <w:szCs w:val="20"/>
        </w:rPr>
        <w:t xml:space="preserve">for testing is  20. </w:t>
      </w:r>
      <w:r w:rsidR="005A1D0D" w:rsidRPr="00333356">
        <w:rPr>
          <w:color w:val="000000" w:themeColor="text1"/>
          <w:sz w:val="20"/>
          <w:szCs w:val="20"/>
        </w:rPr>
        <w:t>The parameter</w:t>
      </w:r>
      <w:r w:rsidR="00BB0768" w:rsidRPr="00333356">
        <w:rPr>
          <w:color w:val="000000" w:themeColor="text1"/>
          <w:sz w:val="20"/>
          <w:szCs w:val="20"/>
        </w:rPr>
        <w:t>s</w:t>
      </w:r>
      <w:r w:rsidR="005A1D0D" w:rsidRPr="00333356">
        <w:rPr>
          <w:color w:val="000000" w:themeColor="text1"/>
          <w:sz w:val="20"/>
          <w:szCs w:val="20"/>
        </w:rPr>
        <w:t xml:space="preserve"> used are Soil temp. NPK [deg. C] </w:t>
      </w:r>
      <w:r w:rsidR="00BB0768" w:rsidRPr="00333356">
        <w:rPr>
          <w:color w:val="000000" w:themeColor="text1"/>
          <w:sz w:val="20"/>
          <w:szCs w:val="20"/>
        </w:rPr>
        <w:t>and</w:t>
      </w:r>
      <w:r w:rsidR="005A1D0D" w:rsidRPr="00333356">
        <w:rPr>
          <w:color w:val="000000" w:themeColor="text1"/>
          <w:sz w:val="20"/>
          <w:szCs w:val="20"/>
        </w:rPr>
        <w:t xml:space="preserve"> Soil el. conductivity NPK [uS/cm]  because in the feature importance, these have a big score. The performance obtained after the regression algorithm is presented in Table II.</w:t>
      </w:r>
      <w:r w:rsidR="00BE0460" w:rsidRPr="00333356">
        <w:rPr>
          <w:color w:val="000000" w:themeColor="text1"/>
          <w:sz w:val="20"/>
          <w:szCs w:val="20"/>
        </w:rPr>
        <w:t xml:space="preserve"> In regression, we used the leaves attached by </w:t>
      </w:r>
      <w:r w:rsidR="00BE0460" w:rsidRPr="00333356">
        <w:rPr>
          <w:rFonts w:eastAsia="Times New Roman"/>
          <w:color w:val="000000" w:themeColor="text1"/>
          <w:sz w:val="20"/>
          <w:szCs w:val="20"/>
          <w:lang w:val="en-GB" w:eastAsia="en-GB"/>
        </w:rPr>
        <w:t xml:space="preserve">Plasmopara Viticola and Botrytis Cinerea </w:t>
      </w:r>
      <w:r w:rsidR="0027749A">
        <w:rPr>
          <w:rFonts w:eastAsia="Times New Roman"/>
          <w:color w:val="000000" w:themeColor="text1"/>
          <w:sz w:val="20"/>
          <w:szCs w:val="20"/>
          <w:lang w:val="en-GB" w:eastAsia="en-GB"/>
        </w:rPr>
        <w:t>disease</w:t>
      </w:r>
      <w:r w:rsidR="00BE0460" w:rsidRPr="00333356">
        <w:rPr>
          <w:rFonts w:eastAsia="Times New Roman"/>
          <w:color w:val="000000" w:themeColor="text1"/>
          <w:sz w:val="20"/>
          <w:szCs w:val="20"/>
          <w:lang w:val="en-GB" w:eastAsia="en-GB"/>
        </w:rPr>
        <w:t>.</w:t>
      </w:r>
    </w:p>
    <w:p w14:paraId="782B613B" w14:textId="411AE94E" w:rsidR="00F93E7E" w:rsidRPr="00333356" w:rsidRDefault="0084785C" w:rsidP="001344C4">
      <w:pPr>
        <w:pStyle w:val="figurecaption"/>
        <w:numPr>
          <w:ilvl w:val="0"/>
          <w:numId w:val="0"/>
        </w:numPr>
        <w:tabs>
          <w:tab w:val="clear" w:pos="533"/>
        </w:tabs>
        <w:jc w:val="left"/>
        <w:rPr>
          <w:color w:val="000000" w:themeColor="text1"/>
        </w:rPr>
      </w:pPr>
      <w:r w:rsidRPr="00333356">
        <w:rPr>
          <w:color w:val="000000" w:themeColor="text1"/>
        </w:rPr>
        <w:t>Table II.</w:t>
      </w:r>
      <w:r w:rsidR="001344C4" w:rsidRPr="00333356">
        <w:rPr>
          <w:color w:val="000000" w:themeColor="text1"/>
          <w:sz w:val="20"/>
          <w:szCs w:val="20"/>
        </w:rPr>
        <w:t xml:space="preserve"> </w:t>
      </w:r>
      <w:r w:rsidR="001344C4" w:rsidRPr="00333356">
        <w:rPr>
          <w:color w:val="000000" w:themeColor="text1"/>
        </w:rPr>
        <w:t>Performance metrics for regression models (15.05-22.09 in 2022)</w:t>
      </w:r>
    </w:p>
    <w:tbl>
      <w:tblPr>
        <w:tblW w:w="4846" w:type="dxa"/>
        <w:tblInd w:w="-15" w:type="dxa"/>
        <w:tblLook w:val="04A0" w:firstRow="1" w:lastRow="0" w:firstColumn="1" w:lastColumn="0" w:noHBand="0" w:noVBand="1"/>
      </w:tblPr>
      <w:tblGrid>
        <w:gridCol w:w="993"/>
        <w:gridCol w:w="1129"/>
        <w:gridCol w:w="652"/>
        <w:gridCol w:w="652"/>
        <w:gridCol w:w="752"/>
        <w:gridCol w:w="668"/>
      </w:tblGrid>
      <w:tr w:rsidR="00333356" w:rsidRPr="00333356" w14:paraId="3547CEBD" w14:textId="77777777" w:rsidTr="00DD7ADE">
        <w:trPr>
          <w:trHeight w:val="312"/>
        </w:trPr>
        <w:tc>
          <w:tcPr>
            <w:tcW w:w="2122" w:type="dxa"/>
            <w:gridSpan w:val="2"/>
            <w:tcBorders>
              <w:top w:val="single" w:sz="12" w:space="0" w:color="305598"/>
              <w:left w:val="single" w:sz="12" w:space="0" w:color="305598"/>
              <w:bottom w:val="single" w:sz="12" w:space="0" w:color="305598"/>
              <w:right w:val="single" w:sz="4" w:space="0" w:color="305598"/>
            </w:tcBorders>
            <w:shd w:val="clear" w:color="000000" w:fill="4472C4"/>
            <w:noWrap/>
            <w:vAlign w:val="center"/>
            <w:hideMark/>
          </w:tcPr>
          <w:p w14:paraId="333E1B02"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 </w:t>
            </w:r>
          </w:p>
        </w:tc>
        <w:tc>
          <w:tcPr>
            <w:tcW w:w="652" w:type="dxa"/>
            <w:tcBorders>
              <w:top w:val="single" w:sz="12" w:space="0" w:color="305598"/>
              <w:left w:val="nil"/>
              <w:bottom w:val="single" w:sz="12" w:space="0" w:color="305598"/>
              <w:right w:val="single" w:sz="4" w:space="0" w:color="305598"/>
            </w:tcBorders>
            <w:shd w:val="clear" w:color="000000" w:fill="4472C4"/>
            <w:noWrap/>
            <w:vAlign w:val="center"/>
            <w:hideMark/>
          </w:tcPr>
          <w:p w14:paraId="709ED7E4"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R^2</w:t>
            </w:r>
          </w:p>
        </w:tc>
        <w:tc>
          <w:tcPr>
            <w:tcW w:w="652" w:type="dxa"/>
            <w:tcBorders>
              <w:top w:val="single" w:sz="12" w:space="0" w:color="305598"/>
              <w:left w:val="nil"/>
              <w:bottom w:val="single" w:sz="12" w:space="0" w:color="305598"/>
              <w:right w:val="single" w:sz="4" w:space="0" w:color="305598"/>
            </w:tcBorders>
            <w:shd w:val="clear" w:color="000000" w:fill="4472C4"/>
            <w:noWrap/>
            <w:vAlign w:val="center"/>
            <w:hideMark/>
          </w:tcPr>
          <w:p w14:paraId="18CD4090"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MAE</w:t>
            </w:r>
          </w:p>
        </w:tc>
        <w:tc>
          <w:tcPr>
            <w:tcW w:w="752" w:type="dxa"/>
            <w:tcBorders>
              <w:top w:val="single" w:sz="12" w:space="0" w:color="305598"/>
              <w:left w:val="nil"/>
              <w:bottom w:val="single" w:sz="12" w:space="0" w:color="305598"/>
              <w:right w:val="single" w:sz="4" w:space="0" w:color="305598"/>
            </w:tcBorders>
            <w:shd w:val="clear" w:color="000000" w:fill="4472C4"/>
            <w:noWrap/>
            <w:vAlign w:val="center"/>
            <w:hideMark/>
          </w:tcPr>
          <w:p w14:paraId="15329C2C"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MSE</w:t>
            </w:r>
          </w:p>
        </w:tc>
        <w:tc>
          <w:tcPr>
            <w:tcW w:w="668" w:type="dxa"/>
            <w:tcBorders>
              <w:top w:val="single" w:sz="12" w:space="0" w:color="305598"/>
              <w:left w:val="nil"/>
              <w:bottom w:val="single" w:sz="12" w:space="0" w:color="305598"/>
              <w:right w:val="single" w:sz="12" w:space="0" w:color="305598"/>
            </w:tcBorders>
            <w:shd w:val="clear" w:color="000000" w:fill="4472C4"/>
            <w:noWrap/>
            <w:vAlign w:val="center"/>
            <w:hideMark/>
          </w:tcPr>
          <w:p w14:paraId="519DFEE1"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RMSE</w:t>
            </w:r>
          </w:p>
        </w:tc>
      </w:tr>
      <w:tr w:rsidR="00333356" w:rsidRPr="00333356" w14:paraId="4921D39F" w14:textId="77777777" w:rsidTr="00DD7ADE">
        <w:trPr>
          <w:trHeight w:val="300"/>
        </w:trPr>
        <w:tc>
          <w:tcPr>
            <w:tcW w:w="993" w:type="dxa"/>
            <w:vMerge w:val="restart"/>
            <w:tcBorders>
              <w:top w:val="nil"/>
              <w:left w:val="single" w:sz="12" w:space="0" w:color="305598"/>
              <w:bottom w:val="single" w:sz="8" w:space="0" w:color="305598"/>
              <w:right w:val="single" w:sz="12" w:space="0" w:color="305598"/>
            </w:tcBorders>
            <w:shd w:val="clear" w:color="000000" w:fill="8EA9DB"/>
            <w:noWrap/>
            <w:vAlign w:val="center"/>
            <w:hideMark/>
          </w:tcPr>
          <w:p w14:paraId="1ED2E9B3"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XGBoost Regressor</w:t>
            </w:r>
          </w:p>
        </w:tc>
        <w:tc>
          <w:tcPr>
            <w:tcW w:w="1128" w:type="dxa"/>
            <w:tcBorders>
              <w:top w:val="nil"/>
              <w:left w:val="nil"/>
              <w:bottom w:val="single" w:sz="4" w:space="0" w:color="305598"/>
              <w:right w:val="single" w:sz="4" w:space="0" w:color="305598"/>
            </w:tcBorders>
            <w:shd w:val="clear" w:color="auto" w:fill="auto"/>
            <w:noWrap/>
            <w:vAlign w:val="center"/>
            <w:hideMark/>
          </w:tcPr>
          <w:p w14:paraId="1C5C44FB"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Deg. of Attack - Plasmopara</w:t>
            </w:r>
          </w:p>
        </w:tc>
        <w:tc>
          <w:tcPr>
            <w:tcW w:w="652" w:type="dxa"/>
            <w:tcBorders>
              <w:top w:val="nil"/>
              <w:left w:val="nil"/>
              <w:bottom w:val="single" w:sz="4" w:space="0" w:color="305598"/>
              <w:right w:val="single" w:sz="4" w:space="0" w:color="305598"/>
            </w:tcBorders>
            <w:shd w:val="clear" w:color="auto" w:fill="auto"/>
            <w:noWrap/>
            <w:vAlign w:val="center"/>
            <w:hideMark/>
          </w:tcPr>
          <w:p w14:paraId="1ACF1991"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0.902</w:t>
            </w:r>
          </w:p>
        </w:tc>
        <w:tc>
          <w:tcPr>
            <w:tcW w:w="652" w:type="dxa"/>
            <w:tcBorders>
              <w:top w:val="nil"/>
              <w:left w:val="nil"/>
              <w:bottom w:val="single" w:sz="4" w:space="0" w:color="305598"/>
              <w:right w:val="single" w:sz="4" w:space="0" w:color="305598"/>
            </w:tcBorders>
            <w:shd w:val="clear" w:color="auto" w:fill="auto"/>
            <w:noWrap/>
            <w:vAlign w:val="center"/>
            <w:hideMark/>
          </w:tcPr>
          <w:p w14:paraId="161494FD"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0.019</w:t>
            </w:r>
          </w:p>
        </w:tc>
        <w:tc>
          <w:tcPr>
            <w:tcW w:w="752" w:type="dxa"/>
            <w:tcBorders>
              <w:top w:val="nil"/>
              <w:left w:val="nil"/>
              <w:bottom w:val="single" w:sz="4" w:space="0" w:color="305598"/>
              <w:right w:val="single" w:sz="4" w:space="0" w:color="305598"/>
            </w:tcBorders>
            <w:shd w:val="clear" w:color="auto" w:fill="auto"/>
            <w:noWrap/>
            <w:vAlign w:val="center"/>
            <w:hideMark/>
          </w:tcPr>
          <w:p w14:paraId="2EA46210"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0.0017</w:t>
            </w:r>
          </w:p>
        </w:tc>
        <w:tc>
          <w:tcPr>
            <w:tcW w:w="668" w:type="dxa"/>
            <w:tcBorders>
              <w:top w:val="nil"/>
              <w:left w:val="nil"/>
              <w:bottom w:val="single" w:sz="4" w:space="0" w:color="305598"/>
              <w:right w:val="single" w:sz="12" w:space="0" w:color="305598"/>
            </w:tcBorders>
            <w:shd w:val="clear" w:color="auto" w:fill="auto"/>
            <w:noWrap/>
            <w:vAlign w:val="center"/>
            <w:hideMark/>
          </w:tcPr>
          <w:p w14:paraId="7352C378"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0.042</w:t>
            </w:r>
          </w:p>
        </w:tc>
      </w:tr>
      <w:tr w:rsidR="00333356" w:rsidRPr="00333356" w14:paraId="0B995A9B" w14:textId="77777777" w:rsidTr="00DD7ADE">
        <w:trPr>
          <w:trHeight w:val="300"/>
        </w:trPr>
        <w:tc>
          <w:tcPr>
            <w:tcW w:w="993" w:type="dxa"/>
            <w:vMerge/>
            <w:tcBorders>
              <w:top w:val="nil"/>
              <w:left w:val="single" w:sz="12" w:space="0" w:color="305598"/>
              <w:bottom w:val="single" w:sz="8" w:space="0" w:color="305598"/>
              <w:right w:val="single" w:sz="12" w:space="0" w:color="305598"/>
            </w:tcBorders>
            <w:vAlign w:val="center"/>
            <w:hideMark/>
          </w:tcPr>
          <w:p w14:paraId="31C04C82" w14:textId="77777777" w:rsidR="00F93E7E" w:rsidRPr="00333356" w:rsidRDefault="00F93E7E" w:rsidP="00DD7ADE">
            <w:pPr>
              <w:jc w:val="left"/>
              <w:rPr>
                <w:rFonts w:eastAsia="Times New Roman"/>
                <w:color w:val="000000" w:themeColor="text1"/>
                <w:sz w:val="16"/>
                <w:szCs w:val="16"/>
                <w:lang w:val="ro-RO" w:eastAsia="ro-RO"/>
              </w:rPr>
            </w:pPr>
          </w:p>
        </w:tc>
        <w:tc>
          <w:tcPr>
            <w:tcW w:w="1128" w:type="dxa"/>
            <w:tcBorders>
              <w:top w:val="nil"/>
              <w:left w:val="nil"/>
              <w:bottom w:val="single" w:sz="8" w:space="0" w:color="305598"/>
              <w:right w:val="single" w:sz="4" w:space="0" w:color="305598"/>
            </w:tcBorders>
            <w:shd w:val="clear" w:color="auto" w:fill="auto"/>
            <w:noWrap/>
            <w:vAlign w:val="center"/>
            <w:hideMark/>
          </w:tcPr>
          <w:p w14:paraId="3943F796"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 xml:space="preserve"> Deg. of Attack -Botrytis</w:t>
            </w:r>
          </w:p>
        </w:tc>
        <w:tc>
          <w:tcPr>
            <w:tcW w:w="652" w:type="dxa"/>
            <w:tcBorders>
              <w:top w:val="nil"/>
              <w:left w:val="nil"/>
              <w:bottom w:val="single" w:sz="8" w:space="0" w:color="305598"/>
              <w:right w:val="single" w:sz="4" w:space="0" w:color="305598"/>
            </w:tcBorders>
            <w:shd w:val="clear" w:color="auto" w:fill="auto"/>
            <w:noWrap/>
            <w:vAlign w:val="center"/>
            <w:hideMark/>
          </w:tcPr>
          <w:p w14:paraId="7F7DFF98"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0.917</w:t>
            </w:r>
          </w:p>
        </w:tc>
        <w:tc>
          <w:tcPr>
            <w:tcW w:w="652" w:type="dxa"/>
            <w:tcBorders>
              <w:top w:val="nil"/>
              <w:left w:val="nil"/>
              <w:bottom w:val="single" w:sz="8" w:space="0" w:color="305598"/>
              <w:right w:val="single" w:sz="4" w:space="0" w:color="305598"/>
            </w:tcBorders>
            <w:shd w:val="clear" w:color="auto" w:fill="auto"/>
            <w:noWrap/>
            <w:vAlign w:val="center"/>
            <w:hideMark/>
          </w:tcPr>
          <w:p w14:paraId="1FC35CB6"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1.044</w:t>
            </w:r>
          </w:p>
        </w:tc>
        <w:tc>
          <w:tcPr>
            <w:tcW w:w="752" w:type="dxa"/>
            <w:tcBorders>
              <w:top w:val="nil"/>
              <w:left w:val="nil"/>
              <w:bottom w:val="single" w:sz="8" w:space="0" w:color="305598"/>
              <w:right w:val="single" w:sz="4" w:space="0" w:color="305598"/>
            </w:tcBorders>
            <w:shd w:val="clear" w:color="auto" w:fill="auto"/>
            <w:noWrap/>
            <w:vAlign w:val="center"/>
            <w:hideMark/>
          </w:tcPr>
          <w:p w14:paraId="24C87A93"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3.27</w:t>
            </w:r>
          </w:p>
        </w:tc>
        <w:tc>
          <w:tcPr>
            <w:tcW w:w="668" w:type="dxa"/>
            <w:tcBorders>
              <w:top w:val="nil"/>
              <w:left w:val="nil"/>
              <w:bottom w:val="single" w:sz="8" w:space="0" w:color="305598"/>
              <w:right w:val="single" w:sz="12" w:space="0" w:color="305598"/>
            </w:tcBorders>
            <w:shd w:val="clear" w:color="auto" w:fill="auto"/>
            <w:noWrap/>
            <w:vAlign w:val="center"/>
            <w:hideMark/>
          </w:tcPr>
          <w:p w14:paraId="3A1325AE"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1.808</w:t>
            </w:r>
          </w:p>
        </w:tc>
      </w:tr>
      <w:tr w:rsidR="00333356" w:rsidRPr="00333356" w14:paraId="4039D516" w14:textId="77777777" w:rsidTr="00DD7ADE">
        <w:trPr>
          <w:trHeight w:val="288"/>
        </w:trPr>
        <w:tc>
          <w:tcPr>
            <w:tcW w:w="993" w:type="dxa"/>
            <w:vMerge w:val="restart"/>
            <w:tcBorders>
              <w:top w:val="nil"/>
              <w:left w:val="single" w:sz="12" w:space="0" w:color="305598"/>
              <w:bottom w:val="single" w:sz="8" w:space="0" w:color="305598"/>
              <w:right w:val="single" w:sz="12" w:space="0" w:color="305598"/>
            </w:tcBorders>
            <w:shd w:val="clear" w:color="000000" w:fill="8EA9DB"/>
            <w:noWrap/>
            <w:vAlign w:val="center"/>
            <w:hideMark/>
          </w:tcPr>
          <w:p w14:paraId="1535B059"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Random Forest Regressor</w:t>
            </w:r>
          </w:p>
        </w:tc>
        <w:tc>
          <w:tcPr>
            <w:tcW w:w="1128" w:type="dxa"/>
            <w:tcBorders>
              <w:top w:val="nil"/>
              <w:left w:val="nil"/>
              <w:bottom w:val="single" w:sz="4" w:space="0" w:color="305598"/>
              <w:right w:val="single" w:sz="4" w:space="0" w:color="305598"/>
            </w:tcBorders>
            <w:shd w:val="clear" w:color="auto" w:fill="auto"/>
            <w:noWrap/>
            <w:vAlign w:val="center"/>
            <w:hideMark/>
          </w:tcPr>
          <w:p w14:paraId="47BAF71C"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Deg. of Attack - Plasmopara</w:t>
            </w:r>
          </w:p>
        </w:tc>
        <w:tc>
          <w:tcPr>
            <w:tcW w:w="652" w:type="dxa"/>
            <w:tcBorders>
              <w:top w:val="nil"/>
              <w:left w:val="nil"/>
              <w:bottom w:val="single" w:sz="4" w:space="0" w:color="305598"/>
              <w:right w:val="single" w:sz="4" w:space="0" w:color="305598"/>
            </w:tcBorders>
            <w:shd w:val="clear" w:color="auto" w:fill="auto"/>
            <w:noWrap/>
            <w:vAlign w:val="center"/>
            <w:hideMark/>
          </w:tcPr>
          <w:p w14:paraId="6AA6D086"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0.926</w:t>
            </w:r>
          </w:p>
        </w:tc>
        <w:tc>
          <w:tcPr>
            <w:tcW w:w="652" w:type="dxa"/>
            <w:tcBorders>
              <w:top w:val="nil"/>
              <w:left w:val="nil"/>
              <w:bottom w:val="single" w:sz="4" w:space="0" w:color="305598"/>
              <w:right w:val="single" w:sz="4" w:space="0" w:color="305598"/>
            </w:tcBorders>
            <w:shd w:val="clear" w:color="auto" w:fill="auto"/>
            <w:noWrap/>
            <w:vAlign w:val="center"/>
            <w:hideMark/>
          </w:tcPr>
          <w:p w14:paraId="1C9A9F57"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0.015</w:t>
            </w:r>
          </w:p>
        </w:tc>
        <w:tc>
          <w:tcPr>
            <w:tcW w:w="752" w:type="dxa"/>
            <w:tcBorders>
              <w:top w:val="nil"/>
              <w:left w:val="nil"/>
              <w:bottom w:val="single" w:sz="4" w:space="0" w:color="305598"/>
              <w:right w:val="single" w:sz="4" w:space="0" w:color="305598"/>
            </w:tcBorders>
            <w:shd w:val="clear" w:color="auto" w:fill="auto"/>
            <w:noWrap/>
            <w:vAlign w:val="center"/>
            <w:hideMark/>
          </w:tcPr>
          <w:p w14:paraId="72DF8D57"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0.0013</w:t>
            </w:r>
          </w:p>
        </w:tc>
        <w:tc>
          <w:tcPr>
            <w:tcW w:w="668" w:type="dxa"/>
            <w:tcBorders>
              <w:top w:val="nil"/>
              <w:left w:val="nil"/>
              <w:bottom w:val="single" w:sz="4" w:space="0" w:color="305598"/>
              <w:right w:val="single" w:sz="12" w:space="0" w:color="305598"/>
            </w:tcBorders>
            <w:shd w:val="clear" w:color="auto" w:fill="auto"/>
            <w:noWrap/>
            <w:vAlign w:val="center"/>
            <w:hideMark/>
          </w:tcPr>
          <w:p w14:paraId="053E406A"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0.036</w:t>
            </w:r>
          </w:p>
        </w:tc>
      </w:tr>
      <w:tr w:rsidR="00333356" w:rsidRPr="00333356" w14:paraId="4CFB6400" w14:textId="77777777" w:rsidTr="00DD7ADE">
        <w:trPr>
          <w:trHeight w:val="300"/>
        </w:trPr>
        <w:tc>
          <w:tcPr>
            <w:tcW w:w="993" w:type="dxa"/>
            <w:vMerge/>
            <w:tcBorders>
              <w:top w:val="nil"/>
              <w:left w:val="single" w:sz="12" w:space="0" w:color="305598"/>
              <w:bottom w:val="single" w:sz="8" w:space="0" w:color="305598"/>
              <w:right w:val="single" w:sz="12" w:space="0" w:color="305598"/>
            </w:tcBorders>
            <w:vAlign w:val="center"/>
            <w:hideMark/>
          </w:tcPr>
          <w:p w14:paraId="05B077C6" w14:textId="77777777" w:rsidR="00F93E7E" w:rsidRPr="00333356" w:rsidRDefault="00F93E7E" w:rsidP="00DD7ADE">
            <w:pPr>
              <w:jc w:val="left"/>
              <w:rPr>
                <w:rFonts w:eastAsia="Times New Roman"/>
                <w:color w:val="000000" w:themeColor="text1"/>
                <w:sz w:val="16"/>
                <w:szCs w:val="16"/>
                <w:lang w:val="ro-RO" w:eastAsia="ro-RO"/>
              </w:rPr>
            </w:pPr>
          </w:p>
        </w:tc>
        <w:tc>
          <w:tcPr>
            <w:tcW w:w="1128" w:type="dxa"/>
            <w:tcBorders>
              <w:top w:val="nil"/>
              <w:left w:val="nil"/>
              <w:bottom w:val="single" w:sz="8" w:space="0" w:color="305598"/>
              <w:right w:val="single" w:sz="4" w:space="0" w:color="305598"/>
            </w:tcBorders>
            <w:shd w:val="clear" w:color="auto" w:fill="auto"/>
            <w:noWrap/>
            <w:vAlign w:val="center"/>
            <w:hideMark/>
          </w:tcPr>
          <w:p w14:paraId="5DEFA50B"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 xml:space="preserve"> Deg. of Attack -Botrytis</w:t>
            </w:r>
          </w:p>
        </w:tc>
        <w:tc>
          <w:tcPr>
            <w:tcW w:w="652" w:type="dxa"/>
            <w:tcBorders>
              <w:top w:val="nil"/>
              <w:left w:val="nil"/>
              <w:bottom w:val="single" w:sz="8" w:space="0" w:color="305598"/>
              <w:right w:val="single" w:sz="4" w:space="0" w:color="305598"/>
            </w:tcBorders>
            <w:shd w:val="clear" w:color="auto" w:fill="auto"/>
            <w:noWrap/>
            <w:vAlign w:val="center"/>
            <w:hideMark/>
          </w:tcPr>
          <w:p w14:paraId="4D9B8717"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0.921</w:t>
            </w:r>
          </w:p>
        </w:tc>
        <w:tc>
          <w:tcPr>
            <w:tcW w:w="652" w:type="dxa"/>
            <w:tcBorders>
              <w:top w:val="nil"/>
              <w:left w:val="nil"/>
              <w:bottom w:val="single" w:sz="8" w:space="0" w:color="305598"/>
              <w:right w:val="single" w:sz="4" w:space="0" w:color="305598"/>
            </w:tcBorders>
            <w:shd w:val="clear" w:color="auto" w:fill="auto"/>
            <w:noWrap/>
            <w:vAlign w:val="center"/>
            <w:hideMark/>
          </w:tcPr>
          <w:p w14:paraId="629A4D01"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1.023</w:t>
            </w:r>
          </w:p>
        </w:tc>
        <w:tc>
          <w:tcPr>
            <w:tcW w:w="752" w:type="dxa"/>
            <w:tcBorders>
              <w:top w:val="nil"/>
              <w:left w:val="nil"/>
              <w:bottom w:val="single" w:sz="8" w:space="0" w:color="305598"/>
              <w:right w:val="single" w:sz="4" w:space="0" w:color="305598"/>
            </w:tcBorders>
            <w:shd w:val="clear" w:color="auto" w:fill="auto"/>
            <w:noWrap/>
            <w:vAlign w:val="center"/>
            <w:hideMark/>
          </w:tcPr>
          <w:p w14:paraId="5488FC6C"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3.103</w:t>
            </w:r>
          </w:p>
        </w:tc>
        <w:tc>
          <w:tcPr>
            <w:tcW w:w="668" w:type="dxa"/>
            <w:tcBorders>
              <w:top w:val="nil"/>
              <w:left w:val="nil"/>
              <w:bottom w:val="single" w:sz="8" w:space="0" w:color="305598"/>
              <w:right w:val="single" w:sz="12" w:space="0" w:color="305598"/>
            </w:tcBorders>
            <w:shd w:val="clear" w:color="auto" w:fill="auto"/>
            <w:noWrap/>
            <w:vAlign w:val="center"/>
            <w:hideMark/>
          </w:tcPr>
          <w:p w14:paraId="2648AC01"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1.761</w:t>
            </w:r>
          </w:p>
        </w:tc>
      </w:tr>
      <w:tr w:rsidR="00333356" w:rsidRPr="00333356" w14:paraId="70B0F59A" w14:textId="77777777" w:rsidTr="00DD7ADE">
        <w:trPr>
          <w:trHeight w:val="288"/>
        </w:trPr>
        <w:tc>
          <w:tcPr>
            <w:tcW w:w="993" w:type="dxa"/>
            <w:vMerge w:val="restart"/>
            <w:tcBorders>
              <w:top w:val="nil"/>
              <w:left w:val="single" w:sz="12" w:space="0" w:color="305598"/>
              <w:bottom w:val="single" w:sz="8" w:space="0" w:color="305598"/>
              <w:right w:val="single" w:sz="12" w:space="0" w:color="305598"/>
            </w:tcBorders>
            <w:shd w:val="clear" w:color="000000" w:fill="8EA9DB"/>
            <w:noWrap/>
            <w:vAlign w:val="center"/>
            <w:hideMark/>
          </w:tcPr>
          <w:p w14:paraId="63383255"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LSTM</w:t>
            </w:r>
          </w:p>
        </w:tc>
        <w:tc>
          <w:tcPr>
            <w:tcW w:w="1128" w:type="dxa"/>
            <w:tcBorders>
              <w:top w:val="nil"/>
              <w:left w:val="nil"/>
              <w:bottom w:val="single" w:sz="4" w:space="0" w:color="305598"/>
              <w:right w:val="single" w:sz="4" w:space="0" w:color="305598"/>
            </w:tcBorders>
            <w:shd w:val="clear" w:color="auto" w:fill="auto"/>
            <w:noWrap/>
            <w:vAlign w:val="center"/>
            <w:hideMark/>
          </w:tcPr>
          <w:p w14:paraId="7DEFDB04"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Deg. of Attack - Plasmopara</w:t>
            </w:r>
          </w:p>
        </w:tc>
        <w:tc>
          <w:tcPr>
            <w:tcW w:w="652" w:type="dxa"/>
            <w:tcBorders>
              <w:top w:val="nil"/>
              <w:left w:val="nil"/>
              <w:bottom w:val="single" w:sz="4" w:space="0" w:color="305598"/>
              <w:right w:val="single" w:sz="4" w:space="0" w:color="305598"/>
            </w:tcBorders>
            <w:shd w:val="clear" w:color="auto" w:fill="auto"/>
            <w:noWrap/>
            <w:vAlign w:val="center"/>
            <w:hideMark/>
          </w:tcPr>
          <w:p w14:paraId="75B2171F"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0.706</w:t>
            </w:r>
          </w:p>
        </w:tc>
        <w:tc>
          <w:tcPr>
            <w:tcW w:w="652" w:type="dxa"/>
            <w:tcBorders>
              <w:top w:val="nil"/>
              <w:left w:val="nil"/>
              <w:bottom w:val="single" w:sz="4" w:space="0" w:color="305598"/>
              <w:right w:val="single" w:sz="4" w:space="0" w:color="305598"/>
            </w:tcBorders>
            <w:shd w:val="clear" w:color="auto" w:fill="auto"/>
            <w:noWrap/>
            <w:vAlign w:val="center"/>
            <w:hideMark/>
          </w:tcPr>
          <w:p w14:paraId="4C2DE50A"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0.043</w:t>
            </w:r>
          </w:p>
        </w:tc>
        <w:tc>
          <w:tcPr>
            <w:tcW w:w="752" w:type="dxa"/>
            <w:tcBorders>
              <w:top w:val="nil"/>
              <w:left w:val="nil"/>
              <w:bottom w:val="single" w:sz="4" w:space="0" w:color="305598"/>
              <w:right w:val="single" w:sz="4" w:space="0" w:color="305598"/>
            </w:tcBorders>
            <w:shd w:val="clear" w:color="auto" w:fill="auto"/>
            <w:noWrap/>
            <w:vAlign w:val="center"/>
            <w:hideMark/>
          </w:tcPr>
          <w:p w14:paraId="17B89650"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0.005</w:t>
            </w:r>
          </w:p>
        </w:tc>
        <w:tc>
          <w:tcPr>
            <w:tcW w:w="668" w:type="dxa"/>
            <w:tcBorders>
              <w:top w:val="nil"/>
              <w:left w:val="nil"/>
              <w:bottom w:val="single" w:sz="4" w:space="0" w:color="305598"/>
              <w:right w:val="single" w:sz="12" w:space="0" w:color="305598"/>
            </w:tcBorders>
            <w:shd w:val="clear" w:color="auto" w:fill="auto"/>
            <w:noWrap/>
            <w:vAlign w:val="center"/>
            <w:hideMark/>
          </w:tcPr>
          <w:p w14:paraId="1F6B4133"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0.064</w:t>
            </w:r>
          </w:p>
        </w:tc>
      </w:tr>
      <w:tr w:rsidR="00333356" w:rsidRPr="00333356" w14:paraId="46D982AF" w14:textId="77777777" w:rsidTr="00DD7ADE">
        <w:trPr>
          <w:trHeight w:val="300"/>
        </w:trPr>
        <w:tc>
          <w:tcPr>
            <w:tcW w:w="993" w:type="dxa"/>
            <w:vMerge/>
            <w:tcBorders>
              <w:top w:val="nil"/>
              <w:left w:val="single" w:sz="12" w:space="0" w:color="305598"/>
              <w:bottom w:val="single" w:sz="8" w:space="0" w:color="305598"/>
              <w:right w:val="single" w:sz="12" w:space="0" w:color="305598"/>
            </w:tcBorders>
            <w:vAlign w:val="center"/>
            <w:hideMark/>
          </w:tcPr>
          <w:p w14:paraId="4FCAF800" w14:textId="77777777" w:rsidR="00F93E7E" w:rsidRPr="00333356" w:rsidRDefault="00F93E7E" w:rsidP="00DD7ADE">
            <w:pPr>
              <w:jc w:val="left"/>
              <w:rPr>
                <w:rFonts w:eastAsia="Times New Roman"/>
                <w:color w:val="000000" w:themeColor="text1"/>
                <w:sz w:val="16"/>
                <w:szCs w:val="16"/>
                <w:lang w:val="ro-RO" w:eastAsia="ro-RO"/>
              </w:rPr>
            </w:pPr>
          </w:p>
        </w:tc>
        <w:tc>
          <w:tcPr>
            <w:tcW w:w="1128" w:type="dxa"/>
            <w:tcBorders>
              <w:top w:val="nil"/>
              <w:left w:val="nil"/>
              <w:bottom w:val="single" w:sz="8" w:space="0" w:color="305598"/>
              <w:right w:val="single" w:sz="4" w:space="0" w:color="305598"/>
            </w:tcBorders>
            <w:shd w:val="clear" w:color="auto" w:fill="auto"/>
            <w:noWrap/>
            <w:vAlign w:val="center"/>
            <w:hideMark/>
          </w:tcPr>
          <w:p w14:paraId="3898F6EF"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Deg. of Attack -Botrytis</w:t>
            </w:r>
          </w:p>
        </w:tc>
        <w:tc>
          <w:tcPr>
            <w:tcW w:w="652" w:type="dxa"/>
            <w:tcBorders>
              <w:top w:val="nil"/>
              <w:left w:val="nil"/>
              <w:bottom w:val="single" w:sz="8" w:space="0" w:color="305598"/>
              <w:right w:val="single" w:sz="4" w:space="0" w:color="305598"/>
            </w:tcBorders>
            <w:shd w:val="clear" w:color="auto" w:fill="auto"/>
            <w:noWrap/>
            <w:vAlign w:val="center"/>
            <w:hideMark/>
          </w:tcPr>
          <w:p w14:paraId="5F460DFB"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0.913</w:t>
            </w:r>
          </w:p>
        </w:tc>
        <w:tc>
          <w:tcPr>
            <w:tcW w:w="652" w:type="dxa"/>
            <w:tcBorders>
              <w:top w:val="nil"/>
              <w:left w:val="nil"/>
              <w:bottom w:val="single" w:sz="8" w:space="0" w:color="305598"/>
              <w:right w:val="single" w:sz="4" w:space="0" w:color="305598"/>
            </w:tcBorders>
            <w:shd w:val="clear" w:color="auto" w:fill="auto"/>
            <w:noWrap/>
            <w:vAlign w:val="center"/>
            <w:hideMark/>
          </w:tcPr>
          <w:p w14:paraId="1D934A40"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1.703</w:t>
            </w:r>
          </w:p>
        </w:tc>
        <w:tc>
          <w:tcPr>
            <w:tcW w:w="752" w:type="dxa"/>
            <w:tcBorders>
              <w:top w:val="nil"/>
              <w:left w:val="nil"/>
              <w:bottom w:val="single" w:sz="8" w:space="0" w:color="305598"/>
              <w:right w:val="single" w:sz="4" w:space="0" w:color="305598"/>
            </w:tcBorders>
            <w:shd w:val="clear" w:color="auto" w:fill="auto"/>
            <w:noWrap/>
            <w:vAlign w:val="center"/>
            <w:hideMark/>
          </w:tcPr>
          <w:p w14:paraId="36943A97"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3.405</w:t>
            </w:r>
          </w:p>
        </w:tc>
        <w:tc>
          <w:tcPr>
            <w:tcW w:w="668" w:type="dxa"/>
            <w:tcBorders>
              <w:top w:val="nil"/>
              <w:left w:val="nil"/>
              <w:bottom w:val="single" w:sz="8" w:space="0" w:color="305598"/>
              <w:right w:val="single" w:sz="12" w:space="0" w:color="305598"/>
            </w:tcBorders>
            <w:shd w:val="clear" w:color="auto" w:fill="auto"/>
            <w:noWrap/>
            <w:vAlign w:val="center"/>
            <w:hideMark/>
          </w:tcPr>
          <w:p w14:paraId="6F987550"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2.323</w:t>
            </w:r>
          </w:p>
        </w:tc>
      </w:tr>
      <w:tr w:rsidR="00333356" w:rsidRPr="00333356" w14:paraId="13D12FF7" w14:textId="77777777" w:rsidTr="00DD7ADE">
        <w:trPr>
          <w:trHeight w:val="288"/>
        </w:trPr>
        <w:tc>
          <w:tcPr>
            <w:tcW w:w="993" w:type="dxa"/>
            <w:vMerge w:val="restart"/>
            <w:tcBorders>
              <w:top w:val="nil"/>
              <w:left w:val="single" w:sz="12" w:space="0" w:color="305598"/>
              <w:bottom w:val="single" w:sz="8" w:space="0" w:color="305598"/>
              <w:right w:val="single" w:sz="12" w:space="0" w:color="305598"/>
            </w:tcBorders>
            <w:shd w:val="clear" w:color="000000" w:fill="8EA9DB"/>
            <w:noWrap/>
            <w:vAlign w:val="center"/>
            <w:hideMark/>
          </w:tcPr>
          <w:p w14:paraId="217760E6"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Deep Neural Network</w:t>
            </w:r>
          </w:p>
        </w:tc>
        <w:tc>
          <w:tcPr>
            <w:tcW w:w="1128" w:type="dxa"/>
            <w:tcBorders>
              <w:top w:val="nil"/>
              <w:left w:val="nil"/>
              <w:bottom w:val="single" w:sz="4" w:space="0" w:color="305598"/>
              <w:right w:val="single" w:sz="4" w:space="0" w:color="305598"/>
            </w:tcBorders>
            <w:shd w:val="clear" w:color="auto" w:fill="auto"/>
            <w:noWrap/>
            <w:vAlign w:val="center"/>
            <w:hideMark/>
          </w:tcPr>
          <w:p w14:paraId="7BCD0B8D"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Deg. of Attack - Plasmopara</w:t>
            </w:r>
          </w:p>
        </w:tc>
        <w:tc>
          <w:tcPr>
            <w:tcW w:w="652" w:type="dxa"/>
            <w:tcBorders>
              <w:top w:val="nil"/>
              <w:left w:val="nil"/>
              <w:bottom w:val="single" w:sz="4" w:space="0" w:color="305598"/>
              <w:right w:val="single" w:sz="4" w:space="0" w:color="305598"/>
            </w:tcBorders>
            <w:shd w:val="clear" w:color="auto" w:fill="auto"/>
            <w:noWrap/>
            <w:vAlign w:val="center"/>
            <w:hideMark/>
          </w:tcPr>
          <w:p w14:paraId="044122AD"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0.762</w:t>
            </w:r>
          </w:p>
        </w:tc>
        <w:tc>
          <w:tcPr>
            <w:tcW w:w="652" w:type="dxa"/>
            <w:tcBorders>
              <w:top w:val="nil"/>
              <w:left w:val="nil"/>
              <w:bottom w:val="single" w:sz="4" w:space="0" w:color="305598"/>
              <w:right w:val="single" w:sz="4" w:space="0" w:color="305598"/>
            </w:tcBorders>
            <w:shd w:val="clear" w:color="auto" w:fill="auto"/>
            <w:noWrap/>
            <w:vAlign w:val="center"/>
            <w:hideMark/>
          </w:tcPr>
          <w:p w14:paraId="51DC0377"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0.036</w:t>
            </w:r>
          </w:p>
        </w:tc>
        <w:tc>
          <w:tcPr>
            <w:tcW w:w="752" w:type="dxa"/>
            <w:tcBorders>
              <w:top w:val="nil"/>
              <w:left w:val="nil"/>
              <w:bottom w:val="single" w:sz="4" w:space="0" w:color="305598"/>
              <w:right w:val="single" w:sz="4" w:space="0" w:color="305598"/>
            </w:tcBorders>
            <w:shd w:val="clear" w:color="auto" w:fill="auto"/>
            <w:noWrap/>
            <w:vAlign w:val="center"/>
            <w:hideMark/>
          </w:tcPr>
          <w:p w14:paraId="007DC40D"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0.004</w:t>
            </w:r>
          </w:p>
        </w:tc>
        <w:tc>
          <w:tcPr>
            <w:tcW w:w="668" w:type="dxa"/>
            <w:tcBorders>
              <w:top w:val="nil"/>
              <w:left w:val="nil"/>
              <w:bottom w:val="single" w:sz="4" w:space="0" w:color="305598"/>
              <w:right w:val="single" w:sz="12" w:space="0" w:color="305598"/>
            </w:tcBorders>
            <w:shd w:val="clear" w:color="auto" w:fill="auto"/>
            <w:noWrap/>
            <w:vAlign w:val="center"/>
            <w:hideMark/>
          </w:tcPr>
          <w:p w14:paraId="73D6D5B3"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0.065</w:t>
            </w:r>
          </w:p>
        </w:tc>
      </w:tr>
      <w:tr w:rsidR="00333356" w:rsidRPr="00333356" w14:paraId="7102129E" w14:textId="77777777" w:rsidTr="00DD7ADE">
        <w:trPr>
          <w:trHeight w:val="300"/>
        </w:trPr>
        <w:tc>
          <w:tcPr>
            <w:tcW w:w="993" w:type="dxa"/>
            <w:vMerge/>
            <w:tcBorders>
              <w:top w:val="nil"/>
              <w:left w:val="single" w:sz="12" w:space="0" w:color="305598"/>
              <w:bottom w:val="single" w:sz="8" w:space="0" w:color="305598"/>
              <w:right w:val="single" w:sz="12" w:space="0" w:color="305598"/>
            </w:tcBorders>
            <w:vAlign w:val="center"/>
            <w:hideMark/>
          </w:tcPr>
          <w:p w14:paraId="5B29C004" w14:textId="77777777" w:rsidR="00F93E7E" w:rsidRPr="00333356" w:rsidRDefault="00F93E7E" w:rsidP="00DD7ADE">
            <w:pPr>
              <w:jc w:val="left"/>
              <w:rPr>
                <w:rFonts w:eastAsia="Times New Roman"/>
                <w:color w:val="000000" w:themeColor="text1"/>
                <w:sz w:val="16"/>
                <w:szCs w:val="16"/>
                <w:lang w:val="ro-RO" w:eastAsia="ro-RO"/>
              </w:rPr>
            </w:pPr>
          </w:p>
        </w:tc>
        <w:tc>
          <w:tcPr>
            <w:tcW w:w="1128" w:type="dxa"/>
            <w:tcBorders>
              <w:top w:val="nil"/>
              <w:left w:val="nil"/>
              <w:bottom w:val="single" w:sz="8" w:space="0" w:color="305598"/>
              <w:right w:val="single" w:sz="4" w:space="0" w:color="305598"/>
            </w:tcBorders>
            <w:shd w:val="clear" w:color="auto" w:fill="auto"/>
            <w:noWrap/>
            <w:vAlign w:val="center"/>
            <w:hideMark/>
          </w:tcPr>
          <w:p w14:paraId="6BB83683"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 xml:space="preserve"> Deg. of Attack -Botrytis</w:t>
            </w:r>
          </w:p>
        </w:tc>
        <w:tc>
          <w:tcPr>
            <w:tcW w:w="652" w:type="dxa"/>
            <w:tcBorders>
              <w:top w:val="nil"/>
              <w:left w:val="nil"/>
              <w:bottom w:val="single" w:sz="8" w:space="0" w:color="305598"/>
              <w:right w:val="single" w:sz="4" w:space="0" w:color="305598"/>
            </w:tcBorders>
            <w:shd w:val="clear" w:color="auto" w:fill="auto"/>
            <w:noWrap/>
            <w:vAlign w:val="center"/>
            <w:hideMark/>
          </w:tcPr>
          <w:p w14:paraId="1510305C"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0.886</w:t>
            </w:r>
          </w:p>
        </w:tc>
        <w:tc>
          <w:tcPr>
            <w:tcW w:w="652" w:type="dxa"/>
            <w:tcBorders>
              <w:top w:val="nil"/>
              <w:left w:val="nil"/>
              <w:bottom w:val="single" w:sz="8" w:space="0" w:color="305598"/>
              <w:right w:val="single" w:sz="4" w:space="0" w:color="305598"/>
            </w:tcBorders>
            <w:shd w:val="clear" w:color="auto" w:fill="auto"/>
            <w:noWrap/>
            <w:vAlign w:val="center"/>
            <w:hideMark/>
          </w:tcPr>
          <w:p w14:paraId="291BFB23"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1.373</w:t>
            </w:r>
          </w:p>
        </w:tc>
        <w:tc>
          <w:tcPr>
            <w:tcW w:w="752" w:type="dxa"/>
            <w:tcBorders>
              <w:top w:val="nil"/>
              <w:left w:val="nil"/>
              <w:bottom w:val="single" w:sz="8" w:space="0" w:color="305598"/>
              <w:right w:val="single" w:sz="4" w:space="0" w:color="305598"/>
            </w:tcBorders>
            <w:shd w:val="clear" w:color="auto" w:fill="auto"/>
            <w:noWrap/>
            <w:vAlign w:val="center"/>
            <w:hideMark/>
          </w:tcPr>
          <w:p w14:paraId="317E2CA8"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4.501</w:t>
            </w:r>
          </w:p>
        </w:tc>
        <w:tc>
          <w:tcPr>
            <w:tcW w:w="668" w:type="dxa"/>
            <w:tcBorders>
              <w:top w:val="nil"/>
              <w:left w:val="nil"/>
              <w:bottom w:val="single" w:sz="8" w:space="0" w:color="305598"/>
              <w:right w:val="single" w:sz="12" w:space="0" w:color="305598"/>
            </w:tcBorders>
            <w:shd w:val="clear" w:color="auto" w:fill="auto"/>
            <w:noWrap/>
            <w:vAlign w:val="center"/>
            <w:hideMark/>
          </w:tcPr>
          <w:p w14:paraId="5083F2AF"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2.121</w:t>
            </w:r>
          </w:p>
        </w:tc>
      </w:tr>
      <w:tr w:rsidR="00333356" w:rsidRPr="00333356" w14:paraId="34A8F09E" w14:textId="77777777" w:rsidTr="00DD7ADE">
        <w:trPr>
          <w:trHeight w:val="288"/>
        </w:trPr>
        <w:tc>
          <w:tcPr>
            <w:tcW w:w="993" w:type="dxa"/>
            <w:vMerge w:val="restart"/>
            <w:tcBorders>
              <w:top w:val="nil"/>
              <w:left w:val="single" w:sz="12" w:space="0" w:color="305598"/>
              <w:bottom w:val="single" w:sz="12" w:space="0" w:color="305598"/>
              <w:right w:val="single" w:sz="12" w:space="0" w:color="305598"/>
            </w:tcBorders>
            <w:shd w:val="clear" w:color="000000" w:fill="8EA9DB"/>
            <w:noWrap/>
            <w:vAlign w:val="center"/>
            <w:hideMark/>
          </w:tcPr>
          <w:p w14:paraId="77911894"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Support Vector Regression</w:t>
            </w:r>
          </w:p>
        </w:tc>
        <w:tc>
          <w:tcPr>
            <w:tcW w:w="1128" w:type="dxa"/>
            <w:tcBorders>
              <w:top w:val="nil"/>
              <w:left w:val="nil"/>
              <w:bottom w:val="single" w:sz="4" w:space="0" w:color="305598"/>
              <w:right w:val="single" w:sz="4" w:space="0" w:color="305598"/>
            </w:tcBorders>
            <w:shd w:val="clear" w:color="auto" w:fill="auto"/>
            <w:noWrap/>
            <w:vAlign w:val="center"/>
            <w:hideMark/>
          </w:tcPr>
          <w:p w14:paraId="1468D63C"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Deg. of Attack - Plasmopara</w:t>
            </w:r>
          </w:p>
        </w:tc>
        <w:tc>
          <w:tcPr>
            <w:tcW w:w="652" w:type="dxa"/>
            <w:tcBorders>
              <w:top w:val="nil"/>
              <w:left w:val="nil"/>
              <w:bottom w:val="single" w:sz="4" w:space="0" w:color="305598"/>
              <w:right w:val="single" w:sz="4" w:space="0" w:color="305598"/>
            </w:tcBorders>
            <w:shd w:val="clear" w:color="auto" w:fill="auto"/>
            <w:noWrap/>
            <w:vAlign w:val="center"/>
            <w:hideMark/>
          </w:tcPr>
          <w:p w14:paraId="14EF8800"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0.633</w:t>
            </w:r>
          </w:p>
        </w:tc>
        <w:tc>
          <w:tcPr>
            <w:tcW w:w="652" w:type="dxa"/>
            <w:tcBorders>
              <w:top w:val="nil"/>
              <w:left w:val="nil"/>
              <w:bottom w:val="single" w:sz="4" w:space="0" w:color="305598"/>
              <w:right w:val="single" w:sz="4" w:space="0" w:color="305598"/>
            </w:tcBorders>
            <w:shd w:val="clear" w:color="auto" w:fill="auto"/>
            <w:noWrap/>
            <w:vAlign w:val="center"/>
            <w:hideMark/>
          </w:tcPr>
          <w:p w14:paraId="4441376D"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0.073</w:t>
            </w:r>
          </w:p>
        </w:tc>
        <w:tc>
          <w:tcPr>
            <w:tcW w:w="752" w:type="dxa"/>
            <w:tcBorders>
              <w:top w:val="nil"/>
              <w:left w:val="nil"/>
              <w:bottom w:val="single" w:sz="4" w:space="0" w:color="305598"/>
              <w:right w:val="single" w:sz="4" w:space="0" w:color="305598"/>
            </w:tcBorders>
            <w:shd w:val="clear" w:color="auto" w:fill="auto"/>
            <w:noWrap/>
            <w:vAlign w:val="center"/>
            <w:hideMark/>
          </w:tcPr>
          <w:p w14:paraId="14F818C2"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0.006</w:t>
            </w:r>
          </w:p>
        </w:tc>
        <w:tc>
          <w:tcPr>
            <w:tcW w:w="668" w:type="dxa"/>
            <w:tcBorders>
              <w:top w:val="nil"/>
              <w:left w:val="nil"/>
              <w:bottom w:val="single" w:sz="4" w:space="0" w:color="305598"/>
              <w:right w:val="single" w:sz="12" w:space="0" w:color="305598"/>
            </w:tcBorders>
            <w:shd w:val="clear" w:color="auto" w:fill="auto"/>
            <w:noWrap/>
            <w:vAlign w:val="center"/>
            <w:hideMark/>
          </w:tcPr>
          <w:p w14:paraId="0CDA7AE2"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0.081</w:t>
            </w:r>
          </w:p>
        </w:tc>
      </w:tr>
      <w:tr w:rsidR="00333356" w:rsidRPr="00333356" w14:paraId="0B1E099B" w14:textId="77777777" w:rsidTr="00DD7ADE">
        <w:trPr>
          <w:trHeight w:val="300"/>
        </w:trPr>
        <w:tc>
          <w:tcPr>
            <w:tcW w:w="993" w:type="dxa"/>
            <w:vMerge/>
            <w:tcBorders>
              <w:top w:val="nil"/>
              <w:left w:val="single" w:sz="12" w:space="0" w:color="305598"/>
              <w:bottom w:val="single" w:sz="12" w:space="0" w:color="305598"/>
              <w:right w:val="single" w:sz="12" w:space="0" w:color="305598"/>
            </w:tcBorders>
            <w:vAlign w:val="center"/>
            <w:hideMark/>
          </w:tcPr>
          <w:p w14:paraId="50239FEF" w14:textId="77777777" w:rsidR="00F93E7E" w:rsidRPr="00333356" w:rsidRDefault="00F93E7E" w:rsidP="00DD7ADE">
            <w:pPr>
              <w:jc w:val="left"/>
              <w:rPr>
                <w:rFonts w:eastAsia="Times New Roman"/>
                <w:color w:val="000000" w:themeColor="text1"/>
                <w:sz w:val="16"/>
                <w:szCs w:val="16"/>
                <w:lang w:val="ro-RO" w:eastAsia="ro-RO"/>
              </w:rPr>
            </w:pPr>
          </w:p>
        </w:tc>
        <w:tc>
          <w:tcPr>
            <w:tcW w:w="1128" w:type="dxa"/>
            <w:tcBorders>
              <w:top w:val="nil"/>
              <w:left w:val="nil"/>
              <w:bottom w:val="single" w:sz="12" w:space="0" w:color="305598"/>
              <w:right w:val="single" w:sz="4" w:space="0" w:color="305598"/>
            </w:tcBorders>
            <w:shd w:val="clear" w:color="auto" w:fill="auto"/>
            <w:noWrap/>
            <w:vAlign w:val="center"/>
            <w:hideMark/>
          </w:tcPr>
          <w:p w14:paraId="01BB790E" w14:textId="77777777" w:rsidR="00F93E7E" w:rsidRPr="00333356" w:rsidRDefault="00F93E7E" w:rsidP="00DD7ADE">
            <w:pPr>
              <w:jc w:val="left"/>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 xml:space="preserve"> Deg. of Attack -Botrytis</w:t>
            </w:r>
          </w:p>
        </w:tc>
        <w:tc>
          <w:tcPr>
            <w:tcW w:w="652" w:type="dxa"/>
            <w:tcBorders>
              <w:top w:val="nil"/>
              <w:left w:val="nil"/>
              <w:bottom w:val="single" w:sz="12" w:space="0" w:color="305598"/>
              <w:right w:val="single" w:sz="4" w:space="0" w:color="305598"/>
            </w:tcBorders>
            <w:shd w:val="clear" w:color="auto" w:fill="auto"/>
            <w:noWrap/>
            <w:vAlign w:val="center"/>
            <w:hideMark/>
          </w:tcPr>
          <w:p w14:paraId="101FD0C6"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0.607</w:t>
            </w:r>
          </w:p>
        </w:tc>
        <w:tc>
          <w:tcPr>
            <w:tcW w:w="652" w:type="dxa"/>
            <w:tcBorders>
              <w:top w:val="nil"/>
              <w:left w:val="nil"/>
              <w:bottom w:val="single" w:sz="12" w:space="0" w:color="305598"/>
              <w:right w:val="single" w:sz="4" w:space="0" w:color="305598"/>
            </w:tcBorders>
            <w:shd w:val="clear" w:color="auto" w:fill="auto"/>
            <w:noWrap/>
            <w:vAlign w:val="center"/>
            <w:hideMark/>
          </w:tcPr>
          <w:p w14:paraId="2F9908BC"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2.66</w:t>
            </w:r>
          </w:p>
        </w:tc>
        <w:tc>
          <w:tcPr>
            <w:tcW w:w="752" w:type="dxa"/>
            <w:tcBorders>
              <w:top w:val="nil"/>
              <w:left w:val="nil"/>
              <w:bottom w:val="single" w:sz="12" w:space="0" w:color="305598"/>
              <w:right w:val="single" w:sz="4" w:space="0" w:color="305598"/>
            </w:tcBorders>
            <w:shd w:val="clear" w:color="auto" w:fill="auto"/>
            <w:noWrap/>
            <w:vAlign w:val="center"/>
            <w:hideMark/>
          </w:tcPr>
          <w:p w14:paraId="1CF0E5BF"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15.549</w:t>
            </w:r>
          </w:p>
        </w:tc>
        <w:tc>
          <w:tcPr>
            <w:tcW w:w="668" w:type="dxa"/>
            <w:tcBorders>
              <w:top w:val="nil"/>
              <w:left w:val="nil"/>
              <w:bottom w:val="single" w:sz="12" w:space="0" w:color="305598"/>
              <w:right w:val="single" w:sz="12" w:space="0" w:color="305598"/>
            </w:tcBorders>
            <w:shd w:val="clear" w:color="auto" w:fill="auto"/>
            <w:noWrap/>
            <w:vAlign w:val="center"/>
            <w:hideMark/>
          </w:tcPr>
          <w:p w14:paraId="60AA94DF" w14:textId="77777777" w:rsidR="00F93E7E" w:rsidRPr="00333356" w:rsidRDefault="00F93E7E" w:rsidP="00DD7ADE">
            <w:pPr>
              <w:rPr>
                <w:rFonts w:eastAsia="Times New Roman"/>
                <w:color w:val="000000" w:themeColor="text1"/>
                <w:sz w:val="16"/>
                <w:szCs w:val="16"/>
                <w:lang w:val="ro-RO" w:eastAsia="ro-RO"/>
              </w:rPr>
            </w:pPr>
            <w:r w:rsidRPr="00333356">
              <w:rPr>
                <w:rFonts w:eastAsia="Times New Roman"/>
                <w:color w:val="000000" w:themeColor="text1"/>
                <w:sz w:val="16"/>
                <w:szCs w:val="16"/>
                <w:lang w:val="ro-RO" w:eastAsia="ro-RO"/>
              </w:rPr>
              <w:t>3.943</w:t>
            </w:r>
          </w:p>
        </w:tc>
      </w:tr>
    </w:tbl>
    <w:p w14:paraId="79D4B310" w14:textId="34EC023D" w:rsidR="00303615" w:rsidRPr="00333356" w:rsidRDefault="00BE0460" w:rsidP="00946E5F">
      <w:pPr>
        <w:pStyle w:val="figurecaption"/>
        <w:numPr>
          <w:ilvl w:val="0"/>
          <w:numId w:val="0"/>
        </w:numPr>
        <w:tabs>
          <w:tab w:val="clear" w:pos="533"/>
          <w:tab w:val="left" w:pos="0"/>
          <w:tab w:val="left" w:pos="284"/>
        </w:tabs>
        <w:rPr>
          <w:color w:val="000000" w:themeColor="text1"/>
          <w:sz w:val="20"/>
        </w:rPr>
      </w:pPr>
      <w:r w:rsidRPr="00333356">
        <w:rPr>
          <w:color w:val="000000" w:themeColor="text1"/>
          <w:sz w:val="20"/>
        </w:rPr>
        <w:t xml:space="preserve">The R^2 </w:t>
      </w:r>
      <w:r w:rsidR="00FE314E" w:rsidRPr="00333356">
        <w:rPr>
          <w:color w:val="000000" w:themeColor="text1"/>
          <w:sz w:val="20"/>
        </w:rPr>
        <w:t>represents</w:t>
      </w:r>
      <w:r w:rsidRPr="00333356">
        <w:rPr>
          <w:color w:val="000000" w:themeColor="text1"/>
          <w:sz w:val="20"/>
        </w:rPr>
        <w:t xml:space="preserve"> the </w:t>
      </w:r>
      <w:r w:rsidR="00B73485" w:rsidRPr="00333356">
        <w:rPr>
          <w:color w:val="000000" w:themeColor="text1"/>
          <w:sz w:val="20"/>
        </w:rPr>
        <w:t>coeficient of determination. It is the regression sum of squares divided by the total sum of squares.</w:t>
      </w:r>
    </w:p>
    <w:p w14:paraId="62DBC57C" w14:textId="52D09B32" w:rsidR="00B73485" w:rsidRPr="00333356" w:rsidRDefault="00B73485" w:rsidP="00946E5F">
      <w:pPr>
        <w:pStyle w:val="figurecaption"/>
        <w:numPr>
          <w:ilvl w:val="0"/>
          <w:numId w:val="0"/>
        </w:numPr>
        <w:tabs>
          <w:tab w:val="clear" w:pos="533"/>
          <w:tab w:val="left" w:pos="0"/>
          <w:tab w:val="left" w:pos="284"/>
        </w:tabs>
        <w:rPr>
          <w:rFonts w:eastAsia="Times New Roman"/>
          <w:color w:val="000000" w:themeColor="text1"/>
          <w:sz w:val="20"/>
          <w:szCs w:val="20"/>
          <w:lang w:val="ro-RO" w:eastAsia="ro-RO"/>
        </w:rPr>
      </w:pPr>
      <w:r w:rsidRPr="00333356">
        <w:rPr>
          <w:color w:val="000000" w:themeColor="text1"/>
          <w:sz w:val="20"/>
          <w:szCs w:val="20"/>
        </w:rPr>
        <w:t>Root Mean Squared Error (RMSE) and Mean Absolute Error (MAE) are metrics for evaluateing a Regression Model. These metrics give information about the accury of prediction, what is the amount of deviation from the real values.</w:t>
      </w:r>
      <w:r w:rsidR="0020380F" w:rsidRPr="00333356">
        <w:rPr>
          <w:color w:val="000000" w:themeColor="text1"/>
          <w:sz w:val="20"/>
          <w:szCs w:val="20"/>
        </w:rPr>
        <w:t xml:space="preserve"> For the regression</w:t>
      </w:r>
      <w:r w:rsidR="00FE314E" w:rsidRPr="00333356">
        <w:rPr>
          <w:color w:val="000000" w:themeColor="text1"/>
          <w:sz w:val="20"/>
          <w:szCs w:val="20"/>
        </w:rPr>
        <w:t>,</w:t>
      </w:r>
      <w:r w:rsidR="0020380F" w:rsidRPr="00333356">
        <w:rPr>
          <w:color w:val="000000" w:themeColor="text1"/>
          <w:sz w:val="20"/>
          <w:szCs w:val="20"/>
        </w:rPr>
        <w:t xml:space="preserve"> we used different methods </w:t>
      </w:r>
      <w:r w:rsidR="00FE314E" w:rsidRPr="00333356">
        <w:rPr>
          <w:color w:val="000000" w:themeColor="text1"/>
          <w:sz w:val="20"/>
          <w:szCs w:val="20"/>
        </w:rPr>
        <w:t xml:space="preserve">such </w:t>
      </w:r>
      <w:r w:rsidR="0020380F" w:rsidRPr="00333356">
        <w:rPr>
          <w:color w:val="000000" w:themeColor="text1"/>
          <w:sz w:val="20"/>
          <w:szCs w:val="20"/>
        </w:rPr>
        <w:t xml:space="preserve">as </w:t>
      </w:r>
      <w:r w:rsidR="0020380F" w:rsidRPr="00333356">
        <w:rPr>
          <w:rFonts w:eastAsia="Times New Roman"/>
          <w:color w:val="000000" w:themeColor="text1"/>
          <w:sz w:val="20"/>
          <w:szCs w:val="20"/>
          <w:lang w:val="ro-RO" w:eastAsia="ro-RO"/>
        </w:rPr>
        <w:t xml:space="preserve">XGBoost Regressor, Random Forest Regressor, </w:t>
      </w:r>
      <w:r w:rsidR="0020380F" w:rsidRPr="00333356">
        <w:rPr>
          <w:color w:val="000000" w:themeColor="text1"/>
          <w:spacing w:val="2"/>
          <w:sz w:val="20"/>
          <w:szCs w:val="20"/>
          <w:shd w:val="clear" w:color="auto" w:fill="FFFFFF"/>
        </w:rPr>
        <w:t>Long Short Term Memory </w:t>
      </w:r>
      <w:r w:rsidR="0020380F" w:rsidRPr="00333356">
        <w:rPr>
          <w:rFonts w:eastAsia="Times New Roman"/>
          <w:color w:val="000000" w:themeColor="text1"/>
          <w:sz w:val="20"/>
          <w:szCs w:val="20"/>
          <w:lang w:val="ro-RO" w:eastAsia="ro-RO"/>
        </w:rPr>
        <w:t xml:space="preserve"> (LSTM), Deep Neural Network, </w:t>
      </w:r>
      <w:r w:rsidR="00FE314E" w:rsidRPr="00333356">
        <w:rPr>
          <w:rFonts w:eastAsia="Times New Roman"/>
          <w:color w:val="000000" w:themeColor="text1"/>
          <w:sz w:val="20"/>
          <w:szCs w:val="20"/>
          <w:lang w:val="ro-RO" w:eastAsia="ro-RO"/>
        </w:rPr>
        <w:t xml:space="preserve">and </w:t>
      </w:r>
      <w:r w:rsidR="0020380F" w:rsidRPr="00333356">
        <w:rPr>
          <w:rFonts w:eastAsia="Times New Roman"/>
          <w:color w:val="000000" w:themeColor="text1"/>
          <w:sz w:val="20"/>
          <w:szCs w:val="20"/>
          <w:lang w:val="ro-RO" w:eastAsia="ro-RO"/>
        </w:rPr>
        <w:t>Support Vector Regression</w:t>
      </w:r>
      <w:r w:rsidR="001275AF" w:rsidRPr="00333356">
        <w:rPr>
          <w:rFonts w:eastAsia="Times New Roman"/>
          <w:color w:val="000000" w:themeColor="text1"/>
          <w:sz w:val="20"/>
          <w:szCs w:val="20"/>
          <w:lang w:val="ro-RO" w:eastAsia="ro-RO"/>
        </w:rPr>
        <w:t xml:space="preserve"> [11]</w:t>
      </w:r>
      <w:r w:rsidR="0020380F" w:rsidRPr="00333356">
        <w:rPr>
          <w:rFonts w:eastAsia="Times New Roman"/>
          <w:color w:val="000000" w:themeColor="text1"/>
          <w:sz w:val="20"/>
          <w:szCs w:val="20"/>
          <w:lang w:val="ro-RO" w:eastAsia="ro-RO"/>
        </w:rPr>
        <w:t xml:space="preserve">. </w:t>
      </w:r>
      <w:r w:rsidR="006D56D7" w:rsidRPr="00333356">
        <w:rPr>
          <w:rFonts w:eastAsia="Times New Roman"/>
          <w:color w:val="000000" w:themeColor="text1"/>
          <w:sz w:val="20"/>
          <w:szCs w:val="20"/>
          <w:lang w:val="ro-RO" w:eastAsia="ro-RO"/>
        </w:rPr>
        <w:t>The data we used is nonliniar, as such, the tree base</w:t>
      </w:r>
      <w:r w:rsidR="001C34EE">
        <w:rPr>
          <w:rFonts w:eastAsia="Times New Roman"/>
          <w:color w:val="000000" w:themeColor="text1"/>
          <w:sz w:val="20"/>
          <w:szCs w:val="20"/>
          <w:lang w:val="ro-RO" w:eastAsia="ro-RO"/>
        </w:rPr>
        <w:t>d</w:t>
      </w:r>
      <w:r w:rsidR="006D56D7" w:rsidRPr="00333356">
        <w:rPr>
          <w:rFonts w:eastAsia="Times New Roman"/>
          <w:color w:val="000000" w:themeColor="text1"/>
          <w:sz w:val="20"/>
          <w:szCs w:val="20"/>
          <w:lang w:val="ro-RO" w:eastAsia="ro-RO"/>
        </w:rPr>
        <w:t xml:space="preserve"> algorithms perform best. Neural networks are also capable of capturing nonliniar relationships, but they require more data in order to train effectively. The Support Vector Regression (SVR) is the </w:t>
      </w:r>
      <w:r w:rsidR="00D35059" w:rsidRPr="00333356">
        <w:rPr>
          <w:rFonts w:eastAsia="Times New Roman"/>
          <w:color w:val="000000" w:themeColor="text1"/>
          <w:sz w:val="20"/>
          <w:szCs w:val="20"/>
          <w:lang w:val="ro-RO" w:eastAsia="ro-RO"/>
        </w:rPr>
        <w:t>poorest performing of the three, as it assumes a liniar relationship between the features and the targets.</w:t>
      </w:r>
    </w:p>
    <w:p w14:paraId="73B822FC" w14:textId="205A0B44" w:rsidR="001275AF" w:rsidRPr="00333356" w:rsidRDefault="001275AF" w:rsidP="001275AF">
      <w:pPr>
        <w:pStyle w:val="Titlu1"/>
        <w:ind w:firstLine="0"/>
        <w:rPr>
          <w:color w:val="000000" w:themeColor="text1"/>
        </w:rPr>
      </w:pPr>
      <w:r w:rsidRPr="00333356">
        <w:rPr>
          <w:color w:val="000000" w:themeColor="text1"/>
        </w:rPr>
        <w:t xml:space="preserve">Conclusion </w:t>
      </w:r>
    </w:p>
    <w:p w14:paraId="029B8FC1" w14:textId="4A388E2F" w:rsidR="0020380F" w:rsidRPr="00333356" w:rsidRDefault="00875491" w:rsidP="00946E5F">
      <w:pPr>
        <w:pStyle w:val="figurecaption"/>
        <w:numPr>
          <w:ilvl w:val="0"/>
          <w:numId w:val="0"/>
        </w:numPr>
        <w:tabs>
          <w:tab w:val="clear" w:pos="533"/>
          <w:tab w:val="left" w:pos="0"/>
          <w:tab w:val="left" w:pos="284"/>
        </w:tabs>
        <w:rPr>
          <w:color w:val="000000" w:themeColor="text1"/>
          <w:sz w:val="20"/>
        </w:rPr>
      </w:pPr>
      <w:r w:rsidRPr="00333356">
        <w:rPr>
          <w:color w:val="000000" w:themeColor="text1"/>
          <w:sz w:val="20"/>
        </w:rPr>
        <w:t xml:space="preserve">The present study </w:t>
      </w:r>
      <w:r w:rsidR="00FE314E" w:rsidRPr="00333356">
        <w:rPr>
          <w:color w:val="000000" w:themeColor="text1"/>
          <w:sz w:val="20"/>
        </w:rPr>
        <w:t xml:space="preserve">has the goal of disease identification using soil parameters. The feature importance data are used to identify the most influential parameter in the disease occurrence. The leaves give information about the disease occurrence and the percentage of them. So using the regression methods we identify two diseases that can occur due to the soil temperature, conductivity, and nutrients. </w:t>
      </w:r>
      <w:r w:rsidR="009B39CE" w:rsidRPr="00333356">
        <w:rPr>
          <w:color w:val="000000" w:themeColor="text1"/>
          <w:sz w:val="20"/>
        </w:rPr>
        <w:t xml:space="preserve">In the next study, we achieve an automatic system for data classification for disease identification. These systems will be based on the soil and air parameters that influence the disease occurrence. </w:t>
      </w:r>
    </w:p>
    <w:p w14:paraId="5050BC90" w14:textId="618216D7" w:rsidR="0080791D" w:rsidRPr="00333356" w:rsidRDefault="0080791D" w:rsidP="0080791D">
      <w:pPr>
        <w:pStyle w:val="Titlu5"/>
        <w:rPr>
          <w:color w:val="000000" w:themeColor="text1"/>
        </w:rPr>
      </w:pPr>
      <w:r w:rsidRPr="00333356">
        <w:rPr>
          <w:color w:val="000000" w:themeColor="text1"/>
        </w:rPr>
        <w:t>Acknowledgment</w:t>
      </w:r>
    </w:p>
    <w:p w14:paraId="445EB1D6" w14:textId="746E1308" w:rsidR="00575BCA" w:rsidRPr="00333356" w:rsidRDefault="0064301B" w:rsidP="00836367">
      <w:pPr>
        <w:pStyle w:val="Corptext"/>
        <w:rPr>
          <w:color w:val="000000" w:themeColor="text1"/>
          <w:lang w:val="en-US"/>
        </w:rPr>
      </w:pPr>
      <w:r w:rsidRPr="00333356">
        <w:rPr>
          <w:color w:val="000000" w:themeColor="text1"/>
          <w:lang w:val="en-US"/>
        </w:rPr>
        <w:t>This work is supported by a grant of the Romanian National Authority for Scientific Research and Innovation, CCCDI - UEFISCDI, project number 203, COFUND-ICT-AGRI-FOOD-MERIAVINO-1, within PNCDI III.</w:t>
      </w:r>
    </w:p>
    <w:p w14:paraId="7FD92A31" w14:textId="388D1FD5" w:rsidR="009303D9" w:rsidRPr="00333356" w:rsidRDefault="009303D9" w:rsidP="00A059B3">
      <w:pPr>
        <w:pStyle w:val="Titlu5"/>
        <w:rPr>
          <w:color w:val="000000" w:themeColor="text1"/>
        </w:rPr>
      </w:pPr>
      <w:r w:rsidRPr="00333356">
        <w:rPr>
          <w:color w:val="000000" w:themeColor="text1"/>
        </w:rPr>
        <w:t>References</w:t>
      </w:r>
    </w:p>
    <w:p w14:paraId="6CE1CF79" w14:textId="32E56D1B" w:rsidR="006D68C1" w:rsidRPr="00333356" w:rsidRDefault="006D68C1" w:rsidP="006D68C1">
      <w:pPr>
        <w:pStyle w:val="references"/>
        <w:ind w:left="354" w:hanging="354"/>
        <w:rPr>
          <w:color w:val="000000" w:themeColor="text1"/>
        </w:rPr>
      </w:pPr>
      <w:r w:rsidRPr="00333356">
        <w:rPr>
          <w:color w:val="000000" w:themeColor="text1"/>
        </w:rPr>
        <w:t>D. B. Bhoyar, S. K. Mohod, S. S. Khade, R. A. Burange, “Detection of NPK and pH components of soil”, International Journal of Scientific and Research Publications, ISSN: 2250-3153.</w:t>
      </w:r>
    </w:p>
    <w:p w14:paraId="2DE144FA" w14:textId="1EF2453B" w:rsidR="006D68C1" w:rsidRPr="00333356" w:rsidRDefault="006D68C1" w:rsidP="006D68C1">
      <w:pPr>
        <w:pStyle w:val="references"/>
        <w:ind w:left="354" w:hanging="354"/>
        <w:rPr>
          <w:color w:val="000000" w:themeColor="text1"/>
        </w:rPr>
      </w:pPr>
      <w:r w:rsidRPr="00333356">
        <w:rPr>
          <w:color w:val="000000" w:themeColor="text1"/>
        </w:rPr>
        <w:t>K. Misbah, A. Laamrani, K. Khechba , D. Dhiba,  A. Chehbouni, “Multi-Sensors Remote Sensing Applications for Assessing, Monitoring, and Mapping NPK Content in Soil and Crops in African Agricultural Land”, Remote Sens. 2022, 14, 81, 2022, DOI: 10.3390/rs14010081.</w:t>
      </w:r>
    </w:p>
    <w:p w14:paraId="361FF394" w14:textId="19BBC7F2" w:rsidR="006D68C1" w:rsidRPr="00333356" w:rsidRDefault="006D68C1" w:rsidP="006D68C1">
      <w:pPr>
        <w:pStyle w:val="references"/>
        <w:ind w:left="354" w:hanging="354"/>
        <w:rPr>
          <w:color w:val="000000" w:themeColor="text1"/>
        </w:rPr>
      </w:pPr>
      <w:r w:rsidRPr="00333356">
        <w:rPr>
          <w:color w:val="000000" w:themeColor="text1"/>
        </w:rPr>
        <w:t>J. Lin, M. Wang, M. Zhang, Y. Zhang, L. Chen, “Electrochemical Sensors for Soil Nutrient Detection: Opportunity and Challenge”, International Conference on Computer and Computing Technologies in Agriculture CCTA 2007: Computer And Computing Technologies In Agriculture, Volume II, pp. 1349–1353, 2007.</w:t>
      </w:r>
    </w:p>
    <w:p w14:paraId="02D0368F" w14:textId="1EA35DEA" w:rsidR="006D68C1" w:rsidRPr="00333356" w:rsidRDefault="006D68C1" w:rsidP="00AE2261">
      <w:pPr>
        <w:pStyle w:val="references"/>
        <w:ind w:left="354" w:hanging="354"/>
        <w:jc w:val="left"/>
        <w:rPr>
          <w:color w:val="000000" w:themeColor="text1"/>
        </w:rPr>
      </w:pPr>
      <w:r w:rsidRPr="00333356">
        <w:rPr>
          <w:color w:val="000000" w:themeColor="text1"/>
        </w:rPr>
        <w:t>S. G. Lemos, E. A. Menezes, F. S. Chaves, A. R. A. Nogueira, A. Torre-Neto, A. Parra, and J. Alonso, “In Situ Soil Phosphorus Monitoring Probe Compared with Conventional Extraction Procedures”, Communications in Soil Science and Plant Analysis, 40, pp. 1282–1294, 2009, ISSN 0010-3624.</w:t>
      </w:r>
    </w:p>
    <w:p w14:paraId="08C9AB7F" w14:textId="738EBFCB" w:rsidR="006D68C1" w:rsidRPr="00333356" w:rsidRDefault="006D68C1" w:rsidP="006D68C1">
      <w:pPr>
        <w:pStyle w:val="references"/>
        <w:ind w:left="354" w:hanging="354"/>
        <w:rPr>
          <w:color w:val="000000" w:themeColor="text1"/>
        </w:rPr>
      </w:pPr>
      <w:r w:rsidRPr="00333356">
        <w:rPr>
          <w:color w:val="000000" w:themeColor="text1"/>
        </w:rPr>
        <w:t>S. Ghita, M. Hnatiuc, A. Ranca, V. Artem, M.A. Ciocan “Vegetation Dynamics, Changing Ecosystems and Human Responsibility”, Studies on the Short-Term Effects of the Cease of Pesticides Use on Vineyard Microbiome, Intechopen, 2022, DOI: 10.5772/intechopen.105706</w:t>
      </w:r>
    </w:p>
    <w:p w14:paraId="3BC4ECAC" w14:textId="3108A1D9" w:rsidR="006D68C1" w:rsidRPr="00333356" w:rsidRDefault="006D68C1" w:rsidP="006D68C1">
      <w:pPr>
        <w:pStyle w:val="references"/>
        <w:ind w:left="354" w:hanging="354"/>
        <w:rPr>
          <w:color w:val="000000" w:themeColor="text1"/>
        </w:rPr>
      </w:pPr>
      <w:r w:rsidRPr="00333356">
        <w:rPr>
          <w:color w:val="000000" w:themeColor="text1"/>
        </w:rPr>
        <w:t>M. Wu, T. J. Lu, F.Y. Ling, “Research on the architecture of Internet of Things”, Conference: Advanced Computer Theory and Engineering (ICACTE), Vol. 5, 2013</w:t>
      </w:r>
      <w:r w:rsidR="001F31F5" w:rsidRPr="00333356">
        <w:rPr>
          <w:color w:val="000000" w:themeColor="text1"/>
        </w:rPr>
        <w:t>.</w:t>
      </w:r>
    </w:p>
    <w:p w14:paraId="0CB86289" w14:textId="53AE96C6" w:rsidR="006D68C1" w:rsidRPr="00333356" w:rsidRDefault="006D68C1" w:rsidP="006D68C1">
      <w:pPr>
        <w:pStyle w:val="references"/>
        <w:ind w:left="354" w:hanging="354"/>
        <w:rPr>
          <w:color w:val="000000" w:themeColor="text1"/>
        </w:rPr>
      </w:pPr>
      <w:r w:rsidRPr="00333356">
        <w:rPr>
          <w:color w:val="000000" w:themeColor="text1"/>
        </w:rPr>
        <w:t>G. Shen; B. Liu, “The visions, technologies, applications and security issues of Internet of Things”,  2011 International Conference on E-Business and E-Government (ICEE),  DOI: 10.1109/ICEBEG.2011.5881892,  2011</w:t>
      </w:r>
      <w:r w:rsidR="001F31F5" w:rsidRPr="00333356">
        <w:rPr>
          <w:color w:val="000000" w:themeColor="text1"/>
        </w:rPr>
        <w:t>.</w:t>
      </w:r>
    </w:p>
    <w:p w14:paraId="6BDB1453" w14:textId="69A53DE7" w:rsidR="00973203" w:rsidRPr="00333356" w:rsidRDefault="00973203" w:rsidP="006D68C1">
      <w:pPr>
        <w:pStyle w:val="references"/>
        <w:ind w:left="354" w:hanging="354"/>
        <w:rPr>
          <w:color w:val="000000" w:themeColor="text1"/>
        </w:rPr>
      </w:pPr>
      <w:r w:rsidRPr="00333356">
        <w:rPr>
          <w:color w:val="000000" w:themeColor="text1"/>
        </w:rPr>
        <w:t>K. H. Lam, C. C. Cheung, W. C. Lee, “LoRa-based localization systems for noisy outdoor environment”, 2017 IEEE 13th International Conference on Wireless and Mobile Computing, Networking and Communications (WiMob), Rome, Italy, 2017, pp. 278-284, doi: 10.1109/WiMOB.2017.8115843.</w:t>
      </w:r>
    </w:p>
    <w:p w14:paraId="24319C3E" w14:textId="77777777" w:rsidR="00A91758" w:rsidRPr="00333356" w:rsidRDefault="006D68C1" w:rsidP="00A91758">
      <w:pPr>
        <w:pStyle w:val="references"/>
        <w:ind w:left="354" w:hanging="354"/>
        <w:rPr>
          <w:color w:val="000000" w:themeColor="text1"/>
        </w:rPr>
      </w:pPr>
      <w:r w:rsidRPr="00333356">
        <w:rPr>
          <w:color w:val="000000" w:themeColor="text1"/>
        </w:rPr>
        <w:t>E. Sivogolovko, B. Novikov, “Validating cluster structures in data mining tasks”, In EDBT-ICDT'12; Association for Computing 804 Machinery: New York, NY, USA, 2012, 245–250.</w:t>
      </w:r>
    </w:p>
    <w:p w14:paraId="610CE6C9" w14:textId="19ECE31E" w:rsidR="00A91758" w:rsidRPr="00333356" w:rsidRDefault="00A91758" w:rsidP="00A91758">
      <w:pPr>
        <w:pStyle w:val="references"/>
        <w:ind w:left="354" w:hanging="354"/>
        <w:rPr>
          <w:color w:val="000000" w:themeColor="text1"/>
        </w:rPr>
      </w:pPr>
      <w:r w:rsidRPr="00333356">
        <w:rPr>
          <w:color w:val="000000" w:themeColor="text1"/>
        </w:rPr>
        <w:t>J. Jiarpakdee, C. Tantithamthavorn, and A. E. Hassan, “The impact of correlated metrics on the interpretation of defect models,” IEEE Transaction</w:t>
      </w:r>
      <w:r w:rsidR="0020380F" w:rsidRPr="00333356">
        <w:rPr>
          <w:color w:val="000000" w:themeColor="text1"/>
        </w:rPr>
        <w:t>s on Software Engineering, 2019</w:t>
      </w:r>
    </w:p>
    <w:p w14:paraId="07223AA3" w14:textId="4ED53BF0" w:rsidR="0020380F" w:rsidRPr="00333356" w:rsidRDefault="0020380F" w:rsidP="0020380F">
      <w:pPr>
        <w:pStyle w:val="references"/>
        <w:numPr>
          <w:ilvl w:val="0"/>
          <w:numId w:val="0"/>
        </w:numPr>
        <w:ind w:left="360" w:hanging="360"/>
        <w:rPr>
          <w:color w:val="000000" w:themeColor="text1"/>
        </w:rPr>
        <w:sectPr w:rsidR="0020380F" w:rsidRPr="00333356" w:rsidSect="009D1C8A">
          <w:type w:val="continuous"/>
          <w:pgSz w:w="11906" w:h="16838" w:code="9"/>
          <w:pgMar w:top="1152" w:right="907" w:bottom="1276" w:left="907" w:header="720" w:footer="720" w:gutter="0"/>
          <w:cols w:num="2" w:space="360"/>
          <w:docGrid w:linePitch="360"/>
        </w:sectPr>
      </w:pPr>
      <w:r w:rsidRPr="00333356">
        <w:rPr>
          <w:color w:val="000000" w:themeColor="text1"/>
        </w:rPr>
        <w:t>[11]</w:t>
      </w:r>
      <w:r w:rsidR="0095738A" w:rsidRPr="00333356">
        <w:rPr>
          <w:color w:val="000000" w:themeColor="text1"/>
        </w:rPr>
        <w:t xml:space="preserve"> E.Mooi,  “Regresion Analysis”, Chapter 7 in Book “A Concise Guide to Market Research. The Process, Data, and Methods Using IBM SPSS Statistics”- 3rd Edition, DOI: 10.1007/978-3-642-53965-7_7, 2014</w:t>
      </w:r>
    </w:p>
    <w:p w14:paraId="45B994C8" w14:textId="0BA4E763" w:rsidR="00632FFC" w:rsidRPr="00333356" w:rsidRDefault="00632FFC" w:rsidP="00946E5F">
      <w:pPr>
        <w:pStyle w:val="figurecaption"/>
        <w:numPr>
          <w:ilvl w:val="0"/>
          <w:numId w:val="0"/>
        </w:numPr>
        <w:jc w:val="left"/>
        <w:rPr>
          <w:color w:val="000000" w:themeColor="text1"/>
          <w:sz w:val="20"/>
        </w:rPr>
      </w:pPr>
    </w:p>
    <w:sectPr w:rsidR="00632FFC" w:rsidRPr="00333356"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01747" w14:textId="77777777" w:rsidR="003120C2" w:rsidRDefault="003120C2" w:rsidP="001A3B3D">
      <w:r>
        <w:separator/>
      </w:r>
    </w:p>
  </w:endnote>
  <w:endnote w:type="continuationSeparator" w:id="0">
    <w:p w14:paraId="396E862E" w14:textId="77777777" w:rsidR="003120C2" w:rsidRDefault="003120C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B7751" w14:textId="148ED10B" w:rsidR="001A3B3D" w:rsidRPr="00C70BDC" w:rsidRDefault="00C70BDC" w:rsidP="00C70BDC">
    <w:pPr>
      <w:pStyle w:val="Subsol"/>
      <w:tabs>
        <w:tab w:val="center" w:pos="5245"/>
        <w:tab w:val="right" w:pos="10443"/>
      </w:tabs>
      <w:jc w:val="right"/>
    </w:pPr>
    <w:r w:rsidRPr="00B770BB">
      <w:rPr>
        <w:bCs/>
      </w:rPr>
      <w:t>2</w:t>
    </w:r>
    <w:r>
      <w:rPr>
        <w:bCs/>
      </w:rPr>
      <w:t>7-30</w:t>
    </w:r>
    <w:r w:rsidRPr="00B770BB">
      <w:rPr>
        <w:bCs/>
      </w:rPr>
      <w:t xml:space="preserve"> Oct 20</w:t>
    </w:r>
    <w:r>
      <w:rPr>
        <w:bCs/>
      </w:rPr>
      <w:t>21</w:t>
    </w:r>
    <w:r w:rsidRPr="00B770BB">
      <w:rPr>
        <w:bCs/>
      </w:rPr>
      <w:t xml:space="preserve">, </w:t>
    </w:r>
    <w:r>
      <w:rPr>
        <w:bCs/>
        <w:lang w:val="ro-RO"/>
      </w:rPr>
      <w:t>Timișoara</w:t>
    </w:r>
    <w:r w:rsidRPr="00B770BB">
      <w:rPr>
        <w:bCs/>
      </w:rPr>
      <w:t>, Romania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A6FD9" w14:textId="77777777" w:rsidR="003120C2" w:rsidRDefault="003120C2" w:rsidP="001A3B3D">
      <w:r>
        <w:separator/>
      </w:r>
    </w:p>
  </w:footnote>
  <w:footnote w:type="continuationSeparator" w:id="0">
    <w:p w14:paraId="40443A38" w14:textId="77777777" w:rsidR="003120C2" w:rsidRDefault="003120C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C1E9C" w14:textId="0628C807" w:rsidR="00C366D0" w:rsidRPr="00C366D0" w:rsidRDefault="00C366D0" w:rsidP="00C366D0">
    <w:pPr>
      <w:pStyle w:val="Antet"/>
      <w:rPr>
        <w:i/>
      </w:rPr>
    </w:pPr>
  </w:p>
  <w:p w14:paraId="3ED14680" w14:textId="311EBECC" w:rsidR="005313D8" w:rsidRDefault="005313D8">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6FF43" w14:textId="77777777" w:rsidR="00C70BDC" w:rsidRPr="00CF5292" w:rsidRDefault="00C70BDC" w:rsidP="00C70BDC">
    <w:pPr>
      <w:pStyle w:val="Antet"/>
      <w:rPr>
        <w:i/>
      </w:rPr>
    </w:pPr>
    <w:r w:rsidRPr="00CF5292">
      <w:rPr>
        <w:b/>
        <w:i/>
      </w:rPr>
      <w:t>20</w:t>
    </w:r>
    <w:r>
      <w:rPr>
        <w:b/>
        <w:i/>
      </w:rPr>
      <w:t>21</w:t>
    </w:r>
    <w:r w:rsidRPr="00CF5292">
      <w:rPr>
        <w:b/>
        <w:i/>
      </w:rPr>
      <w:t xml:space="preserve"> IEEE</w:t>
    </w:r>
    <w:r>
      <w:rPr>
        <w:i/>
      </w:rPr>
      <w:t xml:space="preserve"> 27</w:t>
    </w:r>
    <w:r>
      <w:rPr>
        <w:i/>
        <w:vertAlign w:val="superscript"/>
      </w:rPr>
      <w:t>th</w:t>
    </w:r>
    <w:r>
      <w:rPr>
        <w:i/>
      </w:rPr>
      <w:t xml:space="preserve"> </w:t>
    </w:r>
    <w:r w:rsidRPr="00CF5292">
      <w:rPr>
        <w:i/>
      </w:rPr>
      <w:t>International Symposium for Design and Technology in Electronic Packaging (</w:t>
    </w:r>
    <w:r w:rsidRPr="00CF5292">
      <w:rPr>
        <w:b/>
        <w:i/>
      </w:rPr>
      <w:t>SIITME</w:t>
    </w:r>
    <w:r w:rsidRPr="00CF5292">
      <w:rPr>
        <w:i/>
      </w:rPr>
      <w:t>)</w:t>
    </w:r>
  </w:p>
  <w:p w14:paraId="3F39C400" w14:textId="77777777" w:rsidR="00C70BDC" w:rsidRDefault="00C70BD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A7C86B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C1422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DDACD8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99A66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48465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1903E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1B4216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FDCA6A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0964C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11839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0C70A29"/>
    <w:multiLevelType w:val="multilevel"/>
    <w:tmpl w:val="EA8C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2A3268"/>
    <w:lvl w:ilvl="0" w:tplc="251E508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93F49A24"/>
    <w:lvl w:ilvl="0">
      <w:start w:val="1"/>
      <w:numFmt w:val="upperRoman"/>
      <w:pStyle w:val="Titlu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lu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lu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lu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314ECACE"/>
    <w:lvl w:ilvl="0" w:tplc="D1BE0DD4">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20590565">
    <w:abstractNumId w:val="15"/>
  </w:num>
  <w:num w:numId="2" w16cid:durableId="908269113">
    <w:abstractNumId w:val="20"/>
  </w:num>
  <w:num w:numId="3" w16cid:durableId="820272040">
    <w:abstractNumId w:val="13"/>
  </w:num>
  <w:num w:numId="4" w16cid:durableId="1999650739">
    <w:abstractNumId w:val="17"/>
  </w:num>
  <w:num w:numId="5" w16cid:durableId="959722229">
    <w:abstractNumId w:val="17"/>
  </w:num>
  <w:num w:numId="6" w16cid:durableId="474958595">
    <w:abstractNumId w:val="17"/>
  </w:num>
  <w:num w:numId="7" w16cid:durableId="441851446">
    <w:abstractNumId w:val="17"/>
  </w:num>
  <w:num w:numId="8" w16cid:durableId="7220547">
    <w:abstractNumId w:val="19"/>
  </w:num>
  <w:num w:numId="9" w16cid:durableId="865170729">
    <w:abstractNumId w:val="21"/>
  </w:num>
  <w:num w:numId="10" w16cid:durableId="624694774">
    <w:abstractNumId w:val="16"/>
  </w:num>
  <w:num w:numId="11" w16cid:durableId="136802955">
    <w:abstractNumId w:val="12"/>
  </w:num>
  <w:num w:numId="12" w16cid:durableId="369300681">
    <w:abstractNumId w:val="11"/>
  </w:num>
  <w:num w:numId="13" w16cid:durableId="481429402">
    <w:abstractNumId w:val="0"/>
  </w:num>
  <w:num w:numId="14" w16cid:durableId="1002583658">
    <w:abstractNumId w:val="10"/>
  </w:num>
  <w:num w:numId="15" w16cid:durableId="1473865573">
    <w:abstractNumId w:val="8"/>
  </w:num>
  <w:num w:numId="16" w16cid:durableId="1175731755">
    <w:abstractNumId w:val="7"/>
  </w:num>
  <w:num w:numId="17" w16cid:durableId="1176067441">
    <w:abstractNumId w:val="6"/>
  </w:num>
  <w:num w:numId="18" w16cid:durableId="2003897555">
    <w:abstractNumId w:val="5"/>
  </w:num>
  <w:num w:numId="19" w16cid:durableId="1398165626">
    <w:abstractNumId w:val="9"/>
  </w:num>
  <w:num w:numId="20" w16cid:durableId="1836723090">
    <w:abstractNumId w:val="4"/>
  </w:num>
  <w:num w:numId="21" w16cid:durableId="76447277">
    <w:abstractNumId w:val="3"/>
  </w:num>
  <w:num w:numId="22" w16cid:durableId="993607329">
    <w:abstractNumId w:val="2"/>
  </w:num>
  <w:num w:numId="23" w16cid:durableId="1242183231">
    <w:abstractNumId w:val="1"/>
  </w:num>
  <w:num w:numId="24" w16cid:durableId="1115754944">
    <w:abstractNumId w:val="18"/>
  </w:num>
  <w:num w:numId="25" w16cid:durableId="462382054">
    <w:abstractNumId w:val="20"/>
  </w:num>
  <w:num w:numId="26" w16cid:durableId="755595941">
    <w:abstractNumId w:val="20"/>
  </w:num>
  <w:num w:numId="27" w16cid:durableId="171376807">
    <w:abstractNumId w:val="19"/>
  </w:num>
  <w:num w:numId="28" w16cid:durableId="416905826">
    <w:abstractNumId w:val="20"/>
    <w:lvlOverride w:ilvl="0">
      <w:startOverride w:val="7"/>
    </w:lvlOverride>
  </w:num>
  <w:num w:numId="29" w16cid:durableId="1589733606">
    <w:abstractNumId w:val="20"/>
    <w:lvlOverride w:ilvl="0">
      <w:startOverride w:val="8"/>
    </w:lvlOverride>
  </w:num>
  <w:num w:numId="30" w16cid:durableId="465584654">
    <w:abstractNumId w:val="14"/>
  </w:num>
  <w:num w:numId="31" w16cid:durableId="1026060241">
    <w:abstractNumId w:val="20"/>
  </w:num>
  <w:num w:numId="32" w16cid:durableId="1003894770">
    <w:abstractNumId w:val="20"/>
  </w:num>
  <w:num w:numId="33" w16cid:durableId="2034375825">
    <w:abstractNumId w:val="17"/>
  </w:num>
  <w:num w:numId="34" w16cid:durableId="1923030672">
    <w:abstractNumId w:val="20"/>
  </w:num>
  <w:num w:numId="35" w16cid:durableId="12206261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4A48"/>
    <w:rsid w:val="000443B8"/>
    <w:rsid w:val="00045C77"/>
    <w:rsid w:val="00046D53"/>
    <w:rsid w:val="0004781E"/>
    <w:rsid w:val="000803BF"/>
    <w:rsid w:val="0008758A"/>
    <w:rsid w:val="000939A7"/>
    <w:rsid w:val="000A44C0"/>
    <w:rsid w:val="000C06B8"/>
    <w:rsid w:val="000C1E68"/>
    <w:rsid w:val="000D31F4"/>
    <w:rsid w:val="000E75ED"/>
    <w:rsid w:val="00114B80"/>
    <w:rsid w:val="00115C79"/>
    <w:rsid w:val="00116307"/>
    <w:rsid w:val="001275AF"/>
    <w:rsid w:val="001344C4"/>
    <w:rsid w:val="00183635"/>
    <w:rsid w:val="00193B66"/>
    <w:rsid w:val="001A2EFD"/>
    <w:rsid w:val="001A3B3D"/>
    <w:rsid w:val="001B67DC"/>
    <w:rsid w:val="001C34EE"/>
    <w:rsid w:val="001E031F"/>
    <w:rsid w:val="001F31F5"/>
    <w:rsid w:val="0020380F"/>
    <w:rsid w:val="00205025"/>
    <w:rsid w:val="002254A9"/>
    <w:rsid w:val="00233D97"/>
    <w:rsid w:val="002347A2"/>
    <w:rsid w:val="00240E26"/>
    <w:rsid w:val="00247975"/>
    <w:rsid w:val="0027749A"/>
    <w:rsid w:val="00277C6F"/>
    <w:rsid w:val="002850E3"/>
    <w:rsid w:val="00287784"/>
    <w:rsid w:val="002A5C2B"/>
    <w:rsid w:val="00303615"/>
    <w:rsid w:val="003120C2"/>
    <w:rsid w:val="00333356"/>
    <w:rsid w:val="003510D7"/>
    <w:rsid w:val="00354FCF"/>
    <w:rsid w:val="003579C0"/>
    <w:rsid w:val="003A19E2"/>
    <w:rsid w:val="003B2B40"/>
    <w:rsid w:val="003B4E04"/>
    <w:rsid w:val="003D2F59"/>
    <w:rsid w:val="003F5A08"/>
    <w:rsid w:val="00420716"/>
    <w:rsid w:val="004325FB"/>
    <w:rsid w:val="004432BA"/>
    <w:rsid w:val="0044407E"/>
    <w:rsid w:val="00447BB9"/>
    <w:rsid w:val="0045079E"/>
    <w:rsid w:val="0046031D"/>
    <w:rsid w:val="00473AC9"/>
    <w:rsid w:val="004B0305"/>
    <w:rsid w:val="004D72B5"/>
    <w:rsid w:val="004E2065"/>
    <w:rsid w:val="004F19FD"/>
    <w:rsid w:val="005037F9"/>
    <w:rsid w:val="00504B6C"/>
    <w:rsid w:val="00510FAF"/>
    <w:rsid w:val="005171C0"/>
    <w:rsid w:val="005237B3"/>
    <w:rsid w:val="005313D8"/>
    <w:rsid w:val="00550129"/>
    <w:rsid w:val="00551B7F"/>
    <w:rsid w:val="0056610F"/>
    <w:rsid w:val="00573B79"/>
    <w:rsid w:val="00575BCA"/>
    <w:rsid w:val="0059175E"/>
    <w:rsid w:val="005A1D0D"/>
    <w:rsid w:val="005A2F88"/>
    <w:rsid w:val="005B0344"/>
    <w:rsid w:val="005B0F45"/>
    <w:rsid w:val="005B12A8"/>
    <w:rsid w:val="005B520E"/>
    <w:rsid w:val="005C0708"/>
    <w:rsid w:val="005D7764"/>
    <w:rsid w:val="005E2800"/>
    <w:rsid w:val="005E37E4"/>
    <w:rsid w:val="00602474"/>
    <w:rsid w:val="00605825"/>
    <w:rsid w:val="006323F5"/>
    <w:rsid w:val="00632FFC"/>
    <w:rsid w:val="00633D9F"/>
    <w:rsid w:val="0064301B"/>
    <w:rsid w:val="006434C3"/>
    <w:rsid w:val="00643993"/>
    <w:rsid w:val="00645D22"/>
    <w:rsid w:val="00651A08"/>
    <w:rsid w:val="00654204"/>
    <w:rsid w:val="00670434"/>
    <w:rsid w:val="006977D5"/>
    <w:rsid w:val="006B002A"/>
    <w:rsid w:val="006B6B66"/>
    <w:rsid w:val="006D05DF"/>
    <w:rsid w:val="006D56D7"/>
    <w:rsid w:val="006D68C1"/>
    <w:rsid w:val="006F6D3D"/>
    <w:rsid w:val="00715BEA"/>
    <w:rsid w:val="00735B67"/>
    <w:rsid w:val="00740EEA"/>
    <w:rsid w:val="007436A5"/>
    <w:rsid w:val="00751DC3"/>
    <w:rsid w:val="00752682"/>
    <w:rsid w:val="00794804"/>
    <w:rsid w:val="007B33F1"/>
    <w:rsid w:val="007B6DDA"/>
    <w:rsid w:val="007C0308"/>
    <w:rsid w:val="007C2FF2"/>
    <w:rsid w:val="007D6232"/>
    <w:rsid w:val="007F1F99"/>
    <w:rsid w:val="007F768F"/>
    <w:rsid w:val="0080791D"/>
    <w:rsid w:val="00816336"/>
    <w:rsid w:val="00825760"/>
    <w:rsid w:val="00836367"/>
    <w:rsid w:val="0084785C"/>
    <w:rsid w:val="00873603"/>
    <w:rsid w:val="00875491"/>
    <w:rsid w:val="008833AD"/>
    <w:rsid w:val="008A2C7D"/>
    <w:rsid w:val="008B6524"/>
    <w:rsid w:val="008C2D85"/>
    <w:rsid w:val="008C4B23"/>
    <w:rsid w:val="008D45B6"/>
    <w:rsid w:val="008D4A89"/>
    <w:rsid w:val="008F6E2C"/>
    <w:rsid w:val="008F7214"/>
    <w:rsid w:val="009156E9"/>
    <w:rsid w:val="009303D9"/>
    <w:rsid w:val="00933C64"/>
    <w:rsid w:val="00946E5F"/>
    <w:rsid w:val="0095738A"/>
    <w:rsid w:val="00972203"/>
    <w:rsid w:val="00973203"/>
    <w:rsid w:val="009A3361"/>
    <w:rsid w:val="009B39CE"/>
    <w:rsid w:val="009C596F"/>
    <w:rsid w:val="009D1C8A"/>
    <w:rsid w:val="009D3694"/>
    <w:rsid w:val="009F1D79"/>
    <w:rsid w:val="00A03DFC"/>
    <w:rsid w:val="00A059B3"/>
    <w:rsid w:val="00A727CC"/>
    <w:rsid w:val="00A80E43"/>
    <w:rsid w:val="00A91758"/>
    <w:rsid w:val="00A948E8"/>
    <w:rsid w:val="00AA6981"/>
    <w:rsid w:val="00AA74F4"/>
    <w:rsid w:val="00AE2261"/>
    <w:rsid w:val="00AE3409"/>
    <w:rsid w:val="00B02E4E"/>
    <w:rsid w:val="00B11A60"/>
    <w:rsid w:val="00B20EFD"/>
    <w:rsid w:val="00B22613"/>
    <w:rsid w:val="00B44A76"/>
    <w:rsid w:val="00B678FD"/>
    <w:rsid w:val="00B70370"/>
    <w:rsid w:val="00B73485"/>
    <w:rsid w:val="00B768D1"/>
    <w:rsid w:val="00BA1025"/>
    <w:rsid w:val="00BB0768"/>
    <w:rsid w:val="00BB49F6"/>
    <w:rsid w:val="00BC3420"/>
    <w:rsid w:val="00BD670B"/>
    <w:rsid w:val="00BE0460"/>
    <w:rsid w:val="00BE7D3C"/>
    <w:rsid w:val="00BF5FF6"/>
    <w:rsid w:val="00BF7714"/>
    <w:rsid w:val="00C0207F"/>
    <w:rsid w:val="00C16117"/>
    <w:rsid w:val="00C3075A"/>
    <w:rsid w:val="00C366D0"/>
    <w:rsid w:val="00C70BDC"/>
    <w:rsid w:val="00C81558"/>
    <w:rsid w:val="00C8179D"/>
    <w:rsid w:val="00C90B4A"/>
    <w:rsid w:val="00C919A4"/>
    <w:rsid w:val="00CA4392"/>
    <w:rsid w:val="00CC393F"/>
    <w:rsid w:val="00CC6504"/>
    <w:rsid w:val="00D2176E"/>
    <w:rsid w:val="00D35059"/>
    <w:rsid w:val="00D4541D"/>
    <w:rsid w:val="00D5287E"/>
    <w:rsid w:val="00D53032"/>
    <w:rsid w:val="00D61461"/>
    <w:rsid w:val="00D632BE"/>
    <w:rsid w:val="00D72D06"/>
    <w:rsid w:val="00D7522C"/>
    <w:rsid w:val="00D7536F"/>
    <w:rsid w:val="00D75548"/>
    <w:rsid w:val="00D76668"/>
    <w:rsid w:val="00D90759"/>
    <w:rsid w:val="00DC35AA"/>
    <w:rsid w:val="00DE40B2"/>
    <w:rsid w:val="00DE7D59"/>
    <w:rsid w:val="00E07383"/>
    <w:rsid w:val="00E165BC"/>
    <w:rsid w:val="00E30B7A"/>
    <w:rsid w:val="00E60C11"/>
    <w:rsid w:val="00E61E12"/>
    <w:rsid w:val="00E66B33"/>
    <w:rsid w:val="00E7596C"/>
    <w:rsid w:val="00E809F1"/>
    <w:rsid w:val="00E878F2"/>
    <w:rsid w:val="00E90A30"/>
    <w:rsid w:val="00ED0149"/>
    <w:rsid w:val="00EF7DE3"/>
    <w:rsid w:val="00F03103"/>
    <w:rsid w:val="00F16EC6"/>
    <w:rsid w:val="00F271DE"/>
    <w:rsid w:val="00F31A92"/>
    <w:rsid w:val="00F371AF"/>
    <w:rsid w:val="00F47933"/>
    <w:rsid w:val="00F545AC"/>
    <w:rsid w:val="00F627DA"/>
    <w:rsid w:val="00F7288F"/>
    <w:rsid w:val="00F731F3"/>
    <w:rsid w:val="00F847A6"/>
    <w:rsid w:val="00F93E7E"/>
    <w:rsid w:val="00F9441B"/>
    <w:rsid w:val="00F96F9F"/>
    <w:rsid w:val="00FA4C32"/>
    <w:rsid w:val="00FC3FE0"/>
    <w:rsid w:val="00FC6DC4"/>
    <w:rsid w:val="00FE314E"/>
    <w:rsid w:val="00FE7114"/>
    <w:rsid w:val="00FF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D6B92B"/>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0E43"/>
    <w:pPr>
      <w:jc w:val="center"/>
    </w:pPr>
  </w:style>
  <w:style w:type="paragraph" w:styleId="Titlu1">
    <w:name w:val="heading 1"/>
    <w:basedOn w:val="Normal"/>
    <w:next w:val="Normal"/>
    <w:link w:val="Titlu1Caracter"/>
    <w:qFormat/>
    <w:rsid w:val="006B6B66"/>
    <w:pPr>
      <w:keepNext/>
      <w:keepLines/>
      <w:numPr>
        <w:numId w:val="4"/>
      </w:numPr>
      <w:tabs>
        <w:tab w:val="left" w:pos="216"/>
      </w:tabs>
      <w:spacing w:before="160" w:after="80"/>
      <w:outlineLvl w:val="0"/>
    </w:pPr>
    <w:rPr>
      <w:smallCaps/>
      <w:noProof/>
    </w:rPr>
  </w:style>
  <w:style w:type="paragraph" w:styleId="Titlu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lu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itlu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lu5">
    <w:name w:val="heading 5"/>
    <w:basedOn w:val="Normal"/>
    <w:next w:val="Normal"/>
    <w:qFormat/>
    <w:pPr>
      <w:tabs>
        <w:tab w:val="left" w:pos="360"/>
      </w:tabs>
      <w:spacing w:before="160" w:after="80"/>
      <w:outlineLvl w:val="4"/>
    </w:pPr>
    <w:rPr>
      <w:smallCaps/>
      <w:noProo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text">
    <w:name w:val="Body Text"/>
    <w:basedOn w:val="Normal"/>
    <w:link w:val="CorptextCaracter"/>
    <w:rsid w:val="00E7596C"/>
    <w:pPr>
      <w:tabs>
        <w:tab w:val="left" w:pos="288"/>
      </w:tabs>
      <w:spacing w:after="120" w:line="228" w:lineRule="auto"/>
      <w:ind w:firstLine="288"/>
      <w:jc w:val="both"/>
    </w:pPr>
    <w:rPr>
      <w:spacing w:val="-1"/>
      <w:lang w:val="x-none" w:eastAsia="x-none"/>
    </w:rPr>
  </w:style>
  <w:style w:type="character" w:customStyle="1" w:styleId="CorptextCaracter">
    <w:name w:val="Corp text Caracter"/>
    <w:link w:val="Corptext"/>
    <w:rsid w:val="00E7596C"/>
    <w:rPr>
      <w:spacing w:val="-1"/>
      <w:lang w:val="x-none" w:eastAsia="x-none"/>
    </w:rPr>
  </w:style>
  <w:style w:type="paragraph" w:customStyle="1" w:styleId="bulletlist">
    <w:name w:val="bullet list"/>
    <w:basedOn w:val="Corptext"/>
    <w:rsid w:val="00816336"/>
    <w:pPr>
      <w:numPr>
        <w:numId w:val="1"/>
      </w:numPr>
      <w:tabs>
        <w:tab w:val="clear" w:pos="288"/>
        <w:tab w:val="clear" w:pos="648"/>
        <w:tab w:val="left" w:pos="284"/>
      </w:tabs>
      <w:ind w:left="284" w:hanging="284"/>
    </w:pPr>
  </w:style>
  <w:style w:type="paragraph" w:customStyle="1" w:styleId="equation">
    <w:name w:val="equation"/>
    <w:basedOn w:val="Equation0"/>
    <w:rsid w:val="00752682"/>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ntet">
    <w:name w:val="header"/>
    <w:basedOn w:val="Normal"/>
    <w:link w:val="AntetCaracter"/>
    <w:uiPriority w:val="99"/>
    <w:rsid w:val="001A3B3D"/>
    <w:pPr>
      <w:tabs>
        <w:tab w:val="center" w:pos="4680"/>
        <w:tab w:val="right" w:pos="9360"/>
      </w:tabs>
    </w:pPr>
  </w:style>
  <w:style w:type="character" w:customStyle="1" w:styleId="AntetCaracter">
    <w:name w:val="Antet Caracter"/>
    <w:basedOn w:val="Fontdeparagrafimplicit"/>
    <w:link w:val="Antet"/>
    <w:uiPriority w:val="99"/>
    <w:rsid w:val="001A3B3D"/>
  </w:style>
  <w:style w:type="paragraph" w:styleId="Subsol">
    <w:name w:val="footer"/>
    <w:basedOn w:val="Normal"/>
    <w:link w:val="SubsolCaracter"/>
    <w:uiPriority w:val="99"/>
    <w:rsid w:val="001A3B3D"/>
    <w:pPr>
      <w:tabs>
        <w:tab w:val="center" w:pos="4680"/>
        <w:tab w:val="right" w:pos="9360"/>
      </w:tabs>
    </w:pPr>
  </w:style>
  <w:style w:type="character" w:customStyle="1" w:styleId="SubsolCaracter">
    <w:name w:val="Subsol Caracter"/>
    <w:basedOn w:val="Fontdeparagrafimplicit"/>
    <w:link w:val="Subsol"/>
    <w:uiPriority w:val="99"/>
    <w:rsid w:val="001A3B3D"/>
  </w:style>
  <w:style w:type="paragraph" w:styleId="Titlu">
    <w:name w:val="Title"/>
    <w:basedOn w:val="papertitle"/>
    <w:next w:val="Normal"/>
    <w:link w:val="TitluCaracter"/>
    <w:qFormat/>
    <w:rsid w:val="00BF7714"/>
    <w:pPr>
      <w:spacing w:before="100" w:beforeAutospacing="1" w:after="100" w:afterAutospacing="1"/>
    </w:pPr>
    <w:rPr>
      <w:kern w:val="48"/>
    </w:rPr>
  </w:style>
  <w:style w:type="character" w:customStyle="1" w:styleId="TitluCaracter">
    <w:name w:val="Titlu Caracter"/>
    <w:basedOn w:val="Fontdeparagrafimplicit"/>
    <w:link w:val="Titlu"/>
    <w:rsid w:val="00BF7714"/>
    <w:rPr>
      <w:rFonts w:eastAsia="MS Mincho"/>
      <w:noProof/>
      <w:kern w:val="48"/>
      <w:sz w:val="48"/>
      <w:szCs w:val="48"/>
    </w:rPr>
  </w:style>
  <w:style w:type="paragraph" w:styleId="Subtitlu">
    <w:name w:val="Subtitle"/>
    <w:basedOn w:val="Author"/>
    <w:next w:val="Normal"/>
    <w:link w:val="SubtitluCaracter"/>
    <w:qFormat/>
    <w:rsid w:val="00BF7714"/>
    <w:pPr>
      <w:spacing w:before="100" w:beforeAutospacing="1" w:after="100" w:afterAutospacing="1"/>
    </w:pPr>
    <w:rPr>
      <w:sz w:val="16"/>
      <w:szCs w:val="16"/>
    </w:rPr>
  </w:style>
  <w:style w:type="character" w:customStyle="1" w:styleId="SubtitluCaracter">
    <w:name w:val="Subtitlu Caracter"/>
    <w:basedOn w:val="Fontdeparagrafimplicit"/>
    <w:link w:val="Subtitlu"/>
    <w:rsid w:val="00BF7714"/>
    <w:rPr>
      <w:noProof/>
      <w:sz w:val="16"/>
      <w:szCs w:val="16"/>
    </w:rPr>
  </w:style>
  <w:style w:type="paragraph" w:customStyle="1" w:styleId="equationnumber">
    <w:name w:val="equation (number)"/>
    <w:next w:val="Normal"/>
    <w:uiPriority w:val="99"/>
    <w:qFormat/>
    <w:rsid w:val="00752682"/>
    <w:pPr>
      <w:tabs>
        <w:tab w:val="right" w:pos="4820"/>
      </w:tabs>
      <w:spacing w:before="60" w:after="60" w:line="240" w:lineRule="atLeast"/>
      <w:ind w:right="17"/>
      <w:jc w:val="right"/>
    </w:pPr>
    <w:rPr>
      <w:rFonts w:eastAsia="Times New Roman"/>
      <w:szCs w:val="22"/>
      <w:lang w:val="en-GB" w:eastAsia="de-DE"/>
    </w:rPr>
  </w:style>
  <w:style w:type="character" w:customStyle="1" w:styleId="EquationZchn">
    <w:name w:val="Equation Zchn"/>
    <w:link w:val="Equation0"/>
    <w:qFormat/>
    <w:locked/>
    <w:rsid w:val="00752682"/>
    <w:rPr>
      <w:bCs/>
      <w:color w:val="000000"/>
      <w:szCs w:val="18"/>
      <w:lang w:val="de-DE"/>
    </w:rPr>
  </w:style>
  <w:style w:type="paragraph" w:customStyle="1" w:styleId="Equation0">
    <w:name w:val="Equation"/>
    <w:basedOn w:val="Legend"/>
    <w:link w:val="EquationZchn"/>
    <w:rsid w:val="00752682"/>
    <w:pPr>
      <w:tabs>
        <w:tab w:val="right" w:pos="9639"/>
      </w:tabs>
      <w:spacing w:before="60" w:after="60"/>
    </w:pPr>
    <w:rPr>
      <w:bCs/>
      <w:i w:val="0"/>
      <w:iCs w:val="0"/>
      <w:color w:val="000000"/>
      <w:sz w:val="20"/>
      <w:lang w:val="de-DE"/>
    </w:rPr>
  </w:style>
  <w:style w:type="paragraph" w:styleId="Legend">
    <w:name w:val="caption"/>
    <w:basedOn w:val="Normal"/>
    <w:next w:val="Normal"/>
    <w:semiHidden/>
    <w:unhideWhenUsed/>
    <w:qFormat/>
    <w:rsid w:val="008D4A89"/>
    <w:pPr>
      <w:spacing w:after="200"/>
    </w:pPr>
    <w:rPr>
      <w:i/>
      <w:iCs/>
      <w:color w:val="44546A" w:themeColor="text2"/>
      <w:sz w:val="18"/>
      <w:szCs w:val="18"/>
    </w:rPr>
  </w:style>
  <w:style w:type="character" w:styleId="Referincomentariu">
    <w:name w:val="annotation reference"/>
    <w:basedOn w:val="Fontdeparagrafimplicit"/>
    <w:rsid w:val="00E809F1"/>
    <w:rPr>
      <w:sz w:val="16"/>
      <w:szCs w:val="16"/>
    </w:rPr>
  </w:style>
  <w:style w:type="paragraph" w:styleId="Textcomentariu">
    <w:name w:val="annotation text"/>
    <w:basedOn w:val="Normal"/>
    <w:link w:val="TextcomentariuCaracter"/>
    <w:rsid w:val="00E809F1"/>
  </w:style>
  <w:style w:type="character" w:customStyle="1" w:styleId="TextcomentariuCaracter">
    <w:name w:val="Text comentariu Caracter"/>
    <w:basedOn w:val="Fontdeparagrafimplicit"/>
    <w:link w:val="Textcomentariu"/>
    <w:rsid w:val="00E809F1"/>
  </w:style>
  <w:style w:type="paragraph" w:styleId="SubiectComentariu">
    <w:name w:val="annotation subject"/>
    <w:basedOn w:val="Textcomentariu"/>
    <w:next w:val="Textcomentariu"/>
    <w:link w:val="SubiectComentariuCaracter"/>
    <w:semiHidden/>
    <w:unhideWhenUsed/>
    <w:rsid w:val="00E809F1"/>
    <w:rPr>
      <w:b/>
      <w:bCs/>
    </w:rPr>
  </w:style>
  <w:style w:type="character" w:customStyle="1" w:styleId="SubiectComentariuCaracter">
    <w:name w:val="Subiect Comentariu Caracter"/>
    <w:basedOn w:val="TextcomentariuCaracter"/>
    <w:link w:val="SubiectComentariu"/>
    <w:semiHidden/>
    <w:rsid w:val="00E809F1"/>
    <w:rPr>
      <w:b/>
      <w:bCs/>
    </w:rPr>
  </w:style>
  <w:style w:type="paragraph" w:customStyle="1" w:styleId="normaltext">
    <w:name w:val="normal text"/>
    <w:rsid w:val="00E60C11"/>
    <w:pPr>
      <w:suppressAutoHyphens/>
      <w:spacing w:before="120"/>
      <w:ind w:firstLine="567"/>
      <w:jc w:val="both"/>
    </w:pPr>
    <w:rPr>
      <w:rFonts w:eastAsia="Times New Roman"/>
      <w:sz w:val="24"/>
      <w:lang w:eastAsia="zh-CN"/>
    </w:rPr>
  </w:style>
  <w:style w:type="character" w:customStyle="1" w:styleId="Titlu1Caracter">
    <w:name w:val="Titlu 1 Caracter"/>
    <w:basedOn w:val="Fontdeparagrafimplicit"/>
    <w:link w:val="Titlu1"/>
    <w:rsid w:val="00277C6F"/>
    <w:rPr>
      <w:smallCaps/>
      <w:noProof/>
    </w:rPr>
  </w:style>
  <w:style w:type="character" w:styleId="Robust">
    <w:name w:val="Strong"/>
    <w:basedOn w:val="Fontdeparagrafimplicit"/>
    <w:uiPriority w:val="22"/>
    <w:qFormat/>
    <w:rsid w:val="0059175E"/>
    <w:rPr>
      <w:b/>
      <w:bCs/>
    </w:rPr>
  </w:style>
  <w:style w:type="paragraph" w:styleId="NormalWeb">
    <w:name w:val="Normal (Web)"/>
    <w:basedOn w:val="Normal"/>
    <w:uiPriority w:val="99"/>
    <w:unhideWhenUsed/>
    <w:rsid w:val="00D75548"/>
    <w:pPr>
      <w:spacing w:before="100" w:beforeAutospacing="1" w:after="100" w:afterAutospacing="1"/>
      <w:jc w:val="left"/>
    </w:pPr>
    <w:rPr>
      <w:rFonts w:eastAsia="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78140">
      <w:bodyDiv w:val="1"/>
      <w:marLeft w:val="0"/>
      <w:marRight w:val="0"/>
      <w:marTop w:val="0"/>
      <w:marBottom w:val="0"/>
      <w:divBdr>
        <w:top w:val="none" w:sz="0" w:space="0" w:color="auto"/>
        <w:left w:val="none" w:sz="0" w:space="0" w:color="auto"/>
        <w:bottom w:val="none" w:sz="0" w:space="0" w:color="auto"/>
        <w:right w:val="none" w:sz="0" w:space="0" w:color="auto"/>
      </w:divBdr>
    </w:div>
    <w:div w:id="247732947">
      <w:bodyDiv w:val="1"/>
      <w:marLeft w:val="0"/>
      <w:marRight w:val="0"/>
      <w:marTop w:val="0"/>
      <w:marBottom w:val="0"/>
      <w:divBdr>
        <w:top w:val="none" w:sz="0" w:space="0" w:color="auto"/>
        <w:left w:val="none" w:sz="0" w:space="0" w:color="auto"/>
        <w:bottom w:val="none" w:sz="0" w:space="0" w:color="auto"/>
        <w:right w:val="none" w:sz="0" w:space="0" w:color="auto"/>
      </w:divBdr>
    </w:div>
    <w:div w:id="465006579">
      <w:bodyDiv w:val="1"/>
      <w:marLeft w:val="0"/>
      <w:marRight w:val="0"/>
      <w:marTop w:val="0"/>
      <w:marBottom w:val="0"/>
      <w:divBdr>
        <w:top w:val="none" w:sz="0" w:space="0" w:color="auto"/>
        <w:left w:val="none" w:sz="0" w:space="0" w:color="auto"/>
        <w:bottom w:val="none" w:sz="0" w:space="0" w:color="auto"/>
        <w:right w:val="none" w:sz="0" w:space="0" w:color="auto"/>
      </w:divBdr>
    </w:div>
    <w:div w:id="1243687025">
      <w:bodyDiv w:val="1"/>
      <w:marLeft w:val="0"/>
      <w:marRight w:val="0"/>
      <w:marTop w:val="0"/>
      <w:marBottom w:val="0"/>
      <w:divBdr>
        <w:top w:val="none" w:sz="0" w:space="0" w:color="auto"/>
        <w:left w:val="none" w:sz="0" w:space="0" w:color="auto"/>
        <w:bottom w:val="none" w:sz="0" w:space="0" w:color="auto"/>
        <w:right w:val="none" w:sz="0" w:space="0" w:color="auto"/>
      </w:divBdr>
    </w:div>
    <w:div w:id="1352948134">
      <w:bodyDiv w:val="1"/>
      <w:marLeft w:val="0"/>
      <w:marRight w:val="0"/>
      <w:marTop w:val="0"/>
      <w:marBottom w:val="0"/>
      <w:divBdr>
        <w:top w:val="none" w:sz="0" w:space="0" w:color="auto"/>
        <w:left w:val="none" w:sz="0" w:space="0" w:color="auto"/>
        <w:bottom w:val="none" w:sz="0" w:space="0" w:color="auto"/>
        <w:right w:val="none" w:sz="0" w:space="0" w:color="auto"/>
      </w:divBdr>
    </w:div>
    <w:div w:id="1521042547">
      <w:bodyDiv w:val="1"/>
      <w:marLeft w:val="0"/>
      <w:marRight w:val="0"/>
      <w:marTop w:val="0"/>
      <w:marBottom w:val="0"/>
      <w:divBdr>
        <w:top w:val="none" w:sz="0" w:space="0" w:color="auto"/>
        <w:left w:val="none" w:sz="0" w:space="0" w:color="auto"/>
        <w:bottom w:val="none" w:sz="0" w:space="0" w:color="auto"/>
        <w:right w:val="none" w:sz="0" w:space="0" w:color="auto"/>
      </w:divBdr>
    </w:div>
    <w:div w:id="1526863689">
      <w:bodyDiv w:val="1"/>
      <w:marLeft w:val="0"/>
      <w:marRight w:val="0"/>
      <w:marTop w:val="0"/>
      <w:marBottom w:val="0"/>
      <w:divBdr>
        <w:top w:val="none" w:sz="0" w:space="0" w:color="auto"/>
        <w:left w:val="none" w:sz="0" w:space="0" w:color="auto"/>
        <w:bottom w:val="none" w:sz="0" w:space="0" w:color="auto"/>
        <w:right w:val="none" w:sz="0" w:space="0" w:color="auto"/>
      </w:divBdr>
    </w:div>
    <w:div w:id="1681856205">
      <w:bodyDiv w:val="1"/>
      <w:marLeft w:val="0"/>
      <w:marRight w:val="0"/>
      <w:marTop w:val="0"/>
      <w:marBottom w:val="0"/>
      <w:divBdr>
        <w:top w:val="none" w:sz="0" w:space="0" w:color="auto"/>
        <w:left w:val="none" w:sz="0" w:space="0" w:color="auto"/>
        <w:bottom w:val="none" w:sz="0" w:space="0" w:color="auto"/>
        <w:right w:val="none" w:sz="0" w:space="0" w:color="auto"/>
      </w:divBdr>
    </w:div>
    <w:div w:id="18514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CF752-9009-47E1-B4EB-5B49AB1EE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2430</Words>
  <Characters>14099</Characters>
  <Application>Microsoft Office Word</Application>
  <DocSecurity>0</DocSecurity>
  <Lines>117</Lines>
  <Paragraphs>32</Paragraphs>
  <ScaleCrop>false</ScaleCrop>
  <HeadingPairs>
    <vt:vector size="6" baseType="variant">
      <vt:variant>
        <vt:lpstr>Titlu</vt:lpstr>
      </vt:variant>
      <vt:variant>
        <vt:i4>1</vt:i4>
      </vt:variant>
      <vt:variant>
        <vt:lpstr>Title</vt:lpstr>
      </vt:variant>
      <vt:variant>
        <vt:i4>1</vt:i4>
      </vt:variant>
      <vt:variant>
        <vt:lpstr>Titel</vt:lpstr>
      </vt:variant>
      <vt:variant>
        <vt:i4>1</vt:i4>
      </vt:variant>
    </vt:vector>
  </HeadingPairs>
  <TitlesOfParts>
    <vt:vector size="3" baseType="lpstr">
      <vt:lpstr>Paper Title (use style: paper title)</vt:lpstr>
      <vt:lpstr>Paper Title (use style: paper title)</vt:lpstr>
      <vt:lpstr>Paper Title (use style: paper title)</vt:lpstr>
    </vt:vector>
  </TitlesOfParts>
  <Company>IEEE</Company>
  <LinksUpToDate>false</LinksUpToDate>
  <CharactersWithSpaces>16497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SIITME;2021</cp:keywords>
  <cp:lastModifiedBy>Domnica Alpetri</cp:lastModifiedBy>
  <cp:revision>24</cp:revision>
  <cp:lastPrinted>2022-11-21T18:00:00Z</cp:lastPrinted>
  <dcterms:created xsi:type="dcterms:W3CDTF">2023-04-03T09:44:00Z</dcterms:created>
  <dcterms:modified xsi:type="dcterms:W3CDTF">2023-04-03T13:33:00Z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e84705748a800384012d1de18b8f10658d4366f22adff887c7c8e5a86c01867d</vt:lpwstr>
  </property>
</Properties>
</file>