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7E9728" w14:textId="06CD5959" w:rsidR="00F43027" w:rsidRPr="00F43027" w:rsidRDefault="00F43027" w:rsidP="00F43027">
      <w:pPr>
        <w:jc w:val="center"/>
        <w:rPr>
          <w:rFonts w:cstheme="minorHAnsi"/>
          <w:b/>
          <w:sz w:val="22"/>
          <w:szCs w:val="22"/>
        </w:rPr>
      </w:pPr>
      <w:r w:rsidRPr="00F43027">
        <w:rPr>
          <w:rFonts w:cstheme="minorHAnsi"/>
          <w:b/>
          <w:sz w:val="22"/>
          <w:szCs w:val="22"/>
        </w:rPr>
        <w:t xml:space="preserve">Transportation Behavior and Energy use Across Settlement and Population Groups </w:t>
      </w:r>
      <w:r w:rsidRPr="00CE3194">
        <w:rPr>
          <w:rFonts w:cstheme="minorHAnsi"/>
          <w:b/>
          <w:sz w:val="22"/>
          <w:szCs w:val="22"/>
        </w:rPr>
        <w:br/>
      </w:r>
      <w:r w:rsidRPr="00F43027">
        <w:rPr>
          <w:rFonts w:cstheme="minorHAnsi"/>
          <w:b/>
          <w:sz w:val="22"/>
          <w:szCs w:val="22"/>
        </w:rPr>
        <w:t>– a Typology</w:t>
      </w:r>
      <w:r w:rsidR="00CE3194">
        <w:rPr>
          <w:rFonts w:cstheme="minorHAnsi"/>
          <w:b/>
          <w:sz w:val="22"/>
          <w:szCs w:val="22"/>
        </w:rPr>
        <w:t xml:space="preserve"> (Draft for internal use)</w:t>
      </w:r>
    </w:p>
    <w:p w14:paraId="0C79A7C3" w14:textId="77777777" w:rsidR="00F43027" w:rsidRPr="00F43027" w:rsidRDefault="00F43027" w:rsidP="00F43027">
      <w:pPr>
        <w:rPr>
          <w:rFonts w:cstheme="minorHAnsi"/>
          <w:b/>
          <w:sz w:val="22"/>
          <w:szCs w:val="22"/>
        </w:rPr>
      </w:pPr>
    </w:p>
    <w:p w14:paraId="3225893B" w14:textId="42D74301" w:rsidR="00F43027" w:rsidRPr="00F43027" w:rsidRDefault="00256AF4" w:rsidP="00F43027">
      <w:pPr>
        <w:jc w:val="right"/>
        <w:rPr>
          <w:rFonts w:cstheme="minorHAnsi"/>
          <w:i/>
          <w:sz w:val="22"/>
          <w:szCs w:val="22"/>
        </w:rPr>
      </w:pPr>
      <w:r>
        <w:rPr>
          <w:rFonts w:cstheme="minorHAnsi"/>
          <w:i/>
          <w:sz w:val="22"/>
          <w:szCs w:val="22"/>
        </w:rPr>
        <w:t xml:space="preserve">PI </w:t>
      </w:r>
      <w:r w:rsidR="00F43027" w:rsidRPr="00F43027">
        <w:rPr>
          <w:rFonts w:cstheme="minorHAnsi"/>
          <w:i/>
          <w:sz w:val="22"/>
          <w:szCs w:val="22"/>
        </w:rPr>
        <w:t>Patricia Romero-</w:t>
      </w:r>
      <w:proofErr w:type="spellStart"/>
      <w:r w:rsidR="00F43027" w:rsidRPr="00F43027">
        <w:rPr>
          <w:rFonts w:cstheme="minorHAnsi"/>
          <w:i/>
          <w:sz w:val="22"/>
          <w:szCs w:val="22"/>
        </w:rPr>
        <w:t>Lankao</w:t>
      </w:r>
      <w:proofErr w:type="spellEnd"/>
      <w:r w:rsidR="00F43027" w:rsidRPr="00F43027">
        <w:rPr>
          <w:rFonts w:cstheme="minorHAnsi"/>
          <w:i/>
          <w:sz w:val="22"/>
          <w:szCs w:val="22"/>
        </w:rPr>
        <w:t xml:space="preserve">  </w:t>
      </w:r>
    </w:p>
    <w:p w14:paraId="650E6869" w14:textId="77777777" w:rsidR="00F43027" w:rsidRPr="00F43027" w:rsidRDefault="00F43027" w:rsidP="00F43027">
      <w:pPr>
        <w:rPr>
          <w:rFonts w:cstheme="minorHAnsi"/>
          <w:b/>
          <w:sz w:val="22"/>
          <w:szCs w:val="22"/>
        </w:rPr>
      </w:pPr>
    </w:p>
    <w:p w14:paraId="74C86506" w14:textId="77777777" w:rsidR="00F43027" w:rsidRPr="00F43027" w:rsidRDefault="00F43027" w:rsidP="00F43027">
      <w:pPr>
        <w:numPr>
          <w:ilvl w:val="0"/>
          <w:numId w:val="7"/>
        </w:numPr>
        <w:rPr>
          <w:rFonts w:cstheme="minorHAnsi"/>
          <w:b/>
          <w:sz w:val="22"/>
          <w:szCs w:val="22"/>
        </w:rPr>
      </w:pPr>
      <w:r w:rsidRPr="00F43027">
        <w:rPr>
          <w:rFonts w:cstheme="minorHAnsi"/>
          <w:b/>
          <w:sz w:val="22"/>
          <w:szCs w:val="22"/>
        </w:rPr>
        <w:t>Rationale and goal</w:t>
      </w:r>
    </w:p>
    <w:p w14:paraId="46D89210" w14:textId="77777777" w:rsidR="00F43027" w:rsidRPr="00F43027" w:rsidRDefault="00F43027" w:rsidP="00F43027">
      <w:pPr>
        <w:rPr>
          <w:rFonts w:cstheme="minorHAnsi"/>
          <w:sz w:val="22"/>
          <w:szCs w:val="22"/>
        </w:rPr>
      </w:pPr>
    </w:p>
    <w:p w14:paraId="7D684574" w14:textId="1C54A33C" w:rsidR="00F43027" w:rsidRPr="00F43027" w:rsidRDefault="00F43027" w:rsidP="00F43027">
      <w:pPr>
        <w:rPr>
          <w:rFonts w:cstheme="minorHAnsi"/>
          <w:sz w:val="22"/>
          <w:szCs w:val="22"/>
        </w:rPr>
      </w:pPr>
      <w:r w:rsidRPr="00F43027">
        <w:rPr>
          <w:rFonts w:cstheme="minorHAnsi"/>
          <w:sz w:val="22"/>
          <w:szCs w:val="22"/>
        </w:rPr>
        <w:t>A solid body of literature has examined energy use and associated emissions in urban areas.</w:t>
      </w:r>
      <w:r w:rsidR="00B6458B">
        <w:rPr>
          <w:rFonts w:cstheme="minorHAnsi"/>
          <w:sz w:val="22"/>
          <w:szCs w:val="22"/>
        </w:rPr>
        <w:fldChar w:fldCharType="begin"/>
      </w:r>
      <w:r w:rsidR="00B6458B">
        <w:rPr>
          <w:rFonts w:cstheme="minorHAnsi"/>
          <w:sz w:val="22"/>
          <w:szCs w:val="22"/>
        </w:rPr>
        <w:instrText xml:space="preserve"> ADDIN ZOTERO_ITEM CSL_CITATION {"citationID":"QVe3lZHd","properties":{"formattedCitation":"\\super 1\\nosupersub{}","plainCitation":"1","noteIndex":0},"citationItems":[{"id":511,"uris":["http://zotero.org/users/901279/items/EZ62ERY5"],"uri":["http://zotero.org/users/901279/items/EZ62ERY5"],"itemData":{"id":511,"type":"article-journal","title":"A conceptual framework for an urban areas typology to integrate climate change mitigation and adaptation","container-title":"Urban Climate","page":"116-137","volume":"14","issue":"1","ISSN":"2212-0955","journalAbbreviation":"Urban Climate","author":[{"family":"Solecki","given":"William"},{"family":"Seto","given":"Karen C"},{"family":"Balk","given":"Deborah"},{"family":"Bigio","given":"Anthony"},{"family":"Boone","given":"Christopher G"},{"family":"Creutzig","given":"Felix"},{"family":"Fragkias","given":"Michail"},{"family":"Lwasa","given":"Shuaib"},{"family":"Marcotullio","given":"Peter"},{"family":"Romero-Lankao","given":"Patricia"}],"issued":{"date-parts":[["2015"]]}}}],"schema":"https://github.com/citation-style-language/schema/raw/master/csl-citation.json"} </w:instrText>
      </w:r>
      <w:r w:rsidR="00B6458B">
        <w:rPr>
          <w:rFonts w:cstheme="minorHAnsi"/>
          <w:sz w:val="22"/>
          <w:szCs w:val="22"/>
        </w:rPr>
        <w:fldChar w:fldCharType="separate"/>
      </w:r>
      <w:r w:rsidR="00B6458B" w:rsidRPr="00B6458B">
        <w:rPr>
          <w:rFonts w:ascii="Calibri" w:cs="Calibri"/>
          <w:sz w:val="22"/>
          <w:vertAlign w:val="superscript"/>
        </w:rPr>
        <w:t>1</w:t>
      </w:r>
      <w:r w:rsidR="00B6458B">
        <w:rPr>
          <w:rFonts w:cstheme="minorHAnsi"/>
          <w:sz w:val="22"/>
          <w:szCs w:val="22"/>
        </w:rPr>
        <w:fldChar w:fldCharType="end"/>
      </w:r>
      <w:r w:rsidR="00B6458B">
        <w:rPr>
          <w:rFonts w:cstheme="minorHAnsi"/>
          <w:sz w:val="22"/>
          <w:szCs w:val="22"/>
        </w:rPr>
        <w:t xml:space="preserve"> </w:t>
      </w:r>
      <w:r w:rsidRPr="00F43027">
        <w:rPr>
          <w:rFonts w:cstheme="minorHAnsi"/>
          <w:sz w:val="22"/>
          <w:szCs w:val="22"/>
        </w:rPr>
        <w:t xml:space="preserve">However, many of the studies are based on one or a handful of case studies and on the use of different inventory approaches (Table 1 Annex). Scholars are faced with lack of consistent and comprehensive data to measure, in particular, the increasing importance of emerging technologies. Here, we suggest a typology to identify clusters of features and drivers of emergent behavior in transportation and associated energy use and emissions across settlement types and socioeconomic status groups. </w:t>
      </w:r>
    </w:p>
    <w:p w14:paraId="243D6496" w14:textId="2AF7729B" w:rsidR="00F43027" w:rsidRDefault="00F43027" w:rsidP="00F43027">
      <w:pPr>
        <w:rPr>
          <w:rFonts w:cstheme="minorHAnsi"/>
          <w:sz w:val="22"/>
          <w:szCs w:val="22"/>
        </w:rPr>
      </w:pPr>
    </w:p>
    <w:p w14:paraId="48D1EA0E" w14:textId="0687F1ED" w:rsidR="00197B20" w:rsidRPr="0097148B" w:rsidRDefault="003C3FCB" w:rsidP="00F43027">
      <w:pPr>
        <w:rPr>
          <w:rFonts w:cstheme="minorHAnsi"/>
          <w:color w:val="4472C4" w:themeColor="accent1"/>
          <w:sz w:val="22"/>
          <w:szCs w:val="22"/>
        </w:rPr>
      </w:pPr>
      <w:r w:rsidRPr="0097148B">
        <w:rPr>
          <w:rFonts w:cstheme="minorHAnsi"/>
          <w:color w:val="4472C4" w:themeColor="accent1"/>
          <w:sz w:val="22"/>
          <w:szCs w:val="22"/>
        </w:rPr>
        <w:t xml:space="preserve">If </w:t>
      </w:r>
      <w:r w:rsidR="0097148B" w:rsidRPr="0097148B">
        <w:rPr>
          <w:rFonts w:cstheme="minorHAnsi"/>
          <w:color w:val="4472C4" w:themeColor="accent1"/>
          <w:sz w:val="22"/>
          <w:szCs w:val="22"/>
        </w:rPr>
        <w:t xml:space="preserve">we are </w:t>
      </w:r>
      <w:r w:rsidR="00197B20" w:rsidRPr="0097148B">
        <w:rPr>
          <w:rFonts w:cstheme="minorHAnsi"/>
          <w:color w:val="4472C4" w:themeColor="accent1"/>
          <w:sz w:val="22"/>
          <w:szCs w:val="22"/>
        </w:rPr>
        <w:t>successful</w:t>
      </w:r>
      <w:r w:rsidRPr="0097148B">
        <w:rPr>
          <w:rFonts w:cstheme="minorHAnsi"/>
          <w:color w:val="4472C4" w:themeColor="accent1"/>
          <w:sz w:val="22"/>
          <w:szCs w:val="22"/>
        </w:rPr>
        <w:t xml:space="preserve"> with</w:t>
      </w:r>
      <w:r w:rsidR="0097148B" w:rsidRPr="0097148B">
        <w:rPr>
          <w:rFonts w:cstheme="minorHAnsi"/>
          <w:color w:val="4472C4" w:themeColor="accent1"/>
          <w:sz w:val="22"/>
          <w:szCs w:val="22"/>
        </w:rPr>
        <w:t xml:space="preserve"> the</w:t>
      </w:r>
      <w:r w:rsidRPr="0097148B">
        <w:rPr>
          <w:rFonts w:cstheme="minorHAnsi"/>
          <w:color w:val="4472C4" w:themeColor="accent1"/>
          <w:sz w:val="22"/>
          <w:szCs w:val="22"/>
        </w:rPr>
        <w:t xml:space="preserve"> typology, </w:t>
      </w:r>
      <w:r w:rsidR="0097148B" w:rsidRPr="0097148B">
        <w:rPr>
          <w:rFonts w:cstheme="minorHAnsi"/>
          <w:color w:val="4472C4" w:themeColor="accent1"/>
          <w:sz w:val="22"/>
          <w:szCs w:val="22"/>
        </w:rPr>
        <w:t xml:space="preserve">we will </w:t>
      </w:r>
      <w:r w:rsidR="00197B20" w:rsidRPr="0097148B">
        <w:rPr>
          <w:rFonts w:cstheme="minorHAnsi"/>
          <w:color w:val="4472C4" w:themeColor="accent1"/>
          <w:sz w:val="22"/>
          <w:szCs w:val="22"/>
        </w:rPr>
        <w:t>identify subunits in urban areas that are consistent across different cities, independent of the difference between the city as whole</w:t>
      </w:r>
      <w:r w:rsidR="001C282F" w:rsidRPr="0097148B">
        <w:rPr>
          <w:rFonts w:cstheme="minorHAnsi"/>
          <w:color w:val="4472C4" w:themeColor="accent1"/>
          <w:sz w:val="22"/>
          <w:szCs w:val="22"/>
        </w:rPr>
        <w:t xml:space="preserve">. </w:t>
      </w:r>
      <w:r w:rsidR="0097148B" w:rsidRPr="0097148B">
        <w:rPr>
          <w:rFonts w:cstheme="minorHAnsi"/>
          <w:color w:val="4472C4" w:themeColor="accent1"/>
          <w:sz w:val="22"/>
          <w:szCs w:val="22"/>
        </w:rPr>
        <w:t xml:space="preserve">Understanding of what happens in the </w:t>
      </w:r>
      <w:r w:rsidR="00197B20" w:rsidRPr="0097148B">
        <w:rPr>
          <w:rFonts w:cstheme="minorHAnsi"/>
          <w:color w:val="4472C4" w:themeColor="accent1"/>
          <w:sz w:val="22"/>
          <w:szCs w:val="22"/>
        </w:rPr>
        <w:t>subunits</w:t>
      </w:r>
      <w:r w:rsidR="0097148B" w:rsidRPr="0097148B">
        <w:rPr>
          <w:rFonts w:cstheme="minorHAnsi"/>
          <w:color w:val="4472C4" w:themeColor="accent1"/>
          <w:sz w:val="22"/>
          <w:szCs w:val="22"/>
        </w:rPr>
        <w:t xml:space="preserve"> can help</w:t>
      </w:r>
      <w:r w:rsidR="00197B20" w:rsidRPr="0097148B">
        <w:rPr>
          <w:rFonts w:cstheme="minorHAnsi"/>
          <w:color w:val="4472C4" w:themeColor="accent1"/>
          <w:sz w:val="22"/>
          <w:szCs w:val="22"/>
        </w:rPr>
        <w:t xml:space="preserve"> inform </w:t>
      </w:r>
      <w:r w:rsidR="0097148B" w:rsidRPr="0097148B">
        <w:rPr>
          <w:rFonts w:cstheme="minorHAnsi"/>
          <w:color w:val="4472C4" w:themeColor="accent1"/>
          <w:sz w:val="22"/>
          <w:szCs w:val="22"/>
        </w:rPr>
        <w:t>difficulties</w:t>
      </w:r>
      <w:r w:rsidR="00197B20" w:rsidRPr="0097148B">
        <w:rPr>
          <w:rFonts w:cstheme="minorHAnsi"/>
          <w:color w:val="4472C4" w:themeColor="accent1"/>
          <w:sz w:val="22"/>
          <w:szCs w:val="22"/>
        </w:rPr>
        <w:t xml:space="preserve"> in the adoption of efficient energy/transportation innovation</w:t>
      </w:r>
      <w:r w:rsidR="0097148B" w:rsidRPr="0097148B">
        <w:rPr>
          <w:rFonts w:cstheme="minorHAnsi"/>
          <w:color w:val="4472C4" w:themeColor="accent1"/>
          <w:sz w:val="22"/>
          <w:szCs w:val="22"/>
        </w:rPr>
        <w:t xml:space="preserve">. For instance, what is our </w:t>
      </w:r>
      <w:r w:rsidR="00197B20" w:rsidRPr="0097148B">
        <w:rPr>
          <w:rFonts w:cstheme="minorHAnsi"/>
          <w:color w:val="4472C4" w:themeColor="accent1"/>
          <w:sz w:val="22"/>
          <w:szCs w:val="22"/>
        </w:rPr>
        <w:t xml:space="preserve">flexibility to adopt technological solutions that could depend on culture, sociodemographic resistance, economic impediments and policy/planning, </w:t>
      </w:r>
      <w:r w:rsidR="0097148B" w:rsidRPr="0097148B">
        <w:rPr>
          <w:rFonts w:cstheme="minorHAnsi"/>
          <w:color w:val="4472C4" w:themeColor="accent1"/>
          <w:sz w:val="22"/>
          <w:szCs w:val="22"/>
        </w:rPr>
        <w:t>or path-dependent</w:t>
      </w:r>
      <w:r w:rsidR="00197B20" w:rsidRPr="0097148B">
        <w:rPr>
          <w:rFonts w:cstheme="minorHAnsi"/>
          <w:color w:val="4472C4" w:themeColor="accent1"/>
          <w:sz w:val="22"/>
          <w:szCs w:val="22"/>
        </w:rPr>
        <w:t xml:space="preserve"> infrastructure. The typology will also inform difficulties in accommodating energy sources that are intermittent, </w:t>
      </w:r>
      <w:r w:rsidR="0097148B" w:rsidRPr="0097148B">
        <w:rPr>
          <w:rFonts w:cstheme="minorHAnsi"/>
          <w:color w:val="4472C4" w:themeColor="accent1"/>
          <w:sz w:val="22"/>
          <w:szCs w:val="22"/>
        </w:rPr>
        <w:t xml:space="preserve">or at risk from weather extremes and cyber-attacks. While </w:t>
      </w:r>
      <w:r w:rsidR="00197B20" w:rsidRPr="0097148B">
        <w:rPr>
          <w:rFonts w:cstheme="minorHAnsi"/>
          <w:color w:val="4472C4" w:themeColor="accent1"/>
          <w:sz w:val="22"/>
          <w:szCs w:val="22"/>
        </w:rPr>
        <w:t xml:space="preserve">NREL </w:t>
      </w:r>
      <w:r w:rsidR="0097148B" w:rsidRPr="0097148B">
        <w:rPr>
          <w:rFonts w:cstheme="minorHAnsi"/>
          <w:color w:val="4472C4" w:themeColor="accent1"/>
          <w:sz w:val="22"/>
          <w:szCs w:val="22"/>
        </w:rPr>
        <w:t>has developed the</w:t>
      </w:r>
      <w:r w:rsidR="00197B20" w:rsidRPr="0097148B">
        <w:rPr>
          <w:rFonts w:cstheme="minorHAnsi"/>
          <w:color w:val="4472C4" w:themeColor="accent1"/>
          <w:sz w:val="22"/>
          <w:szCs w:val="22"/>
        </w:rPr>
        <w:t xml:space="preserve"> technologies </w:t>
      </w:r>
      <w:r w:rsidR="0097148B" w:rsidRPr="0097148B">
        <w:rPr>
          <w:rFonts w:cstheme="minorHAnsi"/>
          <w:color w:val="4472C4" w:themeColor="accent1"/>
          <w:sz w:val="22"/>
          <w:szCs w:val="22"/>
        </w:rPr>
        <w:t xml:space="preserve">that can change our energy systems, </w:t>
      </w:r>
      <w:r w:rsidR="00197B20" w:rsidRPr="0097148B">
        <w:rPr>
          <w:rFonts w:cstheme="minorHAnsi"/>
          <w:color w:val="4472C4" w:themeColor="accent1"/>
          <w:sz w:val="22"/>
          <w:szCs w:val="22"/>
        </w:rPr>
        <w:t xml:space="preserve">we have </w:t>
      </w:r>
      <w:r w:rsidR="0097148B" w:rsidRPr="0097148B">
        <w:rPr>
          <w:rFonts w:cstheme="minorHAnsi"/>
          <w:color w:val="4472C4" w:themeColor="accent1"/>
          <w:sz w:val="22"/>
          <w:szCs w:val="22"/>
        </w:rPr>
        <w:t xml:space="preserve">high levels of heterogeneity in our </w:t>
      </w:r>
      <w:r w:rsidR="00197B20" w:rsidRPr="0097148B">
        <w:rPr>
          <w:rFonts w:cstheme="minorHAnsi"/>
          <w:color w:val="4472C4" w:themeColor="accent1"/>
          <w:sz w:val="22"/>
          <w:szCs w:val="22"/>
        </w:rPr>
        <w:t xml:space="preserve">urban </w:t>
      </w:r>
      <w:r w:rsidR="0097148B" w:rsidRPr="0097148B">
        <w:rPr>
          <w:rFonts w:cstheme="minorHAnsi"/>
          <w:color w:val="4472C4" w:themeColor="accent1"/>
          <w:sz w:val="22"/>
          <w:szCs w:val="22"/>
        </w:rPr>
        <w:t>systems</w:t>
      </w:r>
      <w:r w:rsidR="00197B20" w:rsidRPr="0097148B">
        <w:rPr>
          <w:rFonts w:cstheme="minorHAnsi"/>
          <w:color w:val="4472C4" w:themeColor="accent1"/>
          <w:sz w:val="22"/>
          <w:szCs w:val="22"/>
        </w:rPr>
        <w:t xml:space="preserve">, the question </w:t>
      </w:r>
      <w:r w:rsidR="0097148B" w:rsidRPr="0097148B">
        <w:rPr>
          <w:rFonts w:cstheme="minorHAnsi"/>
          <w:color w:val="4472C4" w:themeColor="accent1"/>
          <w:sz w:val="22"/>
          <w:szCs w:val="22"/>
        </w:rPr>
        <w:t xml:space="preserve">becoming how </w:t>
      </w:r>
      <w:r w:rsidR="00197B20" w:rsidRPr="0097148B">
        <w:rPr>
          <w:rFonts w:cstheme="minorHAnsi"/>
          <w:color w:val="4472C4" w:themeColor="accent1"/>
          <w:sz w:val="22"/>
          <w:szCs w:val="22"/>
        </w:rPr>
        <w:t>to provide tools to project adoption</w:t>
      </w:r>
      <w:r w:rsidR="0097148B" w:rsidRPr="0097148B">
        <w:rPr>
          <w:rFonts w:cstheme="minorHAnsi"/>
          <w:color w:val="4472C4" w:themeColor="accent1"/>
          <w:sz w:val="22"/>
          <w:szCs w:val="22"/>
        </w:rPr>
        <w:t xml:space="preserve"> within and across these systems?</w:t>
      </w:r>
      <w:r w:rsidR="00197B20" w:rsidRPr="0097148B">
        <w:rPr>
          <w:rFonts w:cstheme="minorHAnsi"/>
          <w:color w:val="4472C4" w:themeColor="accent1"/>
          <w:sz w:val="22"/>
          <w:szCs w:val="22"/>
        </w:rPr>
        <w:t xml:space="preserve">  </w:t>
      </w:r>
    </w:p>
    <w:p w14:paraId="19DB9132" w14:textId="77777777" w:rsidR="003C3FCB" w:rsidRPr="00F43027" w:rsidRDefault="003C3FCB" w:rsidP="00F43027">
      <w:pPr>
        <w:rPr>
          <w:rFonts w:cstheme="minorHAnsi"/>
          <w:sz w:val="22"/>
          <w:szCs w:val="22"/>
        </w:rPr>
      </w:pPr>
    </w:p>
    <w:p w14:paraId="62488244" w14:textId="77777777" w:rsidR="00F43027" w:rsidRPr="00F43027" w:rsidRDefault="00F43027" w:rsidP="00F43027">
      <w:pPr>
        <w:numPr>
          <w:ilvl w:val="0"/>
          <w:numId w:val="7"/>
        </w:numPr>
        <w:rPr>
          <w:rFonts w:cstheme="minorHAnsi"/>
          <w:b/>
          <w:sz w:val="22"/>
          <w:szCs w:val="22"/>
        </w:rPr>
      </w:pPr>
      <w:r w:rsidRPr="00F43027">
        <w:rPr>
          <w:rFonts w:cstheme="minorHAnsi"/>
          <w:b/>
          <w:sz w:val="22"/>
          <w:szCs w:val="22"/>
        </w:rPr>
        <w:t xml:space="preserve">Attributes and drivers </w:t>
      </w:r>
    </w:p>
    <w:p w14:paraId="12BA5840" w14:textId="77777777" w:rsidR="00F43027" w:rsidRPr="00F43027" w:rsidRDefault="00F43027" w:rsidP="00F43027">
      <w:pPr>
        <w:rPr>
          <w:rFonts w:cstheme="minorHAnsi"/>
          <w:sz w:val="22"/>
          <w:szCs w:val="22"/>
        </w:rPr>
      </w:pPr>
    </w:p>
    <w:p w14:paraId="43CCB83A" w14:textId="3055CCE3" w:rsidR="001A261B" w:rsidRPr="00F43027" w:rsidRDefault="001A261B" w:rsidP="001A261B">
      <w:pPr>
        <w:rPr>
          <w:rFonts w:cstheme="minorHAnsi"/>
          <w:sz w:val="22"/>
          <w:szCs w:val="22"/>
        </w:rPr>
      </w:pPr>
      <w:r>
        <w:rPr>
          <w:rFonts w:cstheme="minorHAnsi"/>
          <w:sz w:val="22"/>
          <w:szCs w:val="22"/>
        </w:rPr>
        <w:t xml:space="preserve">Spanning from </w:t>
      </w:r>
      <w:r w:rsidRPr="00F43027">
        <w:rPr>
          <w:rFonts w:cstheme="minorHAnsi"/>
          <w:sz w:val="22"/>
          <w:szCs w:val="22"/>
        </w:rPr>
        <w:t>core to rural areas</w:t>
      </w:r>
      <w:r>
        <w:rPr>
          <w:rFonts w:cstheme="minorHAnsi"/>
          <w:sz w:val="22"/>
          <w:szCs w:val="22"/>
        </w:rPr>
        <w:t>, m</w:t>
      </w:r>
      <w:r w:rsidRPr="00F43027">
        <w:rPr>
          <w:rFonts w:cstheme="minorHAnsi"/>
          <w:sz w:val="22"/>
          <w:szCs w:val="22"/>
        </w:rPr>
        <w:t>ultiple and interacting attributes and drivers have been found to explain differences in energy and GHG emissions within and across populations and settlement types.</w:t>
      </w:r>
      <w:r w:rsidR="00B6458B">
        <w:rPr>
          <w:rFonts w:cstheme="minorHAnsi"/>
          <w:sz w:val="22"/>
          <w:szCs w:val="22"/>
        </w:rPr>
        <w:fldChar w:fldCharType="begin"/>
      </w:r>
      <w:r w:rsidR="00B6458B">
        <w:rPr>
          <w:rFonts w:cstheme="minorHAnsi"/>
          <w:sz w:val="22"/>
          <w:szCs w:val="22"/>
        </w:rPr>
        <w:instrText xml:space="preserve"> ADDIN ZOTERO_ITEM CSL_CITATION {"citationID":"0bqG6kv0","properties":{"formattedCitation":"\\super 2,3\\nosupersub{}","plainCitation":"2,3","noteIndex":0},"citationItems":[{"id":1207,"uris":["http://zotero.org/users/901279/items/5JLNPAU9"],"uri":["http://zotero.org/users/901279/items/5JLNPAU9"],"itemData":{"id":1207,"type":"article-journal","title":"Urbanization and the carbon cycle: Contributions from social science","container-title":"Earth's Future","page":"n/a-n/a","source":"CrossRef","DOI":"10.1002/2014EF000257","ISSN":"23284277","shortTitle":"Urbanization and the carbon cycle","language":"en","author":[{"family":"Marcotullio","given":"Peter J."},{"family":"Hughes","given":"Sara"},{"family":"Sarzynski","given":"Andrea"},{"family":"Pincetl","given":"Stephanie"},{"family":"Sanchez Peña","given":"Landy"},{"family":"Romero-Lankao","given":"Patricia"},{"family":"Runfola","given":"Daniel"},{"family":"Seto","given":"Karen C."}],"issued":{"date-parts":[["2014",8]]}}},{"id":961,"uris":["http://zotero.org/users/901279/items/LRU7N2WP"],"uri":["http://zotero.org/users/901279/items/LRU7N2WP"],"itemData":{"id":961,"type":"article-journal","title":"Testing theories to explore the drivers of cities' atmospheric emissions","container-title":"AMBIO: A Journal of the Human Environment","page":"236-244","volume":"38","issue":"4","ISSN":"0044-7447","shortTitle":"Testing theories to explore the drivers of cities' atmospheric emissions","author":[{"family":"Romero-Lankao","given":"Patricia"},{"family":"Tribbia","given":"John L"},{"family":"Nychka","given":"Doug"}],"issued":{"date-parts":[["2009"]]}}}],"schema":"https://github.com/citation-style-language/schema/raw/master/csl-citation.json"} </w:instrText>
      </w:r>
      <w:r w:rsidR="00B6458B">
        <w:rPr>
          <w:rFonts w:cstheme="minorHAnsi"/>
          <w:sz w:val="22"/>
          <w:szCs w:val="22"/>
        </w:rPr>
        <w:fldChar w:fldCharType="separate"/>
      </w:r>
      <w:r w:rsidR="00B6458B" w:rsidRPr="00B6458B">
        <w:rPr>
          <w:rFonts w:ascii="Calibri" w:cs="Calibri"/>
          <w:sz w:val="22"/>
          <w:vertAlign w:val="superscript"/>
        </w:rPr>
        <w:t>2,3</w:t>
      </w:r>
      <w:r w:rsidR="00B6458B">
        <w:rPr>
          <w:rFonts w:cstheme="minorHAnsi"/>
          <w:sz w:val="22"/>
          <w:szCs w:val="22"/>
        </w:rPr>
        <w:fldChar w:fldCharType="end"/>
      </w:r>
      <w:r w:rsidRPr="00F43027">
        <w:rPr>
          <w:rFonts w:cstheme="minorHAnsi"/>
          <w:sz w:val="22"/>
          <w:szCs w:val="22"/>
        </w:rPr>
        <w:t xml:space="preserve"> Here we present a summary of these</w:t>
      </w:r>
      <w:r>
        <w:rPr>
          <w:rFonts w:cstheme="minorHAnsi"/>
          <w:sz w:val="22"/>
          <w:szCs w:val="22"/>
        </w:rPr>
        <w:t>. S</w:t>
      </w:r>
      <w:r w:rsidRPr="00F43027">
        <w:rPr>
          <w:rFonts w:cstheme="minorHAnsi"/>
          <w:sz w:val="22"/>
          <w:szCs w:val="22"/>
        </w:rPr>
        <w:t>ection 3 and Table 2 provide detail</w:t>
      </w:r>
      <w:r>
        <w:rPr>
          <w:rFonts w:cstheme="minorHAnsi"/>
          <w:sz w:val="22"/>
          <w:szCs w:val="22"/>
        </w:rPr>
        <w:t>s</w:t>
      </w:r>
      <w:r w:rsidRPr="00F43027">
        <w:rPr>
          <w:rFonts w:cstheme="minorHAnsi"/>
          <w:sz w:val="22"/>
          <w:szCs w:val="22"/>
        </w:rPr>
        <w:t xml:space="preserve"> on selected indicators.</w:t>
      </w:r>
    </w:p>
    <w:p w14:paraId="33BAC642" w14:textId="77777777" w:rsidR="00F43027" w:rsidRPr="00F43027" w:rsidRDefault="00F43027" w:rsidP="00F43027">
      <w:pPr>
        <w:rPr>
          <w:rFonts w:cstheme="minorHAnsi"/>
          <w:sz w:val="22"/>
          <w:szCs w:val="22"/>
        </w:rPr>
      </w:pPr>
    </w:p>
    <w:p w14:paraId="1F548FA5" w14:textId="2B187A2C" w:rsidR="00F43027" w:rsidRPr="0097148B" w:rsidRDefault="00F43027" w:rsidP="00F43027">
      <w:pPr>
        <w:rPr>
          <w:rFonts w:cstheme="minorHAnsi"/>
          <w:color w:val="4472C4" w:themeColor="accent1"/>
          <w:sz w:val="22"/>
          <w:szCs w:val="22"/>
        </w:rPr>
      </w:pPr>
      <w:r w:rsidRPr="00F43027">
        <w:rPr>
          <w:rFonts w:cstheme="minorHAnsi"/>
          <w:i/>
          <w:sz w:val="22"/>
          <w:szCs w:val="22"/>
        </w:rPr>
        <w:t>Sociodemographic:</w:t>
      </w:r>
      <w:r w:rsidRPr="00F43027">
        <w:rPr>
          <w:rFonts w:cstheme="minorHAnsi"/>
          <w:sz w:val="22"/>
          <w:szCs w:val="22"/>
        </w:rPr>
        <w:t xml:space="preserve"> Age has key implications for energy use and associated GHG emissions.</w:t>
      </w:r>
      <w:r w:rsidR="00B6458B" w:rsidRPr="00B6458B">
        <w:rPr>
          <w:rFonts w:cstheme="minorHAnsi"/>
          <w:sz w:val="22"/>
          <w:szCs w:val="22"/>
        </w:rPr>
        <w:t xml:space="preserve"> </w:t>
      </w:r>
      <w:r w:rsidR="00B6458B">
        <w:rPr>
          <w:rFonts w:cstheme="minorHAnsi"/>
          <w:sz w:val="22"/>
          <w:szCs w:val="22"/>
        </w:rPr>
        <w:fldChar w:fldCharType="begin"/>
      </w:r>
      <w:r w:rsidR="00B6458B">
        <w:rPr>
          <w:rFonts w:cstheme="minorHAnsi"/>
          <w:sz w:val="22"/>
          <w:szCs w:val="22"/>
        </w:rPr>
        <w:instrText xml:space="preserve"> ADDIN ZOTERO_ITEM CSL_CITATION {"citationID":"CcLdCntu","properties":{"formattedCitation":"\\super 2,3\\nosupersub{}","plainCitation":"2,3","noteIndex":0},"citationItems":[{"id":1207,"uris":["http://zotero.org/users/901279/items/5JLNPAU9"],"uri":["http://zotero.org/users/901279/items/5JLNPAU9"],"itemData":{"id":1207,"type":"article-journal","title":"Urbanization and the carbon cycle: Contributions from social science","container-title":"Earth's Future","page":"n/a-n/a","source":"CrossRef","DOI":"10.1002/2014EF000257","ISSN":"23284277","shortTitle":"Urbanization and the carbon cycle","language":"en","author":[{"family":"Marcotullio","given":"Peter J."},{"family":"Hughes","given":"Sara"},{"family":"Sarzynski","given":"Andrea"},{"family":"Pincetl","given":"Stephanie"},{"family":"Sanchez Peña","given":"Landy"},{"family":"Romero-Lankao","given":"Patricia"},{"family":"Runfola","given":"Daniel"},{"family":"Seto","given":"Karen C."}],"issued":{"date-parts":[["2014",8]]}}},{"id":961,"uris":["http://zotero.org/users/901279/items/LRU7N2WP"],"uri":["http://zotero.org/users/901279/items/LRU7N2WP"],"itemData":{"id":961,"type":"article-journal","title":"Testing theories to explore the drivers of cities' atmospheric emissions","container-title":"AMBIO: A Journal of the Human Environment","page":"236-244","volume":"38","issue":"4","ISSN":"0044-7447","shortTitle":"Testing theories to explore the drivers of cities' atmospheric emissions","author":[{"family":"Romero-Lankao","given":"Patricia"},{"family":"Tribbia","given":"John L"},{"family":"Nychka","given":"Doug"}],"issued":{"date-parts":[["2009"]]}}}],"schema":"https://github.com/citation-style-language/schema/raw/master/csl-citation.json"} </w:instrText>
      </w:r>
      <w:r w:rsidR="00B6458B">
        <w:rPr>
          <w:rFonts w:cstheme="minorHAnsi"/>
          <w:sz w:val="22"/>
          <w:szCs w:val="22"/>
        </w:rPr>
        <w:fldChar w:fldCharType="separate"/>
      </w:r>
      <w:r w:rsidR="00B6458B" w:rsidRPr="00B6458B">
        <w:rPr>
          <w:rFonts w:ascii="Calibri" w:cs="Calibri"/>
          <w:sz w:val="22"/>
          <w:vertAlign w:val="superscript"/>
        </w:rPr>
        <w:t>2,3</w:t>
      </w:r>
      <w:r w:rsidR="00B6458B">
        <w:rPr>
          <w:rFonts w:cstheme="minorHAnsi"/>
          <w:sz w:val="22"/>
          <w:szCs w:val="22"/>
        </w:rPr>
        <w:fldChar w:fldCharType="end"/>
      </w:r>
      <w:r w:rsidRPr="00F43027">
        <w:rPr>
          <w:rFonts w:cstheme="minorHAnsi"/>
          <w:sz w:val="22"/>
          <w:szCs w:val="22"/>
        </w:rPr>
        <w:t xml:space="preserve"> Household activity levels vary over a person’s lifetime, and mobility patterns and energy consumption adjust to changing household needs, time use, and expectations. Household composition and size also have a signiﬁcant inﬂuence. Generally speaking, larger households have relatively lower energy use because of efficiency and economy of scale benefits. More persons, in particular more children per household, relate to lower per capita consumption, even under comparable per capita incomes. </w:t>
      </w:r>
      <w:r w:rsidR="0053783B">
        <w:rPr>
          <w:rFonts w:cstheme="minorHAnsi"/>
          <w:sz w:val="22"/>
          <w:szCs w:val="22"/>
        </w:rPr>
        <w:t>Additionally, a</w:t>
      </w:r>
      <w:r w:rsidR="0053783B" w:rsidRPr="00F43027">
        <w:rPr>
          <w:rFonts w:cstheme="minorHAnsi"/>
          <w:sz w:val="22"/>
          <w:szCs w:val="22"/>
        </w:rPr>
        <w:t>t similar income levels, education</w:t>
      </w:r>
      <w:r w:rsidR="0053783B">
        <w:rPr>
          <w:rFonts w:cstheme="minorHAnsi"/>
          <w:sz w:val="22"/>
          <w:szCs w:val="22"/>
        </w:rPr>
        <w:t xml:space="preserve"> </w:t>
      </w:r>
      <w:r w:rsidR="0053783B" w:rsidRPr="00F43027">
        <w:rPr>
          <w:rFonts w:cstheme="minorHAnsi"/>
          <w:sz w:val="22"/>
          <w:szCs w:val="22"/>
        </w:rPr>
        <w:t>and ethnicity</w:t>
      </w:r>
      <w:r w:rsidR="0053783B">
        <w:rPr>
          <w:rFonts w:cstheme="minorHAnsi"/>
          <w:sz w:val="22"/>
          <w:szCs w:val="22"/>
        </w:rPr>
        <w:t xml:space="preserve"> or </w:t>
      </w:r>
      <w:r w:rsidR="0053783B" w:rsidRPr="00F43027">
        <w:rPr>
          <w:rFonts w:cstheme="minorHAnsi"/>
          <w:sz w:val="22"/>
          <w:szCs w:val="22"/>
        </w:rPr>
        <w:t xml:space="preserve">race </w:t>
      </w:r>
      <w:r w:rsidR="0053783B">
        <w:rPr>
          <w:rFonts w:cstheme="minorHAnsi"/>
          <w:sz w:val="22"/>
          <w:szCs w:val="22"/>
        </w:rPr>
        <w:t xml:space="preserve">may </w:t>
      </w:r>
      <w:r w:rsidR="0053783B" w:rsidRPr="00F43027">
        <w:rPr>
          <w:rFonts w:cstheme="minorHAnsi"/>
          <w:sz w:val="22"/>
          <w:szCs w:val="22"/>
        </w:rPr>
        <w:t>also play a role explaining energy consumption</w:t>
      </w:r>
      <w:r w:rsidRPr="0097148B">
        <w:rPr>
          <w:rFonts w:cstheme="minorHAnsi"/>
          <w:color w:val="4472C4" w:themeColor="accent1"/>
          <w:sz w:val="22"/>
          <w:szCs w:val="22"/>
        </w:rPr>
        <w:t xml:space="preserve">.   </w:t>
      </w:r>
      <w:r w:rsidR="00B0649B" w:rsidRPr="0097148B">
        <w:rPr>
          <w:rFonts w:cstheme="minorHAnsi"/>
          <w:color w:val="4472C4" w:themeColor="accent1"/>
          <w:sz w:val="22"/>
          <w:szCs w:val="22"/>
        </w:rPr>
        <w:t>Include a</w:t>
      </w:r>
      <w:r w:rsidR="004F3CDE" w:rsidRPr="0097148B">
        <w:rPr>
          <w:rFonts w:cstheme="minorHAnsi"/>
          <w:color w:val="4472C4" w:themeColor="accent1"/>
          <w:sz w:val="22"/>
          <w:szCs w:val="22"/>
        </w:rPr>
        <w:t xml:space="preserve"> cultural one.</w:t>
      </w:r>
    </w:p>
    <w:p w14:paraId="0A17733A" w14:textId="77777777" w:rsidR="00F43027" w:rsidRPr="00F43027" w:rsidRDefault="00F43027" w:rsidP="00F43027">
      <w:pPr>
        <w:rPr>
          <w:rFonts w:cstheme="minorHAnsi"/>
          <w:sz w:val="22"/>
          <w:szCs w:val="22"/>
        </w:rPr>
      </w:pPr>
    </w:p>
    <w:p w14:paraId="40AC3A15" w14:textId="6DD5CB6C" w:rsidR="00F43027" w:rsidRPr="00F43027" w:rsidRDefault="00F43027" w:rsidP="00F43027">
      <w:pPr>
        <w:rPr>
          <w:rFonts w:cstheme="minorHAnsi"/>
          <w:sz w:val="22"/>
          <w:szCs w:val="22"/>
        </w:rPr>
      </w:pPr>
      <w:r w:rsidRPr="00F43027">
        <w:rPr>
          <w:rFonts w:cstheme="minorHAnsi"/>
          <w:i/>
          <w:sz w:val="22"/>
          <w:szCs w:val="22"/>
        </w:rPr>
        <w:t>Economic:</w:t>
      </w:r>
      <w:r w:rsidRPr="00F43027">
        <w:rPr>
          <w:rFonts w:cstheme="minorHAnsi"/>
          <w:sz w:val="22"/>
          <w:szCs w:val="22"/>
        </w:rPr>
        <w:t xml:space="preserve">  The majority of research has found that wealth and income lead to increased energy use.</w:t>
      </w:r>
      <w:r w:rsidR="00B6458B">
        <w:rPr>
          <w:rFonts w:cstheme="minorHAnsi"/>
          <w:sz w:val="22"/>
          <w:szCs w:val="22"/>
        </w:rPr>
        <w:fldChar w:fldCharType="begin"/>
      </w:r>
      <w:r w:rsidR="00B6458B">
        <w:rPr>
          <w:rFonts w:cstheme="minorHAnsi"/>
          <w:sz w:val="22"/>
          <w:szCs w:val="22"/>
        </w:rPr>
        <w:instrText xml:space="preserve"> ADDIN ZOTERO_ITEM CSL_CITATION {"citationID":"uoqGnaTi","properties":{"formattedCitation":"\\super 4\\nosupersub{}","plainCitation":"4","noteIndex":0},"citationItems":[{"id":731,"uris":["http://zotero.org/users/901279/items/WBH5Q7JX"],"uri":["http://zotero.org/users/901279/items/WBH5Q7JX"],"itemData":{"id":731,"type":"article-journal","title":"Carbon footprints of cities and other human settlements in the UK","container-title":"Environmental Research Letters","page":"035039","volume":"8","issue":"3","source":"Institute of Physics","abstract":"A growing body of literature discusses the CO2 emissions of cities. Still, little is known about emission patterns across density gradients from remote rural places to highly urbanized areas, the drivers behind those emission patterns and the global emissions triggered by consumption in human settlements—referred to here as the carbon footprint. In this letter we use a hybrid method for estimating the carbon footprints of cities and other human settlements in the UK explicitly linking global supply chains to local consumption activities and associated lifestyles. This analysis comprises all areas in the UK, whether rural or urban. We compare our consumption-based results with extended territorial CO2 emission estimates and analyse the driving forces that determine the carbon footprint of human settlements in the UK. Our results show that 90% of the human settlements in the UK are net importers of CO2 emissions. Consumption-based CO2 emissions are much more homogeneous than extended territorial emissions. Both the highest and lowest carbon footprints can be found in urban areas, but the carbon footprint is consistently higher relative to extended territorial CO2 emissions in urban as opposed to rural settlement types. The impact of high or low density living remains limited; instead, carbon footprints can be comparatively high or low across density gradients depending on the location-specific socio-demographic, infrastructural and geographic characteristics of the area under consideration. We show that the carbon footprint of cities and other human settlements in the UK is mainly determined by socio-economic rather than geographic and infrastructural drivers at the spatial aggregation of our analysis. It increases with growing income, education and car ownership as well as decreasing household size. Income is not more important than most other socio-economic determinants of the carbon footprint. Possibly, the relationship between lifestyles and infrastructure only impacts carbon footprints significantly at higher spatial granularity.","DOI":"10.1088/1748-9326/8/3/035039","ISSN":"1748-9326","journalAbbreviation":"Environ. Res. Lett.","language":"en","author":[{"family":"Minx","given":"Jan"},{"family":"Baiocchi","given":"Giovanni"},{"family":"Wiedmann","given":"Thomas"},{"family":"Barrett","given":"John"},{"family":"Creutzig","given":"Felix"},{"family":"Feng","given":"Kuishuang"},{"family":"Förster","given":"Michael"},{"family":"Pichler","given":"Peter-Paul"},{"family":"Weisz","given":"Helga"},{"family":"Hubacek","given":"Klaus"}],"issued":{"date-parts":[["2013",9,1]]}}}],"schema":"https://github.com/citation-style-language/schema/raw/master/csl-citation.json"} </w:instrText>
      </w:r>
      <w:r w:rsidR="00B6458B">
        <w:rPr>
          <w:rFonts w:cstheme="minorHAnsi"/>
          <w:sz w:val="22"/>
          <w:szCs w:val="22"/>
        </w:rPr>
        <w:fldChar w:fldCharType="separate"/>
      </w:r>
      <w:r w:rsidR="00B6458B" w:rsidRPr="00B6458B">
        <w:rPr>
          <w:rFonts w:ascii="Calibri" w:cs="Calibri"/>
          <w:sz w:val="22"/>
          <w:vertAlign w:val="superscript"/>
        </w:rPr>
        <w:t>4</w:t>
      </w:r>
      <w:r w:rsidR="00B6458B">
        <w:rPr>
          <w:rFonts w:cstheme="minorHAnsi"/>
          <w:sz w:val="22"/>
          <w:szCs w:val="22"/>
        </w:rPr>
        <w:fldChar w:fldCharType="end"/>
      </w:r>
      <w:r w:rsidRPr="00F43027">
        <w:rPr>
          <w:rFonts w:cstheme="minorHAnsi"/>
          <w:sz w:val="22"/>
          <w:szCs w:val="22"/>
        </w:rPr>
        <w:t xml:space="preserve"> However, diverse and inconclusive findings exist on the potential for non-linear relationships and interaction effects. For instance, differences in income have a weak influence on direct energy requirements</w:t>
      </w:r>
      <w:r w:rsidR="0053783B">
        <w:rPr>
          <w:rFonts w:cstheme="minorHAnsi"/>
          <w:sz w:val="22"/>
          <w:szCs w:val="22"/>
        </w:rPr>
        <w:t xml:space="preserve"> such as those related to heating</w:t>
      </w:r>
      <w:r w:rsidRPr="00F43027">
        <w:rPr>
          <w:rFonts w:cstheme="minorHAnsi"/>
          <w:sz w:val="22"/>
          <w:szCs w:val="22"/>
        </w:rPr>
        <w:t xml:space="preserve">, while indirect energy requirements </w:t>
      </w:r>
      <w:r w:rsidR="0053783B">
        <w:rPr>
          <w:rFonts w:cstheme="minorHAnsi"/>
          <w:sz w:val="22"/>
          <w:szCs w:val="22"/>
        </w:rPr>
        <w:t xml:space="preserve">such as those from energy embedded in imported goods, </w:t>
      </w:r>
      <w:r w:rsidRPr="00F43027">
        <w:rPr>
          <w:rFonts w:cstheme="minorHAnsi"/>
          <w:sz w:val="22"/>
          <w:szCs w:val="22"/>
        </w:rPr>
        <w:t>increase strongly with income.</w:t>
      </w:r>
      <w:r w:rsidR="00B6458B">
        <w:rPr>
          <w:rFonts w:cstheme="minorHAnsi"/>
          <w:sz w:val="22"/>
          <w:szCs w:val="22"/>
        </w:rPr>
        <w:fldChar w:fldCharType="begin"/>
      </w:r>
      <w:r w:rsidR="00B6458B">
        <w:rPr>
          <w:rFonts w:cstheme="minorHAnsi"/>
          <w:sz w:val="22"/>
          <w:szCs w:val="22"/>
        </w:rPr>
        <w:instrText xml:space="preserve"> ADDIN ZOTERO_ITEM CSL_CITATION {"citationID":"ohaZCqnN","properties":{"formattedCitation":"\\super 5\\nosupersub{}","plainCitation":"5","noteIndex":0},"citationItems":[{"id":1538,"uris":["http://zotero.org/users/901279/items/DEEAQWYV"],"uri":["http://zotero.org/users/901279/items/DEEAQWYV"],"itemData":{"id":1538,"type":"article-journal","title":"A multivariate analysis of the energy intensity of sprawl versus compact living in the U.S. for 2003","container-title":"Ecological Economics","page":"2363-2373","volume":"69","issue":"12","source":"ScienceDirect","abstract":"We explore the energy intensity of sprawl versus compact living by analyzing the total energy requirements of U.S. households for the year 2003. The methods used are based on previous studies on energy cost of living. Total energy requirement is calculated as a function of individual energy intensities of goods and services derived from economic input–output analysis and expenditures for those goods and services. We use multivariate regression analysis to estimate patterns in household energy intensities. We define sprawl in terms of location in rural areas or in areas with low population size. We find that even though sprawl-related factors account for about 83% of the average household energy consumption, sprawl is only 17–19% more energy intensive than compact living based on how people actually lived. We observe that some of the advantages of reduced direct energy use by people living in high density urban centers are offset by their consumption of other non-energy products. A more detailed analysis reveals that lifestyle choices (household type, number of vehicles, and family size) that could be independent of location play a significant role in determining household energy intensity. We develop two models that offer opportunities for further analysis.","DOI":"10.1016/j.ecolecon.2010.07.003","ISSN":"0921-8009","journalAbbreviation":"Ecological Economics","author":[{"family":"Shammin","given":"Md. R."},{"family":"Herendeen","given":"Robert A."},{"family":"Hanson","given":"Michelle J."},{"family":"Wilson","given":"Eric J. H."}],"issued":{"date-parts":[["2010",10,15]]}}}],"schema":"https://github.com/citation-style-language/schema/raw/master/csl-citation.json"} </w:instrText>
      </w:r>
      <w:r w:rsidR="00B6458B">
        <w:rPr>
          <w:rFonts w:cstheme="minorHAnsi"/>
          <w:sz w:val="22"/>
          <w:szCs w:val="22"/>
        </w:rPr>
        <w:fldChar w:fldCharType="separate"/>
      </w:r>
      <w:r w:rsidR="00B6458B" w:rsidRPr="00B6458B">
        <w:rPr>
          <w:rFonts w:ascii="Calibri" w:cs="Calibri"/>
          <w:sz w:val="22"/>
          <w:vertAlign w:val="superscript"/>
        </w:rPr>
        <w:t>5</w:t>
      </w:r>
      <w:r w:rsidR="00B6458B">
        <w:rPr>
          <w:rFonts w:cstheme="minorHAnsi"/>
          <w:sz w:val="22"/>
          <w:szCs w:val="22"/>
        </w:rPr>
        <w:fldChar w:fldCharType="end"/>
      </w:r>
      <w:r w:rsidRPr="00F43027">
        <w:rPr>
          <w:rFonts w:cstheme="minorHAnsi"/>
          <w:sz w:val="22"/>
          <w:szCs w:val="22"/>
        </w:rPr>
        <w:t xml:space="preserve"> </w:t>
      </w:r>
    </w:p>
    <w:p w14:paraId="2A3D1272" w14:textId="77777777" w:rsidR="00F43027" w:rsidRPr="00F43027" w:rsidRDefault="00F43027" w:rsidP="00F43027">
      <w:pPr>
        <w:rPr>
          <w:rFonts w:cstheme="minorHAnsi"/>
          <w:sz w:val="22"/>
          <w:szCs w:val="22"/>
        </w:rPr>
      </w:pPr>
    </w:p>
    <w:p w14:paraId="7D0836CF" w14:textId="154E70F2" w:rsidR="0053783B" w:rsidRPr="00F43027" w:rsidRDefault="0053783B" w:rsidP="0053783B">
      <w:pPr>
        <w:rPr>
          <w:rFonts w:cstheme="minorHAnsi"/>
          <w:sz w:val="22"/>
          <w:szCs w:val="22"/>
        </w:rPr>
      </w:pPr>
      <w:r w:rsidRPr="00F43027">
        <w:rPr>
          <w:rFonts w:cstheme="minorHAnsi"/>
          <w:i/>
          <w:sz w:val="22"/>
          <w:szCs w:val="22"/>
        </w:rPr>
        <w:t>Techno-infrastructural or urban form</w:t>
      </w:r>
      <w:r w:rsidRPr="00F43027">
        <w:rPr>
          <w:rFonts w:cstheme="minorHAnsi"/>
          <w:sz w:val="22"/>
          <w:szCs w:val="22"/>
        </w:rPr>
        <w:t xml:space="preserve"> are settlement type factors directly connected to mobility and energy use; they include indicators such as density, land use, and the layout of transportation </w:t>
      </w:r>
      <w:r w:rsidRPr="00F43027">
        <w:rPr>
          <w:rFonts w:cstheme="minorHAnsi"/>
          <w:sz w:val="22"/>
          <w:szCs w:val="22"/>
        </w:rPr>
        <w:lastRenderedPageBreak/>
        <w:t>infrastructure and technologies (road, rail, EV).</w:t>
      </w:r>
      <w:r>
        <w:rPr>
          <w:rFonts w:cstheme="minorHAnsi"/>
          <w:sz w:val="22"/>
          <w:szCs w:val="22"/>
        </w:rPr>
        <w:t xml:space="preserve"> Layout and physical infrastructure of cities and neighborhoods not only help determine energy use and GHC emission patterns, they also perpetuate these patterns by affecting the ability to make different lifestyle choices (path-dependency</w:t>
      </w:r>
      <w:r w:rsidR="00B6458B">
        <w:rPr>
          <w:rFonts w:cstheme="minorHAnsi"/>
          <w:sz w:val="22"/>
          <w:szCs w:val="22"/>
        </w:rPr>
        <w:fldChar w:fldCharType="begin"/>
      </w:r>
      <w:r w:rsidR="00B6458B">
        <w:rPr>
          <w:rFonts w:cstheme="minorHAnsi"/>
          <w:sz w:val="22"/>
          <w:szCs w:val="22"/>
        </w:rPr>
        <w:instrText xml:space="preserve"> ADDIN ZOTERO_ITEM CSL_CITATION {"citationID":"tnEiSim5","properties":{"formattedCitation":"\\super 6\\nosupersub{}","plainCitation":"6","noteIndex":0},"citationItems":[{"id":180,"uris":["http://zotero.org/users/901279/items/A69B5LU7"],"uri":["http://zotero.org/users/901279/items/A69B5LU7"],"itemData":{"id":180,"type":"article-journal","title":"The Food-Energy-Water Nexus and the Challenge of Urban Complexity","container-title":"Nature Climate Change","page":"233-235","volume":"7","archive":"(Accepted)","author":[{"family":"Romero-Lankao","given":"Patricia"},{"family":"McPhearson","given":"Timon"},{"family":"Davidson","given":"Debra J"}],"issued":{"date-parts":[["2017"]]}}}],"schema":"https://github.com/citation-style-language/schema/raw/master/csl-citation.json"} </w:instrText>
      </w:r>
      <w:r w:rsidR="00B6458B">
        <w:rPr>
          <w:rFonts w:cstheme="minorHAnsi"/>
          <w:sz w:val="22"/>
          <w:szCs w:val="22"/>
        </w:rPr>
        <w:fldChar w:fldCharType="separate"/>
      </w:r>
      <w:r w:rsidR="00B6458B" w:rsidRPr="00B6458B">
        <w:rPr>
          <w:rFonts w:ascii="Calibri" w:cs="Calibri"/>
          <w:sz w:val="22"/>
          <w:vertAlign w:val="superscript"/>
        </w:rPr>
        <w:t>6</w:t>
      </w:r>
      <w:r w:rsidR="00B6458B">
        <w:rPr>
          <w:rFonts w:cstheme="minorHAnsi"/>
          <w:sz w:val="22"/>
          <w:szCs w:val="22"/>
        </w:rPr>
        <w:fldChar w:fldCharType="end"/>
      </w:r>
      <w:r w:rsidRPr="00F43027">
        <w:rPr>
          <w:rFonts w:cstheme="minorHAnsi"/>
          <w:sz w:val="22"/>
          <w:szCs w:val="22"/>
        </w:rPr>
        <w:t xml:space="preserve">). </w:t>
      </w:r>
    </w:p>
    <w:p w14:paraId="0FC83CAD" w14:textId="77777777" w:rsidR="00F43027" w:rsidRPr="00F43027" w:rsidRDefault="00F43027" w:rsidP="00F43027">
      <w:pPr>
        <w:rPr>
          <w:rFonts w:cstheme="minorHAnsi"/>
          <w:sz w:val="22"/>
          <w:szCs w:val="22"/>
        </w:rPr>
      </w:pPr>
    </w:p>
    <w:p w14:paraId="0FCC6595" w14:textId="5A90DBC6" w:rsidR="00F43027" w:rsidRPr="00F43027" w:rsidRDefault="00F43027" w:rsidP="00F43027">
      <w:pPr>
        <w:rPr>
          <w:rFonts w:cstheme="minorHAnsi"/>
          <w:sz w:val="22"/>
          <w:szCs w:val="22"/>
        </w:rPr>
      </w:pPr>
      <w:r w:rsidRPr="00F43027">
        <w:rPr>
          <w:rFonts w:cstheme="minorHAnsi"/>
          <w:sz w:val="22"/>
          <w:szCs w:val="22"/>
        </w:rPr>
        <w:t xml:space="preserve">It has been found that suburban and rural households are about 10% more energy intense than urban ones, mostly because they </w:t>
      </w:r>
      <w:r w:rsidR="0053783B">
        <w:rPr>
          <w:rFonts w:cstheme="minorHAnsi"/>
          <w:sz w:val="22"/>
          <w:szCs w:val="22"/>
        </w:rPr>
        <w:t>use</w:t>
      </w:r>
      <w:r w:rsidRPr="00F43027">
        <w:rPr>
          <w:rFonts w:cstheme="minorHAnsi"/>
          <w:sz w:val="22"/>
          <w:szCs w:val="22"/>
        </w:rPr>
        <w:t xml:space="preserve"> more residential energy and </w:t>
      </w:r>
      <w:r w:rsidR="0053783B">
        <w:rPr>
          <w:rFonts w:cstheme="minorHAnsi"/>
          <w:sz w:val="22"/>
          <w:szCs w:val="22"/>
        </w:rPr>
        <w:t xml:space="preserve">have increased </w:t>
      </w:r>
      <w:r w:rsidRPr="00F43027">
        <w:rPr>
          <w:rFonts w:cstheme="minorHAnsi"/>
          <w:sz w:val="22"/>
          <w:szCs w:val="22"/>
        </w:rPr>
        <w:t xml:space="preserve">mobility requirements. At the same time, core urban households tend to have relatively higher levels of total energy </w:t>
      </w:r>
      <w:r w:rsidR="0053783B">
        <w:rPr>
          <w:rFonts w:cstheme="minorHAnsi"/>
          <w:sz w:val="22"/>
          <w:szCs w:val="22"/>
        </w:rPr>
        <w:t>usage</w:t>
      </w:r>
      <w:r w:rsidRPr="00F43027">
        <w:rPr>
          <w:rFonts w:cstheme="minorHAnsi"/>
          <w:sz w:val="22"/>
          <w:szCs w:val="22"/>
        </w:rPr>
        <w:t>, largely due to their overall higher incomes.</w:t>
      </w:r>
      <w:r w:rsidR="00B6458B">
        <w:rPr>
          <w:rFonts w:cstheme="minorHAnsi"/>
          <w:sz w:val="22"/>
          <w:szCs w:val="22"/>
        </w:rPr>
        <w:fldChar w:fldCharType="begin"/>
      </w:r>
      <w:r w:rsidR="00B6458B">
        <w:rPr>
          <w:rFonts w:cstheme="minorHAnsi"/>
          <w:sz w:val="22"/>
          <w:szCs w:val="22"/>
        </w:rPr>
        <w:instrText xml:space="preserve"> ADDIN ZOTERO_ITEM CSL_CITATION {"citationID":"XggaQmUg","properties":{"formattedCitation":"\\super 5\\nosupersub{}","plainCitation":"5","noteIndex":0},"citationItems":[{"id":1538,"uris":["http://zotero.org/users/901279/items/DEEAQWYV"],"uri":["http://zotero.org/users/901279/items/DEEAQWYV"],"itemData":{"id":1538,"type":"article-journal","title":"A multivariate analysis of the energy intensity of sprawl versus compact living in the U.S. for 2003","container-title":"Ecological Economics","page":"2363-2373","volume":"69","issue":"12","source":"ScienceDirect","abstract":"We explore the energy intensity of sprawl versus compact living by analyzing the total energy requirements of U.S. households for the year 2003. The methods used are based on previous studies on energy cost of living. Total energy requirement is calculated as a function of individual energy intensities of goods and services derived from economic input–output analysis and expenditures for those goods and services. We use multivariate regression analysis to estimate patterns in household energy intensities. We define sprawl in terms of location in rural areas or in areas with low population size. We find that even though sprawl-related factors account for about 83% of the average household energy consumption, sprawl is only 17–19% more energy intensive than compact living based on how people actually lived. We observe that some of the advantages of reduced direct energy use by people living in high density urban centers are offset by their consumption of other non-energy products. A more detailed analysis reveals that lifestyle choices (household type, number of vehicles, and family size) that could be independent of location play a significant role in determining household energy intensity. We develop two models that offer opportunities for further analysis.","DOI":"10.1016/j.ecolecon.2010.07.003","ISSN":"0921-8009","journalAbbreviation":"Ecological Economics","author":[{"family":"Shammin","given":"Md. R."},{"family":"Herendeen","given":"Robert A."},{"family":"Hanson","given":"Michelle J."},{"family":"Wilson","given":"Eric J. H."}],"issued":{"date-parts":[["2010",10,15]]}}}],"schema":"https://github.com/citation-style-language/schema/raw/master/csl-citation.json"} </w:instrText>
      </w:r>
      <w:r w:rsidR="00B6458B">
        <w:rPr>
          <w:rFonts w:cstheme="minorHAnsi"/>
          <w:sz w:val="22"/>
          <w:szCs w:val="22"/>
        </w:rPr>
        <w:fldChar w:fldCharType="separate"/>
      </w:r>
      <w:r w:rsidR="00B6458B" w:rsidRPr="00B6458B">
        <w:rPr>
          <w:rFonts w:ascii="Calibri" w:cs="Calibri"/>
          <w:sz w:val="22"/>
          <w:vertAlign w:val="superscript"/>
        </w:rPr>
        <w:t>5</w:t>
      </w:r>
      <w:r w:rsidR="00B6458B">
        <w:rPr>
          <w:rFonts w:cstheme="minorHAnsi"/>
          <w:sz w:val="22"/>
          <w:szCs w:val="22"/>
        </w:rPr>
        <w:fldChar w:fldCharType="end"/>
      </w:r>
      <w:r w:rsidRPr="00F43027">
        <w:rPr>
          <w:rFonts w:cstheme="minorHAnsi"/>
          <w:sz w:val="22"/>
          <w:szCs w:val="22"/>
        </w:rPr>
        <w:t xml:space="preserve"> </w:t>
      </w:r>
      <w:proofErr w:type="spellStart"/>
      <w:r w:rsidRPr="00F43027">
        <w:rPr>
          <w:rFonts w:cstheme="minorHAnsi"/>
          <w:sz w:val="22"/>
          <w:szCs w:val="22"/>
        </w:rPr>
        <w:t>Shammin</w:t>
      </w:r>
      <w:proofErr w:type="spellEnd"/>
      <w:r w:rsidRPr="00F43027">
        <w:rPr>
          <w:rFonts w:cstheme="minorHAnsi"/>
          <w:sz w:val="22"/>
          <w:szCs w:val="22"/>
        </w:rPr>
        <w:t xml:space="preserve"> et al 2010 found for instance that, as expenditure increases, the contribution of direct energy to total energy requirements decreases, and for the highest income decile more than 50% of total energy is attributable to indirect energy categories.</w:t>
      </w:r>
    </w:p>
    <w:p w14:paraId="2F61C977" w14:textId="77777777" w:rsidR="00F43027" w:rsidRPr="00F43027" w:rsidRDefault="00F43027" w:rsidP="00F43027">
      <w:pPr>
        <w:rPr>
          <w:rFonts w:cstheme="minorHAnsi"/>
          <w:sz w:val="22"/>
          <w:szCs w:val="22"/>
        </w:rPr>
      </w:pPr>
    </w:p>
    <w:p w14:paraId="557AA6E2" w14:textId="3875F3B5" w:rsidR="00F43027" w:rsidRPr="00F43027" w:rsidRDefault="00F43027" w:rsidP="00F43027">
      <w:pPr>
        <w:rPr>
          <w:rFonts w:cstheme="minorHAnsi"/>
          <w:sz w:val="22"/>
          <w:szCs w:val="22"/>
        </w:rPr>
      </w:pPr>
      <w:r w:rsidRPr="00F43027">
        <w:rPr>
          <w:rFonts w:cstheme="minorHAnsi"/>
          <w:i/>
          <w:sz w:val="22"/>
          <w:szCs w:val="22"/>
        </w:rPr>
        <w:t>Environmental</w:t>
      </w:r>
      <w:r w:rsidRPr="00F43027">
        <w:rPr>
          <w:rFonts w:cstheme="minorHAnsi"/>
          <w:sz w:val="22"/>
          <w:szCs w:val="22"/>
        </w:rPr>
        <w:t xml:space="preserve"> factors such as climatic conditions and carbon content of energy sources are equally important. For instance, close relationship </w:t>
      </w:r>
      <w:r w:rsidR="0053783B">
        <w:rPr>
          <w:rFonts w:cstheme="minorHAnsi"/>
          <w:sz w:val="22"/>
          <w:szCs w:val="22"/>
        </w:rPr>
        <w:t xml:space="preserve">has been documented </w:t>
      </w:r>
      <w:r w:rsidRPr="00F43027">
        <w:rPr>
          <w:rFonts w:cstheme="minorHAnsi"/>
          <w:sz w:val="22"/>
          <w:szCs w:val="22"/>
        </w:rPr>
        <w:t>between climatic inﬂuences and residential energy requirements for thermal comfort has been documented.</w:t>
      </w:r>
      <w:r w:rsidR="00B6458B">
        <w:rPr>
          <w:rFonts w:cstheme="minorHAnsi"/>
          <w:sz w:val="22"/>
          <w:szCs w:val="22"/>
        </w:rPr>
        <w:fldChar w:fldCharType="begin"/>
      </w:r>
      <w:r w:rsidR="00B6458B">
        <w:rPr>
          <w:rFonts w:cstheme="minorHAnsi"/>
          <w:sz w:val="22"/>
          <w:szCs w:val="22"/>
        </w:rPr>
        <w:instrText xml:space="preserve"> ADDIN ZOTERO_ITEM CSL_CITATION {"citationID":"nY4Vtf9s","properties":{"formattedCitation":"\\super 7\\nosupersub{}","plainCitation":"7","noteIndex":0},"citationItems":[{"id":660,"uris":["http://zotero.org/users/901279/items/F3QBAM5X"],"uri":["http://zotero.org/users/901279/items/F3QBAM5X"],"itemData":{"id":660,"type":"article-journal","title":"The study of urban metabolism and its applications to urban planning and design","container-title":"Environmental pollution","page":"1965-1973","volume":"159","issue":"8","ISSN":"0269-7491","journalAbbreviation":"Environmental pollution","author":[{"family":"Kennedy","given":"C"},{"family":"Pincetl","given":"S"},{"family":"Bunje","given":"P"}],"issued":{"date-parts":[["2011"]]}}}],"schema":"https://github.com/citation-style-language/schema/raw/master/csl-citation.json"} </w:instrText>
      </w:r>
      <w:r w:rsidR="00B6458B">
        <w:rPr>
          <w:rFonts w:cstheme="minorHAnsi"/>
          <w:sz w:val="22"/>
          <w:szCs w:val="22"/>
        </w:rPr>
        <w:fldChar w:fldCharType="separate"/>
      </w:r>
      <w:r w:rsidR="00B6458B" w:rsidRPr="00B6458B">
        <w:rPr>
          <w:rFonts w:ascii="Calibri" w:cs="Calibri"/>
          <w:sz w:val="22"/>
          <w:vertAlign w:val="superscript"/>
        </w:rPr>
        <w:t>7</w:t>
      </w:r>
      <w:r w:rsidR="00B6458B">
        <w:rPr>
          <w:rFonts w:cstheme="minorHAnsi"/>
          <w:sz w:val="22"/>
          <w:szCs w:val="22"/>
        </w:rPr>
        <w:fldChar w:fldCharType="end"/>
      </w:r>
    </w:p>
    <w:p w14:paraId="5D60FEF9" w14:textId="77777777" w:rsidR="00F43027" w:rsidRPr="00F43027" w:rsidRDefault="00F43027" w:rsidP="00F43027">
      <w:pPr>
        <w:rPr>
          <w:rFonts w:cstheme="minorHAnsi"/>
          <w:sz w:val="22"/>
          <w:szCs w:val="22"/>
        </w:rPr>
      </w:pPr>
    </w:p>
    <w:p w14:paraId="6D226C3F" w14:textId="6F8C4B65" w:rsidR="00F43027" w:rsidRPr="00F43027" w:rsidRDefault="00F43027" w:rsidP="00F43027">
      <w:pPr>
        <w:rPr>
          <w:rFonts w:cstheme="minorHAnsi"/>
          <w:sz w:val="22"/>
          <w:szCs w:val="22"/>
        </w:rPr>
      </w:pPr>
      <w:r w:rsidRPr="00F43027">
        <w:rPr>
          <w:rFonts w:cstheme="minorHAnsi"/>
          <w:i/>
          <w:sz w:val="22"/>
          <w:szCs w:val="22"/>
        </w:rPr>
        <w:t>Governance</w:t>
      </w:r>
      <w:r w:rsidRPr="00F43027">
        <w:rPr>
          <w:rFonts w:cstheme="minorHAnsi"/>
          <w:sz w:val="22"/>
          <w:szCs w:val="22"/>
        </w:rPr>
        <w:t xml:space="preserve">: </w:t>
      </w:r>
      <w:r w:rsidRPr="00CE3194">
        <w:rPr>
          <w:rFonts w:cstheme="minorHAnsi"/>
          <w:sz w:val="22"/>
          <w:szCs w:val="22"/>
        </w:rPr>
        <w:t>Z</w:t>
      </w:r>
      <w:r w:rsidRPr="00F43027">
        <w:rPr>
          <w:rFonts w:cstheme="minorHAnsi"/>
          <w:bCs/>
          <w:sz w:val="22"/>
          <w:szCs w:val="22"/>
        </w:rPr>
        <w:t>o</w:t>
      </w:r>
      <w:r w:rsidRPr="00F43027">
        <w:rPr>
          <w:rFonts w:cstheme="minorHAnsi"/>
          <w:sz w:val="22"/>
          <w:szCs w:val="22"/>
        </w:rPr>
        <w:t>ning regulations, land use plans</w:t>
      </w:r>
      <w:r w:rsidRPr="00CE3194">
        <w:rPr>
          <w:rFonts w:cstheme="minorHAnsi"/>
          <w:sz w:val="22"/>
          <w:szCs w:val="22"/>
        </w:rPr>
        <w:t>,</w:t>
      </w:r>
      <w:r w:rsidRPr="00F43027">
        <w:rPr>
          <w:rFonts w:cstheme="minorHAnsi"/>
          <w:sz w:val="22"/>
          <w:szCs w:val="22"/>
        </w:rPr>
        <w:t xml:space="preserve"> investments and policies, lead to a heterogeneous distribution of access to energy, land and transportation infrastructure both across </w:t>
      </w:r>
      <w:r w:rsidR="0053783B">
        <w:rPr>
          <w:rFonts w:cstheme="minorHAnsi"/>
          <w:sz w:val="22"/>
          <w:szCs w:val="22"/>
        </w:rPr>
        <w:t xml:space="preserve">both </w:t>
      </w:r>
      <w:r w:rsidRPr="00F43027">
        <w:rPr>
          <w:rFonts w:cstheme="minorHAnsi"/>
          <w:sz w:val="22"/>
          <w:szCs w:val="22"/>
        </w:rPr>
        <w:t>settlements and populations</w:t>
      </w:r>
      <w:r w:rsidRPr="00F43027">
        <w:rPr>
          <w:rFonts w:cstheme="minorHAnsi"/>
          <w:sz w:val="22"/>
          <w:szCs w:val="22"/>
        </w:rPr>
        <w:fldChar w:fldCharType="begin"/>
      </w:r>
      <w:r w:rsidRPr="00F43027">
        <w:rPr>
          <w:rFonts w:cstheme="minorHAnsi"/>
          <w:sz w:val="22"/>
          <w:szCs w:val="22"/>
        </w:rPr>
        <w:instrText xml:space="preserve"> ADDIN EN.CITE &lt;EndNote&gt;&lt;Cite&gt;&lt;Author&gt;Bulkeley&lt;/Author&gt;&lt;Year&gt;2013&lt;/Year&gt;&lt;RecNum&gt;111&lt;/RecNum&gt;&lt;DisplayText&gt;[&lt;style face="italic"&gt;Bulkeley&lt;/style&gt;, 2013]&lt;/DisplayText&gt;&lt;record&gt;&lt;rec-number&gt;111&lt;/rec-number&gt;&lt;foreign-keys&gt;&lt;key app="EN" db-id="xfww5wsa3d5avces52ex0wdo9p50ve09dwwd"&gt;111&lt;/key&gt;&lt;/foreign-keys&gt;&lt;ref-type name="Book"&gt;6&lt;/ref-type&gt;&lt;contributors&gt;&lt;authors&gt;&lt;author&gt;Harriet Bulkeley&lt;/author&gt;&lt;/authors&gt;&lt;/contributors&gt;&lt;titles&gt;&lt;title&gt;Cities and Climate Change&lt;/title&gt;&lt;/titles&gt;&lt;dates&gt;&lt;year&gt;2013&lt;/year&gt;&lt;/dates&gt;&lt;pub-location&gt;London&lt;/pub-location&gt;&lt;publisher&gt;Routledge&lt;/publisher&gt;&lt;urls&gt;&lt;/urls&gt;&lt;/record&gt;&lt;/Cite&gt;&lt;/EndNote&gt;</w:instrText>
      </w:r>
      <w:r w:rsidRPr="00F43027">
        <w:rPr>
          <w:rFonts w:cstheme="minorHAnsi"/>
          <w:sz w:val="22"/>
          <w:szCs w:val="22"/>
        </w:rPr>
        <w:fldChar w:fldCharType="end"/>
      </w:r>
      <w:r w:rsidRPr="00F43027">
        <w:rPr>
          <w:rFonts w:cstheme="minorHAnsi"/>
          <w:sz w:val="22"/>
          <w:szCs w:val="22"/>
        </w:rPr>
        <w:t>.</w:t>
      </w:r>
      <w:r w:rsidR="00B6458B">
        <w:rPr>
          <w:rFonts w:cstheme="minorHAnsi"/>
          <w:sz w:val="22"/>
          <w:szCs w:val="22"/>
        </w:rPr>
        <w:fldChar w:fldCharType="begin"/>
      </w:r>
      <w:r w:rsidR="00B6458B">
        <w:rPr>
          <w:rFonts w:cstheme="minorHAnsi"/>
          <w:sz w:val="22"/>
          <w:szCs w:val="22"/>
        </w:rPr>
        <w:instrText xml:space="preserve"> ADDIN ZOTERO_ITEM CSL_CITATION {"citationID":"XNZsonUc","properties":{"formattedCitation":"\\super 2,3\\nosupersub{}","plainCitation":"2,3","noteIndex":0},"citationItems":[{"id":1207,"uris":["http://zotero.org/users/901279/items/5JLNPAU9"],"uri":["http://zotero.org/users/901279/items/5JLNPAU9"],"itemData":{"id":1207,"type":"article-journal","title":"Urbanization and the carbon cycle: Contributions from social science","container-title":"Earth's Future","page":"n/a-n/a","source":"CrossRef","DOI":"10.1002/2014EF000257","ISSN":"23284277","shortTitle":"Urbanization and the carbon cycle","language":"en","author":[{"family":"Marcotullio","given":"Peter J."},{"family":"Hughes","given":"Sara"},{"family":"Sarzynski","given":"Andrea"},{"family":"Pincetl","given":"Stephanie"},{"family":"Sanchez Peña","given":"Landy"},{"family":"Romero-Lankao","given":"Patricia"},{"family":"Runfola","given":"Daniel"},{"family":"Seto","given":"Karen C."}],"issued":{"date-parts":[["2014",8]]}}},{"id":961,"uris":["http://zotero.org/users/901279/items/LRU7N2WP"],"uri":["http://zotero.org/users/901279/items/LRU7N2WP"],"itemData":{"id":961,"type":"article-journal","title":"Testing theories to explore the drivers of cities' atmospheric emissions","container-title":"AMBIO: A Journal of the Human Environment","page":"236-244","volume":"38","issue":"4","ISSN":"0044-7447","shortTitle":"Testing theories to explore the drivers of cities' atmospheric emissions","author":[{"family":"Romero-Lankao","given":"Patricia"},{"family":"Tribbia","given":"John L"},{"family":"Nychka","given":"Doug"}],"issued":{"date-parts":[["2009"]]}}}],"schema":"https://github.com/citation-style-language/schema/raw/master/csl-citation.json"} </w:instrText>
      </w:r>
      <w:r w:rsidR="00B6458B">
        <w:rPr>
          <w:rFonts w:cstheme="minorHAnsi"/>
          <w:sz w:val="22"/>
          <w:szCs w:val="22"/>
        </w:rPr>
        <w:fldChar w:fldCharType="separate"/>
      </w:r>
      <w:r w:rsidR="00B6458B" w:rsidRPr="00B6458B">
        <w:rPr>
          <w:rFonts w:ascii="Calibri" w:cs="Calibri"/>
          <w:sz w:val="22"/>
          <w:vertAlign w:val="superscript"/>
        </w:rPr>
        <w:t>2,3</w:t>
      </w:r>
      <w:r w:rsidR="00B6458B">
        <w:rPr>
          <w:rFonts w:cstheme="minorHAnsi"/>
          <w:sz w:val="22"/>
          <w:szCs w:val="22"/>
        </w:rPr>
        <w:fldChar w:fldCharType="end"/>
      </w:r>
      <w:r w:rsidRPr="00F43027">
        <w:rPr>
          <w:rFonts w:cstheme="minorHAnsi"/>
          <w:sz w:val="22"/>
          <w:szCs w:val="22"/>
        </w:rPr>
        <w:t xml:space="preserve"> </w:t>
      </w:r>
      <w:r w:rsidRPr="00CE3194">
        <w:rPr>
          <w:rFonts w:cstheme="minorHAnsi"/>
          <w:sz w:val="22"/>
          <w:szCs w:val="22"/>
        </w:rPr>
        <w:t>For instance,</w:t>
      </w:r>
      <w:r w:rsidRPr="00F43027">
        <w:rPr>
          <w:rFonts w:cstheme="minorHAnsi"/>
          <w:sz w:val="22"/>
          <w:szCs w:val="22"/>
        </w:rPr>
        <w:t xml:space="preserve"> </w:t>
      </w:r>
      <w:r w:rsidRPr="00CE3194">
        <w:rPr>
          <w:rFonts w:cstheme="minorHAnsi"/>
          <w:sz w:val="22"/>
          <w:szCs w:val="22"/>
        </w:rPr>
        <w:t>t</w:t>
      </w:r>
      <w:r w:rsidRPr="00F43027">
        <w:rPr>
          <w:rFonts w:cstheme="minorHAnsi"/>
          <w:sz w:val="22"/>
          <w:szCs w:val="22"/>
        </w:rPr>
        <w:t>he percentage of public transportation</w:t>
      </w:r>
      <w:r w:rsidRPr="00CE3194">
        <w:rPr>
          <w:rFonts w:cstheme="minorHAnsi"/>
          <w:sz w:val="22"/>
          <w:szCs w:val="22"/>
        </w:rPr>
        <w:t>, an indicator of governance,</w:t>
      </w:r>
      <w:r w:rsidRPr="00F43027">
        <w:rPr>
          <w:rFonts w:cstheme="minorHAnsi"/>
          <w:sz w:val="22"/>
          <w:szCs w:val="22"/>
        </w:rPr>
        <w:t xml:space="preserve"> is significant and negatively elastic for energy use by the </w:t>
      </w:r>
      <w:r w:rsidR="0053783B">
        <w:rPr>
          <w:rFonts w:cstheme="minorHAnsi"/>
          <w:sz w:val="22"/>
          <w:szCs w:val="22"/>
        </w:rPr>
        <w:t xml:space="preserve">public transit </w:t>
      </w:r>
      <w:r w:rsidRPr="00F43027">
        <w:rPr>
          <w:rFonts w:cstheme="minorHAnsi"/>
          <w:sz w:val="22"/>
          <w:szCs w:val="22"/>
        </w:rPr>
        <w:t xml:space="preserve">sector (for example, a 1% increase in public transportation use would lead to a decrease in CO emissions by 0.48%, with other factors held constant). </w:t>
      </w:r>
      <w:r w:rsidRPr="00CE3194">
        <w:rPr>
          <w:rFonts w:cstheme="minorHAnsi"/>
          <w:sz w:val="22"/>
          <w:szCs w:val="22"/>
        </w:rPr>
        <w:t>F</w:t>
      </w:r>
      <w:r w:rsidRPr="00F43027">
        <w:rPr>
          <w:rFonts w:cstheme="minorHAnsi"/>
          <w:sz w:val="22"/>
          <w:szCs w:val="22"/>
        </w:rPr>
        <w:t xml:space="preserve">or </w:t>
      </w:r>
      <w:r w:rsidR="00E40775">
        <w:rPr>
          <w:rFonts w:cstheme="minorHAnsi"/>
          <w:sz w:val="22"/>
          <w:szCs w:val="22"/>
        </w:rPr>
        <w:t xml:space="preserve">public </w:t>
      </w:r>
      <w:r w:rsidRPr="00F43027">
        <w:rPr>
          <w:rFonts w:cstheme="minorHAnsi"/>
          <w:sz w:val="22"/>
          <w:szCs w:val="22"/>
        </w:rPr>
        <w:t xml:space="preserve">transportation to command a dominant share of traveling it needs to reliable, comfortable, and safe, thus a proof of good governance. Still, notwithstanding being unreliable, uncomfortable, or unsafe, </w:t>
      </w:r>
      <w:r w:rsidR="00E40775">
        <w:rPr>
          <w:rFonts w:cstheme="minorHAnsi"/>
          <w:sz w:val="22"/>
          <w:szCs w:val="22"/>
        </w:rPr>
        <w:t xml:space="preserve">public </w:t>
      </w:r>
      <w:r w:rsidRPr="00F43027">
        <w:rPr>
          <w:rFonts w:cstheme="minorHAnsi"/>
          <w:sz w:val="22"/>
          <w:szCs w:val="22"/>
        </w:rPr>
        <w:t xml:space="preserve">transportation </w:t>
      </w:r>
      <w:r w:rsidR="00E40775">
        <w:rPr>
          <w:rFonts w:cstheme="minorHAnsi"/>
          <w:sz w:val="22"/>
          <w:szCs w:val="22"/>
        </w:rPr>
        <w:t>is often</w:t>
      </w:r>
      <w:r w:rsidRPr="00F43027">
        <w:rPr>
          <w:rFonts w:cstheme="minorHAnsi"/>
          <w:sz w:val="22"/>
          <w:szCs w:val="22"/>
        </w:rPr>
        <w:t xml:space="preserve"> the only option for poor populations. </w:t>
      </w:r>
    </w:p>
    <w:p w14:paraId="5C9FAC43" w14:textId="77777777" w:rsidR="00F43027" w:rsidRPr="00F43027" w:rsidRDefault="00F43027" w:rsidP="00F43027">
      <w:pPr>
        <w:rPr>
          <w:rFonts w:cstheme="minorHAnsi"/>
          <w:b/>
          <w:sz w:val="22"/>
          <w:szCs w:val="22"/>
        </w:rPr>
      </w:pPr>
    </w:p>
    <w:p w14:paraId="74A07E72" w14:textId="77777777" w:rsidR="00F43027" w:rsidRPr="00F43027" w:rsidRDefault="00F43027" w:rsidP="00F43027">
      <w:pPr>
        <w:numPr>
          <w:ilvl w:val="0"/>
          <w:numId w:val="7"/>
        </w:numPr>
        <w:rPr>
          <w:rFonts w:cstheme="minorHAnsi"/>
          <w:b/>
          <w:sz w:val="22"/>
          <w:szCs w:val="22"/>
        </w:rPr>
      </w:pPr>
      <w:r w:rsidRPr="00F43027">
        <w:rPr>
          <w:rFonts w:cstheme="minorHAnsi"/>
          <w:b/>
          <w:sz w:val="22"/>
          <w:szCs w:val="22"/>
        </w:rPr>
        <w:t>Methods and data</w:t>
      </w:r>
    </w:p>
    <w:p w14:paraId="4C1FE222" w14:textId="77777777" w:rsidR="00F43027" w:rsidRPr="00F43027" w:rsidRDefault="00F43027" w:rsidP="00F43027">
      <w:pPr>
        <w:rPr>
          <w:rFonts w:cstheme="minorHAnsi"/>
          <w:sz w:val="22"/>
          <w:szCs w:val="22"/>
        </w:rPr>
      </w:pPr>
    </w:p>
    <w:p w14:paraId="7E3322F7" w14:textId="35613585" w:rsidR="00F43027" w:rsidRPr="00F43027" w:rsidRDefault="00F43027" w:rsidP="00F43027">
      <w:pPr>
        <w:rPr>
          <w:rFonts w:cstheme="minorHAnsi"/>
          <w:b/>
          <w:sz w:val="22"/>
          <w:szCs w:val="22"/>
        </w:rPr>
      </w:pPr>
      <w:r w:rsidRPr="00F43027">
        <w:rPr>
          <w:rFonts w:cstheme="minorHAnsi"/>
          <w:sz w:val="22"/>
          <w:szCs w:val="22"/>
        </w:rPr>
        <w:t xml:space="preserve">Data: Besides data on energy use, we will gather data assess the influence of five of factors: socio-demographic, economic, techno-infrastructural, </w:t>
      </w:r>
      <w:r w:rsidRPr="00F43027">
        <w:rPr>
          <w:rFonts w:cstheme="minorHAnsi"/>
          <w:i/>
          <w:iCs/>
          <w:sz w:val="22"/>
          <w:szCs w:val="22"/>
        </w:rPr>
        <w:t>e</w:t>
      </w:r>
      <w:r w:rsidRPr="00F43027">
        <w:rPr>
          <w:rFonts w:cstheme="minorHAnsi"/>
          <w:sz w:val="22"/>
          <w:szCs w:val="22"/>
        </w:rPr>
        <w:t>nvironmental and governance (SET</w:t>
      </w:r>
      <w:r w:rsidRPr="00F43027">
        <w:rPr>
          <w:rFonts w:cstheme="minorHAnsi"/>
          <w:i/>
          <w:iCs/>
          <w:sz w:val="22"/>
          <w:szCs w:val="22"/>
        </w:rPr>
        <w:t>E</w:t>
      </w:r>
      <w:r w:rsidRPr="00F43027">
        <w:rPr>
          <w:rFonts w:cstheme="minorHAnsi"/>
          <w:sz w:val="22"/>
          <w:szCs w:val="22"/>
        </w:rPr>
        <w:t>G).</w:t>
      </w:r>
      <w:r w:rsidR="00B6458B">
        <w:rPr>
          <w:rFonts w:cstheme="minorHAnsi"/>
          <w:sz w:val="22"/>
          <w:szCs w:val="22"/>
        </w:rPr>
        <w:fldChar w:fldCharType="begin"/>
      </w:r>
      <w:r w:rsidR="00B6458B">
        <w:rPr>
          <w:rFonts w:cstheme="minorHAnsi"/>
          <w:sz w:val="22"/>
          <w:szCs w:val="22"/>
        </w:rPr>
        <w:instrText xml:space="preserve"> ADDIN ZOTERO_ITEM CSL_CITATION {"citationID":"dHAXKF7G","properties":{"formattedCitation":"\\super 8\\nosupersub{}","plainCitation":"8","noteIndex":0},"citationItems":[{"id":702,"uris":["http://zotero.org/users/901279/items/YGD9VHCM"],"uri":["http://zotero.org/users/901279/items/YGD9VHCM"],"itemData":{"id":702,"type":"article-journal","title":"Conceptualizing Urban Water Security in an Urbanizing World","container-title":"Current Opinion in Environmental Sustainability","abstract":"(under review)","author":[{"family":"Romero-Lankao","given":"P"},{"family":"Gnatz","given":"Daniel M"}],"issued":{"date-parts":[["2016"]]}}}],"schema":"https://github.com/citation-style-language/schema/raw/master/csl-citation.json"} </w:instrText>
      </w:r>
      <w:r w:rsidR="00B6458B">
        <w:rPr>
          <w:rFonts w:cstheme="minorHAnsi"/>
          <w:sz w:val="22"/>
          <w:szCs w:val="22"/>
        </w:rPr>
        <w:fldChar w:fldCharType="separate"/>
      </w:r>
      <w:r w:rsidR="00B6458B" w:rsidRPr="00B6458B">
        <w:rPr>
          <w:rFonts w:ascii="Calibri" w:cs="Calibri"/>
          <w:sz w:val="22"/>
          <w:vertAlign w:val="superscript"/>
        </w:rPr>
        <w:t>8</w:t>
      </w:r>
      <w:r w:rsidR="00B6458B">
        <w:rPr>
          <w:rFonts w:cstheme="minorHAnsi"/>
          <w:sz w:val="22"/>
          <w:szCs w:val="22"/>
        </w:rPr>
        <w:fldChar w:fldCharType="end"/>
      </w:r>
      <w:r w:rsidRPr="00F43027">
        <w:rPr>
          <w:rFonts w:cstheme="minorHAnsi"/>
          <w:sz w:val="22"/>
          <w:szCs w:val="22"/>
        </w:rPr>
        <w:t xml:space="preserve"> Information on sociodemographic and economic indicators such as gender, education, ethnicity, income and house tenure are from the U.S. Census and American Community Survey (IPUMS-NHGIS). Urban form and governance indicators are from both IPUMS-NHGIS and the Center for Neighborhood Technology’s Housing and + Transportation Affordability Index (CNTH+T Index). Impact indicators are from CNTH+T and from the Low-Income Energy Affordability Data (LEAD) Tool. Index Heating and cooling degree days were obtained from NOAA as a proxy for weather and climate conditions for 2016 (See Table 2).</w:t>
      </w:r>
    </w:p>
    <w:p w14:paraId="0AD15E29" w14:textId="77777777" w:rsidR="00F43027" w:rsidRPr="00F43027" w:rsidRDefault="00F43027" w:rsidP="00F43027">
      <w:pPr>
        <w:rPr>
          <w:rFonts w:cstheme="minorHAnsi"/>
          <w:sz w:val="22"/>
          <w:szCs w:val="22"/>
        </w:rPr>
      </w:pPr>
    </w:p>
    <w:p w14:paraId="1D160B43" w14:textId="77777777" w:rsidR="00F43027" w:rsidRPr="00F43027" w:rsidRDefault="00F43027" w:rsidP="00F43027">
      <w:pPr>
        <w:rPr>
          <w:rFonts w:cstheme="minorHAnsi"/>
          <w:sz w:val="22"/>
          <w:szCs w:val="22"/>
        </w:rPr>
      </w:pPr>
      <w:r w:rsidRPr="00F43027">
        <w:rPr>
          <w:rFonts w:cstheme="minorHAnsi"/>
          <w:sz w:val="22"/>
          <w:szCs w:val="22"/>
        </w:rPr>
        <w:t>Our goal is for most variables to be in natural logarithmic form. Variables that cannot be interpreted in logarithmic form will be coded as dummy variables.</w:t>
      </w:r>
    </w:p>
    <w:p w14:paraId="71BABDF0" w14:textId="77777777" w:rsidR="00F43027" w:rsidRPr="00F43027" w:rsidRDefault="00F43027" w:rsidP="00F43027">
      <w:pPr>
        <w:rPr>
          <w:rFonts w:cstheme="minorHAnsi"/>
          <w:sz w:val="22"/>
          <w:szCs w:val="22"/>
        </w:rPr>
      </w:pPr>
    </w:p>
    <w:p w14:paraId="24158DA9" w14:textId="0483CCD7" w:rsidR="00F43027" w:rsidRPr="00F43027" w:rsidRDefault="00F43027" w:rsidP="00F43027">
      <w:pPr>
        <w:rPr>
          <w:rFonts w:cstheme="minorHAnsi"/>
          <w:sz w:val="22"/>
          <w:szCs w:val="22"/>
        </w:rPr>
      </w:pPr>
      <w:r w:rsidRPr="00F43027">
        <w:rPr>
          <w:rFonts w:cstheme="minorHAnsi"/>
          <w:sz w:val="22"/>
          <w:szCs w:val="22"/>
        </w:rPr>
        <w:t xml:space="preserve">Methods: </w:t>
      </w:r>
    </w:p>
    <w:p w14:paraId="69E84E67" w14:textId="77777777" w:rsidR="00F43027" w:rsidRPr="00F43027" w:rsidRDefault="00F43027" w:rsidP="00F43027">
      <w:pPr>
        <w:rPr>
          <w:rFonts w:cstheme="minorHAnsi"/>
          <w:sz w:val="22"/>
          <w:szCs w:val="22"/>
        </w:rPr>
      </w:pPr>
    </w:p>
    <w:p w14:paraId="1014C699" w14:textId="5F304211" w:rsidR="00F43027" w:rsidRPr="00F43027" w:rsidRDefault="00F43027" w:rsidP="00F43027">
      <w:pPr>
        <w:numPr>
          <w:ilvl w:val="0"/>
          <w:numId w:val="8"/>
        </w:numPr>
        <w:rPr>
          <w:rFonts w:cstheme="minorHAnsi"/>
          <w:sz w:val="22"/>
          <w:szCs w:val="22"/>
        </w:rPr>
      </w:pPr>
      <w:r w:rsidRPr="00F43027">
        <w:rPr>
          <w:rFonts w:cstheme="minorHAnsi"/>
          <w:sz w:val="22"/>
          <w:szCs w:val="22"/>
        </w:rPr>
        <w:t>Build on existing literature and our prior work [], to create indicators describing the multidimensional SET</w:t>
      </w:r>
      <w:r w:rsidRPr="00F43027">
        <w:rPr>
          <w:rFonts w:cstheme="minorHAnsi"/>
          <w:i/>
          <w:sz w:val="22"/>
          <w:szCs w:val="22"/>
        </w:rPr>
        <w:t>E</w:t>
      </w:r>
      <w:r w:rsidRPr="00F43027">
        <w:rPr>
          <w:rFonts w:cstheme="minorHAnsi"/>
          <w:sz w:val="22"/>
          <w:szCs w:val="22"/>
        </w:rPr>
        <w:t xml:space="preserve">G factors associated with </w:t>
      </w:r>
      <w:r w:rsidR="00CE3194" w:rsidRPr="00CE3194">
        <w:rPr>
          <w:rFonts w:cstheme="minorHAnsi"/>
          <w:sz w:val="22"/>
          <w:szCs w:val="22"/>
        </w:rPr>
        <w:t xml:space="preserve">differences in </w:t>
      </w:r>
      <w:r w:rsidRPr="00F43027">
        <w:rPr>
          <w:rFonts w:cstheme="minorHAnsi"/>
          <w:sz w:val="22"/>
          <w:szCs w:val="22"/>
        </w:rPr>
        <w:t xml:space="preserve">transportation behaviors, and energy use.  </w:t>
      </w:r>
    </w:p>
    <w:p w14:paraId="081394C2" w14:textId="2934C0D3" w:rsidR="00F43027" w:rsidRPr="00F43027" w:rsidRDefault="00F43027" w:rsidP="00F43027">
      <w:pPr>
        <w:numPr>
          <w:ilvl w:val="0"/>
          <w:numId w:val="8"/>
        </w:numPr>
        <w:rPr>
          <w:rFonts w:cstheme="minorHAnsi"/>
          <w:color w:val="000000" w:themeColor="text1"/>
          <w:sz w:val="22"/>
          <w:szCs w:val="22"/>
        </w:rPr>
      </w:pPr>
      <w:r w:rsidRPr="00F43027">
        <w:rPr>
          <w:rFonts w:cstheme="minorHAnsi"/>
          <w:color w:val="000000" w:themeColor="text1"/>
          <w:sz w:val="22"/>
          <w:szCs w:val="22"/>
        </w:rPr>
        <w:t xml:space="preserve">Conduct a </w:t>
      </w:r>
      <w:r w:rsidR="00CE3194" w:rsidRPr="00CE3194">
        <w:rPr>
          <w:rFonts w:eastAsia="Times New Roman" w:cstheme="minorHAnsi"/>
          <w:color w:val="000000" w:themeColor="text1"/>
          <w:sz w:val="22"/>
          <w:szCs w:val="22"/>
        </w:rPr>
        <w:t>standard multiple regression approach with log-transformed variables as described in standard applied regression literature</w:t>
      </w:r>
      <w:r w:rsidRPr="00F43027">
        <w:rPr>
          <w:rFonts w:cstheme="minorHAnsi"/>
          <w:color w:val="000000" w:themeColor="text1"/>
          <w:sz w:val="22"/>
          <w:szCs w:val="22"/>
        </w:rPr>
        <w:t xml:space="preserve">. </w:t>
      </w:r>
    </w:p>
    <w:p w14:paraId="723E7A4A" w14:textId="688B4F3E" w:rsidR="00F43027" w:rsidRPr="00F43027" w:rsidRDefault="00F43027" w:rsidP="00F43027">
      <w:pPr>
        <w:numPr>
          <w:ilvl w:val="0"/>
          <w:numId w:val="8"/>
        </w:numPr>
        <w:rPr>
          <w:rFonts w:cstheme="minorHAnsi"/>
          <w:sz w:val="22"/>
          <w:szCs w:val="22"/>
        </w:rPr>
      </w:pPr>
      <w:r w:rsidRPr="00F43027">
        <w:rPr>
          <w:rFonts w:cstheme="minorHAnsi"/>
          <w:sz w:val="22"/>
          <w:szCs w:val="22"/>
        </w:rPr>
        <w:t xml:space="preserve">Conduct </w:t>
      </w:r>
      <w:r w:rsidR="00CE3194" w:rsidRPr="00CE3194">
        <w:rPr>
          <w:rFonts w:cstheme="minorHAnsi"/>
          <w:sz w:val="22"/>
          <w:szCs w:val="22"/>
        </w:rPr>
        <w:t xml:space="preserve">either threshold regression or </w:t>
      </w:r>
      <w:r w:rsidRPr="00F43027">
        <w:rPr>
          <w:rFonts w:cstheme="minorHAnsi"/>
          <w:sz w:val="22"/>
          <w:szCs w:val="22"/>
        </w:rPr>
        <w:t xml:space="preserve">hierarchical cluster analyses. We might start with a focus on transportation and then move to buildings and resilience in FY2020. </w:t>
      </w:r>
    </w:p>
    <w:p w14:paraId="61E66257" w14:textId="3C02BBB4" w:rsidR="00F43027" w:rsidRPr="00F43027" w:rsidRDefault="00F43027" w:rsidP="00F43027">
      <w:pPr>
        <w:numPr>
          <w:ilvl w:val="0"/>
          <w:numId w:val="8"/>
        </w:numPr>
        <w:rPr>
          <w:rFonts w:cstheme="minorHAnsi"/>
          <w:sz w:val="22"/>
          <w:szCs w:val="22"/>
        </w:rPr>
      </w:pPr>
      <w:r w:rsidRPr="00F43027">
        <w:rPr>
          <w:rFonts w:cstheme="minorHAnsi"/>
          <w:sz w:val="22"/>
          <w:szCs w:val="22"/>
        </w:rPr>
        <w:lastRenderedPageBreak/>
        <w:t>Group settlements</w:t>
      </w:r>
      <w:r w:rsidR="00CE3194" w:rsidRPr="00CE3194">
        <w:rPr>
          <w:rFonts w:cstheme="minorHAnsi"/>
          <w:sz w:val="22"/>
          <w:szCs w:val="22"/>
        </w:rPr>
        <w:t xml:space="preserve"> and populations</w:t>
      </w:r>
      <w:r w:rsidRPr="00F43027">
        <w:rPr>
          <w:rFonts w:cstheme="minorHAnsi"/>
          <w:sz w:val="22"/>
          <w:szCs w:val="22"/>
        </w:rPr>
        <w:t xml:space="preserve"> into high, medium and low energy use clusters. We will run tests for spatial autocorrelation to measure the geographic clustering of each of the input indicators. </w:t>
      </w:r>
    </w:p>
    <w:p w14:paraId="4135685A" w14:textId="77777777" w:rsidR="004766D9" w:rsidRDefault="004766D9">
      <w:pPr>
        <w:rPr>
          <w:rFonts w:cstheme="minorHAnsi"/>
          <w:sz w:val="22"/>
          <w:szCs w:val="22"/>
        </w:rPr>
      </w:pPr>
    </w:p>
    <w:p w14:paraId="50AFD57D" w14:textId="37EA74BB" w:rsidR="00166C80" w:rsidRPr="009B212D" w:rsidRDefault="004766D9">
      <w:pPr>
        <w:rPr>
          <w:rFonts w:cstheme="minorHAnsi"/>
          <w:color w:val="4472C4" w:themeColor="accent1"/>
          <w:sz w:val="22"/>
          <w:szCs w:val="22"/>
        </w:rPr>
      </w:pPr>
      <w:r w:rsidRPr="009B212D">
        <w:rPr>
          <w:rFonts w:cstheme="minorHAnsi"/>
          <w:color w:val="4472C4" w:themeColor="accent1"/>
          <w:sz w:val="22"/>
          <w:szCs w:val="22"/>
        </w:rPr>
        <w:t>Info to relate zip code to block</w:t>
      </w:r>
      <w:r w:rsidR="00166C80" w:rsidRPr="009B212D">
        <w:rPr>
          <w:rFonts w:cstheme="minorHAnsi"/>
          <w:color w:val="4472C4" w:themeColor="accent1"/>
          <w:sz w:val="22"/>
          <w:szCs w:val="22"/>
        </w:rPr>
        <w:br w:type="page"/>
      </w:r>
    </w:p>
    <w:p w14:paraId="7CFE161B" w14:textId="74F0A3F6" w:rsidR="00C83876" w:rsidRPr="00B10A76" w:rsidRDefault="00C83876" w:rsidP="00B84343">
      <w:pPr>
        <w:rPr>
          <w:rFonts w:eastAsia="Times New Roman" w:cstheme="minorHAnsi"/>
          <w:b/>
          <w:w w:val="130"/>
          <w:sz w:val="22"/>
          <w:szCs w:val="22"/>
        </w:rPr>
      </w:pPr>
      <w:r w:rsidRPr="00B10A76">
        <w:rPr>
          <w:rFonts w:eastAsia="Times New Roman" w:cstheme="minorHAnsi"/>
          <w:b/>
          <w:w w:val="130"/>
          <w:sz w:val="22"/>
          <w:szCs w:val="22"/>
        </w:rPr>
        <w:lastRenderedPageBreak/>
        <w:t>Table</w:t>
      </w:r>
      <w:r w:rsidR="00B10A76" w:rsidRPr="00B10A76">
        <w:rPr>
          <w:rFonts w:eastAsia="Times New Roman" w:cstheme="minorHAnsi"/>
          <w:b/>
          <w:w w:val="130"/>
          <w:sz w:val="22"/>
          <w:szCs w:val="22"/>
        </w:rPr>
        <w:t xml:space="preserve"> 1</w:t>
      </w:r>
      <w:r w:rsidR="00B84343" w:rsidRPr="00B10A76">
        <w:rPr>
          <w:rFonts w:eastAsia="Times New Roman" w:cstheme="minorHAnsi"/>
          <w:b/>
          <w:w w:val="130"/>
          <w:sz w:val="22"/>
          <w:szCs w:val="22"/>
        </w:rPr>
        <w:t xml:space="preserve">: </w:t>
      </w:r>
      <w:r w:rsidRPr="00B10A76">
        <w:rPr>
          <w:rFonts w:eastAsia="Times New Roman" w:cstheme="minorHAnsi"/>
          <w:b/>
          <w:w w:val="130"/>
          <w:sz w:val="22"/>
          <w:szCs w:val="22"/>
        </w:rPr>
        <w:t>comparison between the top-down regional approach and the bottom-up IO analysis methods in relation to urban energy assessment</w:t>
      </w:r>
    </w:p>
    <w:p w14:paraId="0BCEDC02" w14:textId="77777777" w:rsidR="00C83876" w:rsidRPr="00B10A76" w:rsidRDefault="00C83876" w:rsidP="00B84343">
      <w:pPr>
        <w:rPr>
          <w:rFonts w:cstheme="minorHAnsi"/>
          <w:sz w:val="22"/>
          <w:szCs w:val="22"/>
        </w:rPr>
      </w:pPr>
    </w:p>
    <w:tbl>
      <w:tblPr>
        <w:tblStyle w:val="TableGrid"/>
        <w:tblW w:w="0" w:type="auto"/>
        <w:tblLook w:val="04A0" w:firstRow="1" w:lastRow="0" w:firstColumn="1" w:lastColumn="0" w:noHBand="0" w:noVBand="1"/>
      </w:tblPr>
      <w:tblGrid>
        <w:gridCol w:w="1558"/>
        <w:gridCol w:w="1973"/>
        <w:gridCol w:w="1840"/>
        <w:gridCol w:w="1747"/>
        <w:gridCol w:w="2232"/>
      </w:tblGrid>
      <w:tr w:rsidR="001D4B3D" w:rsidRPr="00B10A76" w14:paraId="798FAE69" w14:textId="77777777" w:rsidTr="00C83876">
        <w:trPr>
          <w:trHeight w:val="284"/>
        </w:trPr>
        <w:tc>
          <w:tcPr>
            <w:tcW w:w="1686" w:type="dxa"/>
          </w:tcPr>
          <w:p w14:paraId="7A7F2424" w14:textId="236B6EBF" w:rsidR="001D4B3D" w:rsidRPr="00B10A76" w:rsidRDefault="001D4B3D" w:rsidP="00B84343">
            <w:pPr>
              <w:jc w:val="both"/>
              <w:rPr>
                <w:rFonts w:cstheme="minorHAnsi"/>
                <w:sz w:val="20"/>
                <w:szCs w:val="20"/>
              </w:rPr>
            </w:pPr>
            <w:r w:rsidRPr="00B10A76">
              <w:rPr>
                <w:rFonts w:eastAsia="Times New Roman" w:cstheme="minorHAnsi"/>
                <w:w w:val="130"/>
                <w:sz w:val="20"/>
                <w:szCs w:val="20"/>
              </w:rPr>
              <w:t>Starting</w:t>
            </w:r>
            <w:r w:rsidRPr="00B10A76">
              <w:rPr>
                <w:rFonts w:eastAsia="Times New Roman" w:cstheme="minorHAnsi"/>
                <w:spacing w:val="2"/>
                <w:w w:val="130"/>
                <w:sz w:val="20"/>
                <w:szCs w:val="20"/>
              </w:rPr>
              <w:t xml:space="preserve"> </w:t>
            </w:r>
            <w:r w:rsidRPr="00B10A76">
              <w:rPr>
                <w:rFonts w:eastAsia="Times New Roman" w:cstheme="minorHAnsi"/>
                <w:w w:val="130"/>
                <w:sz w:val="20"/>
                <w:szCs w:val="20"/>
              </w:rPr>
              <w:t>point</w:t>
            </w:r>
          </w:p>
        </w:tc>
        <w:tc>
          <w:tcPr>
            <w:tcW w:w="2523" w:type="dxa"/>
          </w:tcPr>
          <w:p w14:paraId="7A9A7B00" w14:textId="060AC3C1" w:rsidR="001D4B3D" w:rsidRPr="00B10A76" w:rsidRDefault="001D4B3D" w:rsidP="00B84343">
            <w:pPr>
              <w:jc w:val="both"/>
              <w:rPr>
                <w:rFonts w:cstheme="minorHAnsi"/>
                <w:sz w:val="20"/>
                <w:szCs w:val="20"/>
              </w:rPr>
            </w:pPr>
            <w:r w:rsidRPr="00B10A76">
              <w:rPr>
                <w:rFonts w:eastAsia="Times New Roman" w:cstheme="minorHAnsi"/>
                <w:w w:val="130"/>
                <w:sz w:val="20"/>
                <w:szCs w:val="20"/>
              </w:rPr>
              <w:t>Items</w:t>
            </w:r>
            <w:r w:rsidRPr="00B10A76">
              <w:rPr>
                <w:rFonts w:eastAsia="Times New Roman" w:cstheme="minorHAnsi"/>
                <w:spacing w:val="-2"/>
                <w:w w:val="130"/>
                <w:sz w:val="20"/>
                <w:szCs w:val="20"/>
              </w:rPr>
              <w:t xml:space="preserve"> </w:t>
            </w:r>
            <w:r w:rsidRPr="00B10A76">
              <w:rPr>
                <w:rFonts w:eastAsia="Times New Roman" w:cstheme="minorHAnsi"/>
                <w:w w:val="130"/>
                <w:sz w:val="20"/>
                <w:szCs w:val="20"/>
              </w:rPr>
              <w:t>covered</w:t>
            </w:r>
          </w:p>
        </w:tc>
        <w:tc>
          <w:tcPr>
            <w:tcW w:w="2108" w:type="dxa"/>
          </w:tcPr>
          <w:p w14:paraId="136DAE02" w14:textId="61C4E91A" w:rsidR="001D4B3D" w:rsidRPr="00B10A76" w:rsidRDefault="001D4B3D" w:rsidP="00B84343">
            <w:pPr>
              <w:jc w:val="both"/>
              <w:rPr>
                <w:rFonts w:cstheme="minorHAnsi"/>
                <w:sz w:val="20"/>
                <w:szCs w:val="20"/>
              </w:rPr>
            </w:pPr>
            <w:r w:rsidRPr="00B10A76">
              <w:rPr>
                <w:rFonts w:eastAsia="Times New Roman" w:cstheme="minorHAnsi"/>
                <w:w w:val="130"/>
                <w:sz w:val="20"/>
                <w:szCs w:val="20"/>
              </w:rPr>
              <w:t>Items</w:t>
            </w:r>
            <w:r w:rsidRPr="00B10A76">
              <w:rPr>
                <w:rFonts w:eastAsia="Times New Roman" w:cstheme="minorHAnsi"/>
                <w:spacing w:val="1"/>
                <w:w w:val="130"/>
                <w:sz w:val="20"/>
                <w:szCs w:val="20"/>
              </w:rPr>
              <w:t xml:space="preserve"> </w:t>
            </w:r>
            <w:r w:rsidRPr="00B10A76">
              <w:rPr>
                <w:rFonts w:eastAsia="Times New Roman" w:cstheme="minorHAnsi"/>
                <w:w w:val="130"/>
                <w:sz w:val="20"/>
                <w:szCs w:val="20"/>
              </w:rPr>
              <w:t>not</w:t>
            </w:r>
            <w:r w:rsidRPr="00B10A76">
              <w:rPr>
                <w:rFonts w:eastAsia="Times New Roman" w:cstheme="minorHAnsi"/>
                <w:spacing w:val="2"/>
                <w:w w:val="130"/>
                <w:sz w:val="20"/>
                <w:szCs w:val="20"/>
              </w:rPr>
              <w:t xml:space="preserve"> </w:t>
            </w:r>
            <w:r w:rsidRPr="00B10A76">
              <w:rPr>
                <w:rFonts w:eastAsia="Times New Roman" w:cstheme="minorHAnsi"/>
                <w:w w:val="130"/>
                <w:sz w:val="20"/>
                <w:szCs w:val="20"/>
              </w:rPr>
              <w:t>covered</w:t>
            </w:r>
          </w:p>
        </w:tc>
        <w:tc>
          <w:tcPr>
            <w:tcW w:w="2110" w:type="dxa"/>
          </w:tcPr>
          <w:p w14:paraId="71B931B4" w14:textId="47D8B181" w:rsidR="001D4B3D" w:rsidRPr="00B10A76" w:rsidRDefault="001D4B3D" w:rsidP="00B84343">
            <w:pPr>
              <w:jc w:val="both"/>
              <w:rPr>
                <w:rFonts w:cstheme="minorHAnsi"/>
                <w:sz w:val="20"/>
                <w:szCs w:val="20"/>
              </w:rPr>
            </w:pPr>
            <w:r w:rsidRPr="00B10A76">
              <w:rPr>
                <w:rFonts w:eastAsia="Times New Roman" w:cstheme="minorHAnsi"/>
                <w:w w:val="130"/>
                <w:sz w:val="20"/>
                <w:szCs w:val="20"/>
              </w:rPr>
              <w:t>What does the</w:t>
            </w:r>
            <w:r w:rsidRPr="00B10A76">
              <w:rPr>
                <w:rFonts w:eastAsia="Times New Roman" w:cstheme="minorHAnsi"/>
                <w:spacing w:val="16"/>
                <w:w w:val="130"/>
                <w:sz w:val="20"/>
                <w:szCs w:val="20"/>
              </w:rPr>
              <w:t xml:space="preserve"> </w:t>
            </w:r>
            <w:r w:rsidRPr="00B10A76">
              <w:rPr>
                <w:rFonts w:eastAsia="Times New Roman" w:cstheme="minorHAnsi"/>
                <w:w w:val="130"/>
                <w:sz w:val="20"/>
                <w:szCs w:val="20"/>
              </w:rPr>
              <w:t>result</w:t>
            </w:r>
            <w:r w:rsidRPr="00B10A76">
              <w:rPr>
                <w:rFonts w:eastAsia="Times New Roman" w:cstheme="minorHAnsi"/>
                <w:spacing w:val="5"/>
                <w:w w:val="130"/>
                <w:sz w:val="20"/>
                <w:szCs w:val="20"/>
              </w:rPr>
              <w:t xml:space="preserve"> </w:t>
            </w:r>
            <w:r w:rsidRPr="00B10A76">
              <w:rPr>
                <w:rFonts w:eastAsia="Times New Roman" w:cstheme="minorHAnsi"/>
                <w:w w:val="130"/>
                <w:sz w:val="20"/>
                <w:szCs w:val="20"/>
              </w:rPr>
              <w:t>reveal?</w:t>
            </w:r>
          </w:p>
        </w:tc>
        <w:tc>
          <w:tcPr>
            <w:tcW w:w="2193" w:type="dxa"/>
          </w:tcPr>
          <w:p w14:paraId="1044FFBA" w14:textId="6A562D1D" w:rsidR="001D4B3D" w:rsidRPr="00B10A76" w:rsidRDefault="001D4B3D" w:rsidP="00B84343">
            <w:pPr>
              <w:widowControl w:val="0"/>
              <w:tabs>
                <w:tab w:val="left" w:pos="2004"/>
                <w:tab w:val="left" w:pos="4113"/>
                <w:tab w:val="left" w:pos="6223"/>
                <w:tab w:val="left" w:pos="8332"/>
              </w:tabs>
              <w:autoSpaceDE w:val="0"/>
              <w:autoSpaceDN w:val="0"/>
              <w:ind w:right="1124"/>
              <w:jc w:val="both"/>
              <w:rPr>
                <w:rFonts w:eastAsia="Times New Roman" w:cstheme="minorHAnsi"/>
                <w:sz w:val="20"/>
                <w:szCs w:val="20"/>
              </w:rPr>
            </w:pPr>
            <w:r w:rsidRPr="00B10A76">
              <w:rPr>
                <w:rFonts w:eastAsia="Times New Roman" w:cstheme="minorHAnsi"/>
                <w:w w:val="130"/>
                <w:sz w:val="20"/>
                <w:szCs w:val="20"/>
              </w:rPr>
              <w:t>Suitable for</w:t>
            </w:r>
          </w:p>
          <w:p w14:paraId="68B4C252" w14:textId="77777777" w:rsidR="001D4B3D" w:rsidRPr="00B10A76" w:rsidRDefault="001D4B3D" w:rsidP="00B84343">
            <w:pPr>
              <w:jc w:val="both"/>
              <w:rPr>
                <w:rFonts w:cstheme="minorHAnsi"/>
                <w:sz w:val="20"/>
                <w:szCs w:val="20"/>
              </w:rPr>
            </w:pPr>
          </w:p>
        </w:tc>
      </w:tr>
      <w:tr w:rsidR="001D4B3D" w:rsidRPr="00B10A76" w14:paraId="2AFB0E4E" w14:textId="77777777" w:rsidTr="00C72E81">
        <w:trPr>
          <w:trHeight w:val="3941"/>
        </w:trPr>
        <w:tc>
          <w:tcPr>
            <w:tcW w:w="1686" w:type="dxa"/>
          </w:tcPr>
          <w:p w14:paraId="1DA2C9B1" w14:textId="1E9881CB" w:rsidR="001D4B3D" w:rsidRPr="00B10A76" w:rsidRDefault="001D4B3D" w:rsidP="00B84343">
            <w:pPr>
              <w:widowControl w:val="0"/>
              <w:autoSpaceDE w:val="0"/>
              <w:autoSpaceDN w:val="0"/>
              <w:rPr>
                <w:rFonts w:eastAsia="Times New Roman" w:cstheme="minorHAnsi"/>
                <w:i/>
                <w:sz w:val="20"/>
                <w:szCs w:val="20"/>
              </w:rPr>
            </w:pPr>
            <w:r w:rsidRPr="00B10A76">
              <w:rPr>
                <w:rFonts w:eastAsia="Times New Roman" w:cstheme="minorHAnsi"/>
                <w:i/>
                <w:w w:val="120"/>
                <w:sz w:val="20"/>
                <w:szCs w:val="20"/>
              </w:rPr>
              <w:t>Top-down regional</w:t>
            </w:r>
            <w:r w:rsidR="00564EF2" w:rsidRPr="00B10A76">
              <w:rPr>
                <w:rFonts w:eastAsia="Times New Roman" w:cstheme="minorHAnsi"/>
                <w:i/>
                <w:w w:val="120"/>
                <w:sz w:val="20"/>
                <w:szCs w:val="20"/>
              </w:rPr>
              <w:t>, production</w:t>
            </w:r>
            <w:r w:rsidRPr="00B10A76">
              <w:rPr>
                <w:rFonts w:eastAsia="Times New Roman" w:cstheme="minorHAnsi"/>
                <w:i/>
                <w:w w:val="120"/>
                <w:sz w:val="20"/>
                <w:szCs w:val="20"/>
              </w:rPr>
              <w:t xml:space="preserve"> approach</w:t>
            </w:r>
          </w:p>
          <w:p w14:paraId="1822DE32" w14:textId="5BB7FDCB" w:rsidR="001D4B3D" w:rsidRPr="00B10A76" w:rsidRDefault="001D4B3D" w:rsidP="00B84343">
            <w:pPr>
              <w:rPr>
                <w:rFonts w:cstheme="minorHAnsi"/>
                <w:sz w:val="20"/>
                <w:szCs w:val="20"/>
              </w:rPr>
            </w:pPr>
          </w:p>
        </w:tc>
        <w:tc>
          <w:tcPr>
            <w:tcW w:w="2523" w:type="dxa"/>
          </w:tcPr>
          <w:p w14:paraId="46B5BFA2" w14:textId="4FAC7F21" w:rsidR="001D4B3D" w:rsidRPr="00B10A76" w:rsidRDefault="001D4B3D" w:rsidP="00B84343">
            <w:pPr>
              <w:widowControl w:val="0"/>
              <w:tabs>
                <w:tab w:val="left" w:pos="2123"/>
              </w:tabs>
              <w:autoSpaceDE w:val="0"/>
              <w:autoSpaceDN w:val="0"/>
              <w:ind w:right="303"/>
              <w:rPr>
                <w:rFonts w:eastAsia="Times New Roman" w:cstheme="minorHAnsi"/>
                <w:sz w:val="20"/>
                <w:szCs w:val="20"/>
              </w:rPr>
            </w:pPr>
            <w:r w:rsidRPr="00B10A76">
              <w:rPr>
                <w:rFonts w:eastAsia="Times New Roman" w:cstheme="minorHAnsi"/>
                <w:w w:val="125"/>
                <w:sz w:val="20"/>
                <w:szCs w:val="20"/>
              </w:rPr>
              <w:t>Residential operational energy</w:t>
            </w:r>
          </w:p>
          <w:p w14:paraId="458586D6" w14:textId="77777777" w:rsidR="001D4B3D" w:rsidRPr="00B10A76" w:rsidRDefault="001D4B3D" w:rsidP="00B84343">
            <w:pPr>
              <w:widowControl w:val="0"/>
              <w:tabs>
                <w:tab w:val="left" w:pos="2266"/>
              </w:tabs>
              <w:autoSpaceDE w:val="0"/>
              <w:autoSpaceDN w:val="0"/>
              <w:rPr>
                <w:rFonts w:eastAsia="Times New Roman" w:cstheme="minorHAnsi"/>
                <w:sz w:val="20"/>
                <w:szCs w:val="20"/>
              </w:rPr>
            </w:pPr>
            <w:r w:rsidRPr="00B10A76">
              <w:rPr>
                <w:rFonts w:eastAsia="Times New Roman" w:cstheme="minorHAnsi"/>
                <w:w w:val="130"/>
                <w:sz w:val="20"/>
                <w:szCs w:val="20"/>
              </w:rPr>
              <w:t>Ground transportation energy (sometimes</w:t>
            </w:r>
            <w:r w:rsidRPr="00B10A76">
              <w:rPr>
                <w:rFonts w:eastAsia="Times New Roman" w:cstheme="minorHAnsi"/>
                <w:spacing w:val="-8"/>
                <w:w w:val="130"/>
                <w:sz w:val="20"/>
                <w:szCs w:val="20"/>
              </w:rPr>
              <w:t xml:space="preserve"> </w:t>
            </w:r>
            <w:r w:rsidRPr="00B10A76">
              <w:rPr>
                <w:rFonts w:eastAsia="Times New Roman" w:cstheme="minorHAnsi"/>
                <w:w w:val="130"/>
                <w:sz w:val="20"/>
                <w:szCs w:val="20"/>
              </w:rPr>
              <w:t>also air and</w:t>
            </w:r>
            <w:r w:rsidRPr="00B10A76">
              <w:rPr>
                <w:rFonts w:eastAsia="Times New Roman" w:cstheme="minorHAnsi"/>
                <w:spacing w:val="11"/>
                <w:w w:val="130"/>
                <w:sz w:val="20"/>
                <w:szCs w:val="20"/>
              </w:rPr>
              <w:t xml:space="preserve"> </w:t>
            </w:r>
            <w:r w:rsidRPr="00B10A76">
              <w:rPr>
                <w:rFonts w:eastAsia="Times New Roman" w:cstheme="minorHAnsi"/>
                <w:w w:val="130"/>
                <w:sz w:val="20"/>
                <w:szCs w:val="20"/>
              </w:rPr>
              <w:t>maritime)</w:t>
            </w:r>
          </w:p>
          <w:p w14:paraId="2E92A98B" w14:textId="77777777" w:rsidR="001D4B3D" w:rsidRPr="00B10A76" w:rsidRDefault="001D4B3D" w:rsidP="00B84343">
            <w:pPr>
              <w:widowControl w:val="0"/>
              <w:tabs>
                <w:tab w:val="left" w:pos="2266"/>
              </w:tabs>
              <w:autoSpaceDE w:val="0"/>
              <w:autoSpaceDN w:val="0"/>
              <w:ind w:right="405"/>
              <w:rPr>
                <w:rFonts w:eastAsia="Times New Roman" w:cstheme="minorHAnsi"/>
                <w:sz w:val="20"/>
                <w:szCs w:val="20"/>
              </w:rPr>
            </w:pPr>
            <w:r w:rsidRPr="00B10A76">
              <w:rPr>
                <w:rFonts w:eastAsia="Times New Roman" w:cstheme="minorHAnsi"/>
                <w:w w:val="130"/>
                <w:sz w:val="20"/>
                <w:szCs w:val="20"/>
              </w:rPr>
              <w:t>Direct energy consumption by industries within boundary</w:t>
            </w:r>
          </w:p>
          <w:p w14:paraId="0CB2D4F2" w14:textId="77777777" w:rsidR="001D4B3D" w:rsidRPr="00B10A76" w:rsidRDefault="001D4B3D" w:rsidP="00B84343">
            <w:pPr>
              <w:rPr>
                <w:rFonts w:cstheme="minorHAnsi"/>
                <w:sz w:val="20"/>
                <w:szCs w:val="20"/>
              </w:rPr>
            </w:pPr>
          </w:p>
        </w:tc>
        <w:tc>
          <w:tcPr>
            <w:tcW w:w="2108" w:type="dxa"/>
          </w:tcPr>
          <w:p w14:paraId="5066313C" w14:textId="2E368B5A" w:rsidR="001D4B3D" w:rsidRPr="00B10A76" w:rsidRDefault="001D4B3D" w:rsidP="00B84343">
            <w:pPr>
              <w:widowControl w:val="0"/>
              <w:tabs>
                <w:tab w:val="left" w:pos="372"/>
              </w:tabs>
              <w:autoSpaceDE w:val="0"/>
              <w:autoSpaceDN w:val="0"/>
              <w:ind w:right="120"/>
              <w:rPr>
                <w:rFonts w:eastAsia="Times New Roman" w:cstheme="minorHAnsi"/>
                <w:sz w:val="20"/>
                <w:szCs w:val="20"/>
              </w:rPr>
            </w:pPr>
            <w:r w:rsidRPr="00B10A76">
              <w:rPr>
                <w:rFonts w:eastAsia="Times New Roman" w:cstheme="minorHAnsi"/>
                <w:w w:val="125"/>
                <w:sz w:val="20"/>
                <w:szCs w:val="20"/>
              </w:rPr>
              <w:t>Embodied energy in service and</w:t>
            </w:r>
            <w:r w:rsidRPr="00B10A76">
              <w:rPr>
                <w:rFonts w:eastAsia="Times New Roman" w:cstheme="minorHAnsi"/>
                <w:spacing w:val="19"/>
                <w:w w:val="125"/>
                <w:sz w:val="20"/>
                <w:szCs w:val="20"/>
              </w:rPr>
              <w:t xml:space="preserve"> </w:t>
            </w:r>
            <w:r w:rsidRPr="00B10A76">
              <w:rPr>
                <w:rFonts w:eastAsia="Times New Roman" w:cstheme="minorHAnsi"/>
                <w:w w:val="125"/>
                <w:sz w:val="20"/>
                <w:szCs w:val="20"/>
              </w:rPr>
              <w:t>goods</w:t>
            </w:r>
          </w:p>
          <w:p w14:paraId="5EA01A68" w14:textId="77777777" w:rsidR="00C83876" w:rsidRPr="00B10A76" w:rsidRDefault="001D4B3D" w:rsidP="00B84343">
            <w:pPr>
              <w:widowControl w:val="0"/>
              <w:tabs>
                <w:tab w:val="left" w:pos="372"/>
              </w:tabs>
              <w:autoSpaceDE w:val="0"/>
              <w:autoSpaceDN w:val="0"/>
              <w:rPr>
                <w:rFonts w:eastAsia="Times New Roman" w:cstheme="minorHAnsi"/>
                <w:w w:val="130"/>
                <w:sz w:val="20"/>
                <w:szCs w:val="20"/>
              </w:rPr>
            </w:pPr>
            <w:r w:rsidRPr="00B10A76">
              <w:rPr>
                <w:rFonts w:eastAsia="Times New Roman" w:cstheme="minorHAnsi"/>
                <w:w w:val="130"/>
                <w:sz w:val="20"/>
                <w:szCs w:val="20"/>
              </w:rPr>
              <w:t>Upstream energy consumed for the extraction</w:t>
            </w:r>
          </w:p>
          <w:p w14:paraId="7B7BB4BE" w14:textId="158DF7C2" w:rsidR="001D4B3D" w:rsidRPr="00B10A76" w:rsidRDefault="00C83876" w:rsidP="00B84343">
            <w:pPr>
              <w:widowControl w:val="0"/>
              <w:tabs>
                <w:tab w:val="left" w:pos="372"/>
              </w:tabs>
              <w:autoSpaceDE w:val="0"/>
              <w:autoSpaceDN w:val="0"/>
              <w:rPr>
                <w:rFonts w:eastAsia="Times New Roman" w:cstheme="minorHAnsi"/>
                <w:sz w:val="20"/>
                <w:szCs w:val="20"/>
              </w:rPr>
            </w:pPr>
            <w:r w:rsidRPr="00B10A76">
              <w:rPr>
                <w:rFonts w:eastAsia="Times New Roman" w:cstheme="minorHAnsi"/>
                <w:w w:val="130"/>
                <w:sz w:val="20"/>
                <w:szCs w:val="20"/>
              </w:rPr>
              <w:t>C</w:t>
            </w:r>
            <w:r w:rsidR="001D4B3D" w:rsidRPr="00B10A76">
              <w:rPr>
                <w:rFonts w:eastAsia="Times New Roman" w:cstheme="minorHAnsi"/>
                <w:w w:val="130"/>
                <w:sz w:val="20"/>
                <w:szCs w:val="20"/>
              </w:rPr>
              <w:t>onversion</w:t>
            </w:r>
            <w:r w:rsidR="001D4B3D" w:rsidRPr="00B10A76">
              <w:rPr>
                <w:rFonts w:eastAsia="Times New Roman" w:cstheme="minorHAnsi"/>
                <w:w w:val="126"/>
                <w:sz w:val="20"/>
                <w:szCs w:val="20"/>
              </w:rPr>
              <w:t xml:space="preserve"> </w:t>
            </w:r>
            <w:r w:rsidR="001D4B3D" w:rsidRPr="00B10A76">
              <w:rPr>
                <w:rFonts w:eastAsia="Times New Roman" w:cstheme="minorHAnsi"/>
                <w:w w:val="130"/>
                <w:sz w:val="20"/>
                <w:szCs w:val="20"/>
              </w:rPr>
              <w:t>and transportation of energy to</w:t>
            </w:r>
            <w:r w:rsidR="001D4B3D" w:rsidRPr="00B10A76">
              <w:rPr>
                <w:rFonts w:eastAsia="Times New Roman" w:cstheme="minorHAnsi"/>
                <w:spacing w:val="-12"/>
                <w:w w:val="130"/>
                <w:sz w:val="20"/>
                <w:szCs w:val="20"/>
              </w:rPr>
              <w:t xml:space="preserve"> </w:t>
            </w:r>
            <w:r w:rsidR="001D4B3D" w:rsidRPr="00B10A76">
              <w:rPr>
                <w:rFonts w:eastAsia="Times New Roman" w:cstheme="minorHAnsi"/>
                <w:w w:val="130"/>
                <w:sz w:val="20"/>
                <w:szCs w:val="20"/>
              </w:rPr>
              <w:t>region.</w:t>
            </w:r>
          </w:p>
          <w:p w14:paraId="43A004E8" w14:textId="77777777" w:rsidR="001D4B3D" w:rsidRPr="00B10A76" w:rsidRDefault="001D4B3D" w:rsidP="00B84343">
            <w:pPr>
              <w:rPr>
                <w:rFonts w:cstheme="minorHAnsi"/>
                <w:sz w:val="20"/>
                <w:szCs w:val="20"/>
              </w:rPr>
            </w:pPr>
          </w:p>
        </w:tc>
        <w:tc>
          <w:tcPr>
            <w:tcW w:w="2110" w:type="dxa"/>
          </w:tcPr>
          <w:p w14:paraId="3435166C" w14:textId="77777777" w:rsidR="001D4B3D" w:rsidRPr="00B10A76" w:rsidRDefault="001D4B3D" w:rsidP="00B84343">
            <w:pPr>
              <w:widowControl w:val="0"/>
              <w:autoSpaceDE w:val="0"/>
              <w:autoSpaceDN w:val="0"/>
              <w:rPr>
                <w:rFonts w:eastAsia="Times New Roman" w:cstheme="minorHAnsi"/>
                <w:sz w:val="20"/>
                <w:szCs w:val="20"/>
              </w:rPr>
            </w:pPr>
            <w:r w:rsidRPr="00B10A76">
              <w:rPr>
                <w:rFonts w:eastAsia="Times New Roman" w:cstheme="minorHAnsi"/>
                <w:w w:val="130"/>
                <w:sz w:val="20"/>
                <w:szCs w:val="20"/>
              </w:rPr>
              <w:t>Per capita direct energy requirements for sustaining households, public administration and industry</w:t>
            </w:r>
          </w:p>
          <w:p w14:paraId="6CE90C93" w14:textId="77777777" w:rsidR="001D4B3D" w:rsidRPr="00B10A76" w:rsidRDefault="001D4B3D" w:rsidP="00B84343">
            <w:pPr>
              <w:rPr>
                <w:rFonts w:cstheme="minorHAnsi"/>
                <w:sz w:val="20"/>
                <w:szCs w:val="20"/>
              </w:rPr>
            </w:pPr>
          </w:p>
        </w:tc>
        <w:tc>
          <w:tcPr>
            <w:tcW w:w="2193" w:type="dxa"/>
          </w:tcPr>
          <w:p w14:paraId="16B39513" w14:textId="5039E30A" w:rsidR="001D4B3D" w:rsidRPr="00B10A76" w:rsidRDefault="001D4B3D" w:rsidP="00B84343">
            <w:pPr>
              <w:widowControl w:val="0"/>
              <w:tabs>
                <w:tab w:val="left" w:pos="372"/>
              </w:tabs>
              <w:autoSpaceDE w:val="0"/>
              <w:autoSpaceDN w:val="0"/>
              <w:ind w:right="368"/>
              <w:rPr>
                <w:rFonts w:eastAsia="Times New Roman" w:cstheme="minorHAnsi"/>
                <w:sz w:val="20"/>
                <w:szCs w:val="20"/>
              </w:rPr>
            </w:pPr>
            <w:r w:rsidRPr="00B10A76">
              <w:rPr>
                <w:rFonts w:eastAsia="Times New Roman" w:cstheme="minorHAnsi"/>
                <w:w w:val="125"/>
                <w:sz w:val="20"/>
                <w:szCs w:val="20"/>
              </w:rPr>
              <w:t>Quantifying ongoing direct energy demand of the city</w:t>
            </w:r>
          </w:p>
          <w:p w14:paraId="026AA49E" w14:textId="77777777" w:rsidR="001D4B3D" w:rsidRPr="00B10A76" w:rsidRDefault="001D4B3D" w:rsidP="00B84343">
            <w:pPr>
              <w:widowControl w:val="0"/>
              <w:tabs>
                <w:tab w:val="left" w:pos="372"/>
              </w:tabs>
              <w:autoSpaceDE w:val="0"/>
              <w:autoSpaceDN w:val="0"/>
              <w:ind w:right="136"/>
              <w:rPr>
                <w:rFonts w:eastAsia="Times New Roman" w:cstheme="minorHAnsi"/>
                <w:sz w:val="20"/>
                <w:szCs w:val="20"/>
              </w:rPr>
            </w:pPr>
            <w:r w:rsidRPr="00B10A76">
              <w:rPr>
                <w:rFonts w:eastAsia="Times New Roman" w:cstheme="minorHAnsi"/>
                <w:w w:val="130"/>
                <w:sz w:val="20"/>
                <w:szCs w:val="20"/>
              </w:rPr>
              <w:t>Policy and management of economic structure and</w:t>
            </w:r>
            <w:r w:rsidRPr="00B10A76">
              <w:rPr>
                <w:rFonts w:eastAsia="Times New Roman" w:cstheme="minorHAnsi"/>
                <w:spacing w:val="-28"/>
                <w:w w:val="130"/>
                <w:sz w:val="20"/>
                <w:szCs w:val="20"/>
              </w:rPr>
              <w:t xml:space="preserve"> </w:t>
            </w:r>
            <w:r w:rsidRPr="00B10A76">
              <w:rPr>
                <w:rFonts w:eastAsia="Times New Roman" w:cstheme="minorHAnsi"/>
                <w:w w:val="130"/>
                <w:sz w:val="20"/>
                <w:szCs w:val="20"/>
              </w:rPr>
              <w:t>energy efﬁciency of the</w:t>
            </w:r>
            <w:r w:rsidRPr="00B10A76">
              <w:rPr>
                <w:rFonts w:eastAsia="Times New Roman" w:cstheme="minorHAnsi"/>
                <w:spacing w:val="-26"/>
                <w:w w:val="130"/>
                <w:sz w:val="20"/>
                <w:szCs w:val="20"/>
              </w:rPr>
              <w:t xml:space="preserve"> </w:t>
            </w:r>
            <w:r w:rsidRPr="00B10A76">
              <w:rPr>
                <w:rFonts w:eastAsia="Times New Roman" w:cstheme="minorHAnsi"/>
                <w:w w:val="130"/>
                <w:sz w:val="20"/>
                <w:szCs w:val="20"/>
              </w:rPr>
              <w:t>city</w:t>
            </w:r>
          </w:p>
          <w:p w14:paraId="43944A81" w14:textId="77777777" w:rsidR="001D4B3D" w:rsidRPr="00B10A76" w:rsidRDefault="001D4B3D" w:rsidP="00B84343">
            <w:pPr>
              <w:rPr>
                <w:rFonts w:cstheme="minorHAnsi"/>
                <w:sz w:val="20"/>
                <w:szCs w:val="20"/>
              </w:rPr>
            </w:pPr>
          </w:p>
        </w:tc>
      </w:tr>
      <w:tr w:rsidR="001D4B3D" w:rsidRPr="00B10A76" w14:paraId="1A223516" w14:textId="77777777" w:rsidTr="00C83876">
        <w:tc>
          <w:tcPr>
            <w:tcW w:w="1686" w:type="dxa"/>
          </w:tcPr>
          <w:p w14:paraId="062377CE" w14:textId="7773B433" w:rsidR="001D4B3D" w:rsidRPr="00B10A76" w:rsidRDefault="001D4B3D" w:rsidP="00B84343">
            <w:pPr>
              <w:widowControl w:val="0"/>
              <w:autoSpaceDE w:val="0"/>
              <w:autoSpaceDN w:val="0"/>
              <w:rPr>
                <w:rFonts w:eastAsia="Times New Roman" w:cstheme="minorHAnsi"/>
                <w:i/>
                <w:sz w:val="22"/>
                <w:szCs w:val="22"/>
              </w:rPr>
            </w:pPr>
            <w:r w:rsidRPr="00B10A76">
              <w:rPr>
                <w:rFonts w:eastAsia="Times New Roman" w:cstheme="minorHAnsi"/>
                <w:i/>
                <w:w w:val="120"/>
                <w:sz w:val="22"/>
                <w:szCs w:val="22"/>
              </w:rPr>
              <w:t xml:space="preserve">Bottom-up  </w:t>
            </w:r>
            <w:r w:rsidR="00C83876" w:rsidRPr="00B10A76">
              <w:rPr>
                <w:rFonts w:eastAsia="Times New Roman" w:cstheme="minorHAnsi"/>
                <w:i/>
                <w:w w:val="120"/>
                <w:sz w:val="22"/>
                <w:szCs w:val="22"/>
              </w:rPr>
              <w:br/>
            </w:r>
            <w:r w:rsidRPr="00B10A76">
              <w:rPr>
                <w:rFonts w:eastAsia="Times New Roman" w:cstheme="minorHAnsi"/>
                <w:i/>
                <w:w w:val="120"/>
                <w:sz w:val="22"/>
                <w:szCs w:val="22"/>
              </w:rPr>
              <w:t>Input–Output</w:t>
            </w:r>
            <w:r w:rsidR="00564EF2" w:rsidRPr="00B10A76">
              <w:rPr>
                <w:rFonts w:eastAsia="Times New Roman" w:cstheme="minorHAnsi"/>
                <w:i/>
                <w:w w:val="120"/>
                <w:sz w:val="22"/>
                <w:szCs w:val="22"/>
              </w:rPr>
              <w:t>, consumption</w:t>
            </w:r>
            <w:r w:rsidRPr="00B10A76">
              <w:rPr>
                <w:rFonts w:eastAsia="Times New Roman" w:cstheme="minorHAnsi"/>
                <w:i/>
                <w:w w:val="120"/>
                <w:sz w:val="22"/>
                <w:szCs w:val="22"/>
              </w:rPr>
              <w:t xml:space="preserve"> approach</w:t>
            </w:r>
          </w:p>
          <w:p w14:paraId="7C609F33" w14:textId="2CD4F374" w:rsidR="001D4B3D" w:rsidRPr="00B10A76" w:rsidRDefault="001D4B3D" w:rsidP="00B84343">
            <w:pPr>
              <w:rPr>
                <w:rFonts w:cstheme="minorHAnsi"/>
                <w:sz w:val="22"/>
                <w:szCs w:val="22"/>
              </w:rPr>
            </w:pPr>
          </w:p>
        </w:tc>
        <w:tc>
          <w:tcPr>
            <w:tcW w:w="2523" w:type="dxa"/>
          </w:tcPr>
          <w:p w14:paraId="0E9E9B21" w14:textId="4F2A17EA" w:rsidR="001D4B3D" w:rsidRPr="00B10A76" w:rsidRDefault="001D4B3D" w:rsidP="00B84343">
            <w:pPr>
              <w:widowControl w:val="0"/>
              <w:tabs>
                <w:tab w:val="left" w:pos="2123"/>
              </w:tabs>
              <w:autoSpaceDE w:val="0"/>
              <w:autoSpaceDN w:val="0"/>
              <w:rPr>
                <w:rFonts w:eastAsia="Times New Roman" w:cstheme="minorHAnsi"/>
                <w:sz w:val="22"/>
                <w:szCs w:val="22"/>
              </w:rPr>
            </w:pPr>
            <w:r w:rsidRPr="00B10A76">
              <w:rPr>
                <w:rFonts w:eastAsia="Times New Roman" w:cstheme="minorHAnsi"/>
                <w:w w:val="130"/>
                <w:sz w:val="22"/>
                <w:szCs w:val="22"/>
              </w:rPr>
              <w:t>Household</w:t>
            </w:r>
            <w:r w:rsidRPr="00B10A76">
              <w:rPr>
                <w:rFonts w:eastAsia="Times New Roman" w:cstheme="minorHAnsi"/>
                <w:spacing w:val="8"/>
                <w:w w:val="130"/>
                <w:sz w:val="22"/>
                <w:szCs w:val="22"/>
              </w:rPr>
              <w:t xml:space="preserve"> </w:t>
            </w:r>
            <w:r w:rsidRPr="00B10A76">
              <w:rPr>
                <w:rFonts w:eastAsia="Times New Roman" w:cstheme="minorHAnsi"/>
                <w:w w:val="130"/>
                <w:sz w:val="22"/>
                <w:szCs w:val="22"/>
              </w:rPr>
              <w:t xml:space="preserve">residential operational </w:t>
            </w:r>
            <w:r w:rsidRPr="00B10A76">
              <w:rPr>
                <w:rFonts w:eastAsia="Times New Roman" w:cstheme="minorHAnsi"/>
                <w:w w:val="130"/>
                <w:sz w:val="22"/>
                <w:szCs w:val="22"/>
              </w:rPr>
              <w:br/>
              <w:t>energy</w:t>
            </w:r>
          </w:p>
          <w:p w14:paraId="75B1F343" w14:textId="77777777" w:rsidR="001D4B3D" w:rsidRPr="00B10A76" w:rsidRDefault="001D4B3D" w:rsidP="00B84343">
            <w:pPr>
              <w:widowControl w:val="0"/>
              <w:tabs>
                <w:tab w:val="left" w:pos="2266"/>
              </w:tabs>
              <w:autoSpaceDE w:val="0"/>
              <w:autoSpaceDN w:val="0"/>
              <w:rPr>
                <w:rFonts w:eastAsia="Times New Roman" w:cstheme="minorHAnsi"/>
                <w:sz w:val="22"/>
                <w:szCs w:val="22"/>
              </w:rPr>
            </w:pPr>
            <w:r w:rsidRPr="00B10A76">
              <w:rPr>
                <w:rFonts w:eastAsia="Times New Roman" w:cstheme="minorHAnsi"/>
                <w:w w:val="130"/>
                <w:sz w:val="22"/>
                <w:szCs w:val="22"/>
              </w:rPr>
              <w:t>Household ground transportation,</w:t>
            </w:r>
            <w:r w:rsidRPr="00B10A76">
              <w:rPr>
                <w:rFonts w:eastAsia="Times New Roman" w:cstheme="minorHAnsi"/>
                <w:spacing w:val="-3"/>
                <w:w w:val="130"/>
                <w:sz w:val="22"/>
                <w:szCs w:val="22"/>
              </w:rPr>
              <w:t xml:space="preserve"> </w:t>
            </w:r>
            <w:r w:rsidRPr="00B10A76">
              <w:rPr>
                <w:rFonts w:eastAsia="Times New Roman" w:cstheme="minorHAnsi"/>
                <w:w w:val="130"/>
                <w:sz w:val="22"/>
                <w:szCs w:val="22"/>
              </w:rPr>
              <w:t>including</w:t>
            </w:r>
            <w:r w:rsidRPr="00B10A76">
              <w:rPr>
                <w:rFonts w:eastAsia="Times New Roman" w:cstheme="minorHAnsi"/>
                <w:w w:val="126"/>
                <w:sz w:val="22"/>
                <w:szCs w:val="22"/>
              </w:rPr>
              <w:t xml:space="preserve"> </w:t>
            </w:r>
            <w:r w:rsidRPr="00B10A76">
              <w:rPr>
                <w:rFonts w:eastAsia="Times New Roman" w:cstheme="minorHAnsi"/>
                <w:w w:val="130"/>
                <w:sz w:val="22"/>
                <w:szCs w:val="22"/>
              </w:rPr>
              <w:t>public</w:t>
            </w:r>
            <w:r w:rsidRPr="00B10A76">
              <w:rPr>
                <w:rFonts w:eastAsia="Times New Roman" w:cstheme="minorHAnsi"/>
                <w:spacing w:val="6"/>
                <w:w w:val="130"/>
                <w:sz w:val="22"/>
                <w:szCs w:val="22"/>
              </w:rPr>
              <w:t xml:space="preserve"> </w:t>
            </w:r>
            <w:r w:rsidRPr="00B10A76">
              <w:rPr>
                <w:rFonts w:eastAsia="Times New Roman" w:cstheme="minorHAnsi"/>
                <w:w w:val="130"/>
                <w:sz w:val="22"/>
                <w:szCs w:val="22"/>
              </w:rPr>
              <w:t>transit</w:t>
            </w:r>
          </w:p>
          <w:p w14:paraId="46CE4CF9" w14:textId="77777777" w:rsidR="001D4B3D" w:rsidRPr="00B10A76" w:rsidRDefault="001D4B3D" w:rsidP="00B84343">
            <w:pPr>
              <w:widowControl w:val="0"/>
              <w:tabs>
                <w:tab w:val="left" w:pos="2266"/>
              </w:tabs>
              <w:autoSpaceDE w:val="0"/>
              <w:autoSpaceDN w:val="0"/>
              <w:ind w:right="286"/>
              <w:rPr>
                <w:rFonts w:eastAsia="Times New Roman" w:cstheme="minorHAnsi"/>
                <w:sz w:val="22"/>
                <w:szCs w:val="22"/>
              </w:rPr>
            </w:pPr>
            <w:r w:rsidRPr="00B10A76">
              <w:rPr>
                <w:rFonts w:eastAsia="Times New Roman" w:cstheme="minorHAnsi"/>
                <w:w w:val="130"/>
                <w:sz w:val="22"/>
                <w:szCs w:val="22"/>
              </w:rPr>
              <w:t>Energy embodied</w:t>
            </w:r>
            <w:r w:rsidRPr="00B10A76">
              <w:rPr>
                <w:rFonts w:eastAsia="Times New Roman" w:cstheme="minorHAnsi"/>
                <w:spacing w:val="-22"/>
                <w:w w:val="130"/>
                <w:sz w:val="22"/>
                <w:szCs w:val="22"/>
              </w:rPr>
              <w:t xml:space="preserve"> </w:t>
            </w:r>
            <w:r w:rsidRPr="00B10A76">
              <w:rPr>
                <w:rFonts w:eastAsia="Times New Roman" w:cstheme="minorHAnsi"/>
                <w:w w:val="130"/>
                <w:sz w:val="22"/>
                <w:szCs w:val="22"/>
              </w:rPr>
              <w:t>in household consumption</w:t>
            </w:r>
            <w:r w:rsidRPr="00B10A76">
              <w:rPr>
                <w:rFonts w:eastAsia="Times New Roman" w:cstheme="minorHAnsi"/>
                <w:spacing w:val="-12"/>
                <w:w w:val="130"/>
                <w:sz w:val="22"/>
                <w:szCs w:val="22"/>
              </w:rPr>
              <w:t xml:space="preserve"> </w:t>
            </w:r>
            <w:r w:rsidRPr="00B10A76">
              <w:rPr>
                <w:rFonts w:eastAsia="Times New Roman" w:cstheme="minorHAnsi"/>
                <w:w w:val="130"/>
                <w:sz w:val="22"/>
                <w:szCs w:val="22"/>
              </w:rPr>
              <w:t>goods</w:t>
            </w:r>
          </w:p>
          <w:p w14:paraId="21C851B4" w14:textId="77777777" w:rsidR="001D4B3D" w:rsidRPr="00B10A76" w:rsidRDefault="001D4B3D" w:rsidP="00B84343">
            <w:pPr>
              <w:rPr>
                <w:rFonts w:cstheme="minorHAnsi"/>
                <w:sz w:val="22"/>
                <w:szCs w:val="22"/>
              </w:rPr>
            </w:pPr>
          </w:p>
        </w:tc>
        <w:tc>
          <w:tcPr>
            <w:tcW w:w="2108" w:type="dxa"/>
          </w:tcPr>
          <w:p w14:paraId="3331A0A9" w14:textId="77777777" w:rsidR="00C83876" w:rsidRPr="00B10A76" w:rsidRDefault="00C83876" w:rsidP="00B84343">
            <w:pPr>
              <w:widowControl w:val="0"/>
              <w:tabs>
                <w:tab w:val="left" w:pos="372"/>
              </w:tabs>
              <w:autoSpaceDE w:val="0"/>
              <w:autoSpaceDN w:val="0"/>
              <w:rPr>
                <w:rFonts w:eastAsia="Times New Roman" w:cstheme="minorHAnsi"/>
                <w:sz w:val="22"/>
                <w:szCs w:val="22"/>
              </w:rPr>
            </w:pPr>
            <w:r w:rsidRPr="00B10A76">
              <w:rPr>
                <w:rFonts w:eastAsia="Times New Roman" w:cstheme="minorHAnsi"/>
                <w:w w:val="130"/>
                <w:sz w:val="22"/>
                <w:szCs w:val="22"/>
              </w:rPr>
              <w:t>Industrial and administrative energy</w:t>
            </w:r>
            <w:r w:rsidRPr="00B10A76">
              <w:rPr>
                <w:rFonts w:eastAsia="Times New Roman" w:cstheme="minorHAnsi"/>
                <w:spacing w:val="-1"/>
                <w:w w:val="130"/>
                <w:sz w:val="22"/>
                <w:szCs w:val="22"/>
              </w:rPr>
              <w:t xml:space="preserve"> </w:t>
            </w:r>
            <w:r w:rsidRPr="00B10A76">
              <w:rPr>
                <w:rFonts w:eastAsia="Times New Roman" w:cstheme="minorHAnsi"/>
                <w:w w:val="130"/>
                <w:sz w:val="22"/>
                <w:szCs w:val="22"/>
              </w:rPr>
              <w:t>use within the city, other</w:t>
            </w:r>
            <w:r w:rsidRPr="00B10A76">
              <w:rPr>
                <w:rFonts w:eastAsia="Times New Roman" w:cstheme="minorHAnsi"/>
                <w:spacing w:val="-6"/>
                <w:w w:val="130"/>
                <w:sz w:val="22"/>
                <w:szCs w:val="22"/>
              </w:rPr>
              <w:t xml:space="preserve"> </w:t>
            </w:r>
            <w:r w:rsidRPr="00B10A76">
              <w:rPr>
                <w:rFonts w:eastAsia="Times New Roman" w:cstheme="minorHAnsi"/>
                <w:w w:val="130"/>
                <w:sz w:val="22"/>
                <w:szCs w:val="22"/>
              </w:rPr>
              <w:t>than that covered by the goods and services</w:t>
            </w:r>
            <w:r w:rsidRPr="00B10A76">
              <w:rPr>
                <w:rFonts w:eastAsia="Times New Roman" w:cstheme="minorHAnsi"/>
                <w:spacing w:val="-20"/>
                <w:w w:val="130"/>
                <w:sz w:val="22"/>
                <w:szCs w:val="22"/>
              </w:rPr>
              <w:t xml:space="preserve"> </w:t>
            </w:r>
            <w:r w:rsidRPr="00B10A76">
              <w:rPr>
                <w:rFonts w:eastAsia="Times New Roman" w:cstheme="minorHAnsi"/>
                <w:w w:val="130"/>
                <w:sz w:val="22"/>
                <w:szCs w:val="22"/>
              </w:rPr>
              <w:t>consumed</w:t>
            </w:r>
            <w:r w:rsidRPr="00B10A76">
              <w:rPr>
                <w:rFonts w:eastAsia="Times New Roman" w:cstheme="minorHAnsi"/>
                <w:spacing w:val="-10"/>
                <w:w w:val="130"/>
                <w:sz w:val="22"/>
                <w:szCs w:val="22"/>
              </w:rPr>
              <w:t xml:space="preserve"> </w:t>
            </w:r>
            <w:r w:rsidRPr="00B10A76">
              <w:rPr>
                <w:rFonts w:eastAsia="Times New Roman" w:cstheme="minorHAnsi"/>
                <w:w w:val="130"/>
                <w:sz w:val="22"/>
                <w:szCs w:val="22"/>
              </w:rPr>
              <w:t>by</w:t>
            </w:r>
            <w:r w:rsidRPr="00B10A76">
              <w:rPr>
                <w:rFonts w:eastAsia="Times New Roman" w:cstheme="minorHAnsi"/>
                <w:w w:val="125"/>
                <w:sz w:val="22"/>
                <w:szCs w:val="22"/>
              </w:rPr>
              <w:t xml:space="preserve"> </w:t>
            </w:r>
            <w:r w:rsidRPr="00B10A76">
              <w:rPr>
                <w:rFonts w:eastAsia="Times New Roman" w:cstheme="minorHAnsi"/>
                <w:w w:val="130"/>
                <w:sz w:val="22"/>
                <w:szCs w:val="22"/>
              </w:rPr>
              <w:t>households.</w:t>
            </w:r>
          </w:p>
          <w:p w14:paraId="1CF328B4" w14:textId="77777777" w:rsidR="001D4B3D" w:rsidRPr="00B10A76" w:rsidRDefault="001D4B3D" w:rsidP="00B84343">
            <w:pPr>
              <w:rPr>
                <w:rFonts w:cstheme="minorHAnsi"/>
                <w:sz w:val="22"/>
                <w:szCs w:val="22"/>
              </w:rPr>
            </w:pPr>
          </w:p>
        </w:tc>
        <w:tc>
          <w:tcPr>
            <w:tcW w:w="2110" w:type="dxa"/>
          </w:tcPr>
          <w:p w14:paraId="54299177" w14:textId="77777777" w:rsidR="00C83876" w:rsidRPr="00B10A76" w:rsidRDefault="00C83876" w:rsidP="00B84343">
            <w:pPr>
              <w:widowControl w:val="0"/>
              <w:autoSpaceDE w:val="0"/>
              <w:autoSpaceDN w:val="0"/>
              <w:ind w:right="-11"/>
              <w:rPr>
                <w:rFonts w:eastAsia="Times New Roman" w:cstheme="minorHAnsi"/>
                <w:sz w:val="22"/>
                <w:szCs w:val="22"/>
              </w:rPr>
            </w:pPr>
            <w:r w:rsidRPr="00B10A76">
              <w:rPr>
                <w:rFonts w:eastAsia="Times New Roman" w:cstheme="minorHAnsi"/>
                <w:w w:val="130"/>
                <w:sz w:val="22"/>
                <w:szCs w:val="22"/>
              </w:rPr>
              <w:t>Per capita total direct and embodied energy requirements for sustaining</w:t>
            </w:r>
            <w:r w:rsidRPr="00B10A76">
              <w:rPr>
                <w:rFonts w:eastAsia="Times New Roman" w:cstheme="minorHAnsi"/>
                <w:w w:val="129"/>
                <w:sz w:val="22"/>
                <w:szCs w:val="22"/>
              </w:rPr>
              <w:t xml:space="preserve"> </w:t>
            </w:r>
            <w:r w:rsidRPr="00B10A76">
              <w:rPr>
                <w:rFonts w:eastAsia="Times New Roman" w:cstheme="minorHAnsi"/>
                <w:w w:val="130"/>
                <w:sz w:val="22"/>
                <w:szCs w:val="22"/>
              </w:rPr>
              <w:t>the lifestyle of urban households</w:t>
            </w:r>
          </w:p>
          <w:p w14:paraId="376D51B7" w14:textId="77777777" w:rsidR="001D4B3D" w:rsidRPr="00B10A76" w:rsidRDefault="001D4B3D" w:rsidP="00B84343">
            <w:pPr>
              <w:rPr>
                <w:rFonts w:cstheme="minorHAnsi"/>
                <w:sz w:val="22"/>
                <w:szCs w:val="22"/>
              </w:rPr>
            </w:pPr>
          </w:p>
        </w:tc>
        <w:tc>
          <w:tcPr>
            <w:tcW w:w="2193" w:type="dxa"/>
          </w:tcPr>
          <w:p w14:paraId="4EEBAC5C" w14:textId="77777777" w:rsidR="00C83876" w:rsidRPr="00B10A76" w:rsidRDefault="00C83876" w:rsidP="00B84343">
            <w:pPr>
              <w:widowControl w:val="0"/>
              <w:tabs>
                <w:tab w:val="left" w:pos="372"/>
              </w:tabs>
              <w:autoSpaceDE w:val="0"/>
              <w:autoSpaceDN w:val="0"/>
              <w:ind w:right="333"/>
              <w:rPr>
                <w:rFonts w:eastAsia="Times New Roman" w:cstheme="minorHAnsi"/>
                <w:sz w:val="22"/>
                <w:szCs w:val="22"/>
              </w:rPr>
            </w:pPr>
            <w:r w:rsidRPr="00B10A76">
              <w:rPr>
                <w:rFonts w:eastAsia="Times New Roman" w:cstheme="minorHAnsi"/>
                <w:w w:val="130"/>
                <w:sz w:val="22"/>
                <w:szCs w:val="22"/>
              </w:rPr>
              <w:t>Understanding total energy demand, including those embodied in goods, of household</w:t>
            </w:r>
            <w:r w:rsidRPr="00B10A76">
              <w:rPr>
                <w:rFonts w:eastAsia="Times New Roman" w:cstheme="minorHAnsi"/>
                <w:spacing w:val="-3"/>
                <w:w w:val="130"/>
                <w:sz w:val="22"/>
                <w:szCs w:val="22"/>
              </w:rPr>
              <w:t xml:space="preserve"> </w:t>
            </w:r>
            <w:r w:rsidRPr="00B10A76">
              <w:rPr>
                <w:rFonts w:eastAsia="Times New Roman" w:cstheme="minorHAnsi"/>
                <w:w w:val="130"/>
                <w:sz w:val="22"/>
                <w:szCs w:val="22"/>
              </w:rPr>
              <w:t>consumption</w:t>
            </w:r>
          </w:p>
          <w:p w14:paraId="424021F5" w14:textId="77777777" w:rsidR="00C83876" w:rsidRPr="00B10A76" w:rsidRDefault="00C83876" w:rsidP="00B84343">
            <w:pPr>
              <w:widowControl w:val="0"/>
              <w:tabs>
                <w:tab w:val="left" w:pos="372"/>
              </w:tabs>
              <w:autoSpaceDE w:val="0"/>
              <w:autoSpaceDN w:val="0"/>
              <w:ind w:right="272"/>
              <w:rPr>
                <w:rFonts w:eastAsia="Times New Roman" w:cstheme="minorHAnsi"/>
                <w:sz w:val="22"/>
                <w:szCs w:val="22"/>
              </w:rPr>
            </w:pPr>
            <w:r w:rsidRPr="00B10A76">
              <w:rPr>
                <w:rFonts w:eastAsia="Times New Roman" w:cstheme="minorHAnsi"/>
                <w:w w:val="130"/>
                <w:sz w:val="22"/>
                <w:szCs w:val="22"/>
              </w:rPr>
              <w:t>Quantifying the total</w:t>
            </w:r>
            <w:r w:rsidRPr="00B10A76">
              <w:rPr>
                <w:rFonts w:eastAsia="Times New Roman" w:cstheme="minorHAnsi"/>
                <w:spacing w:val="-7"/>
                <w:w w:val="130"/>
                <w:sz w:val="22"/>
                <w:szCs w:val="22"/>
              </w:rPr>
              <w:t xml:space="preserve"> </w:t>
            </w:r>
            <w:r w:rsidRPr="00B10A76">
              <w:rPr>
                <w:rFonts w:eastAsia="Times New Roman" w:cstheme="minorHAnsi"/>
                <w:w w:val="130"/>
                <w:sz w:val="22"/>
                <w:szCs w:val="22"/>
              </w:rPr>
              <w:t>energy footprint and impact of households</w:t>
            </w:r>
          </w:p>
          <w:p w14:paraId="31639A5B" w14:textId="18CE7736" w:rsidR="00C83876" w:rsidRPr="00B10A76" w:rsidRDefault="00C83876" w:rsidP="00B84343">
            <w:pPr>
              <w:widowControl w:val="0"/>
              <w:tabs>
                <w:tab w:val="left" w:pos="372"/>
              </w:tabs>
              <w:autoSpaceDE w:val="0"/>
              <w:autoSpaceDN w:val="0"/>
              <w:ind w:right="546"/>
              <w:rPr>
                <w:rFonts w:eastAsia="Times New Roman" w:cstheme="minorHAnsi"/>
                <w:sz w:val="22"/>
                <w:szCs w:val="22"/>
              </w:rPr>
            </w:pPr>
            <w:r w:rsidRPr="00B10A76">
              <w:rPr>
                <w:rFonts w:eastAsia="Times New Roman" w:cstheme="minorHAnsi"/>
                <w:w w:val="130"/>
                <w:sz w:val="22"/>
                <w:szCs w:val="22"/>
              </w:rPr>
              <w:t>Policy and measures</w:t>
            </w:r>
            <w:r w:rsidRPr="00B10A76">
              <w:rPr>
                <w:rFonts w:eastAsia="Times New Roman" w:cstheme="minorHAnsi"/>
                <w:spacing w:val="-21"/>
                <w:w w:val="130"/>
                <w:sz w:val="22"/>
                <w:szCs w:val="22"/>
              </w:rPr>
              <w:t xml:space="preserve"> </w:t>
            </w:r>
            <w:r w:rsidRPr="00B10A76">
              <w:rPr>
                <w:rFonts w:eastAsia="Times New Roman" w:cstheme="minorHAnsi"/>
                <w:w w:val="130"/>
                <w:sz w:val="22"/>
                <w:szCs w:val="22"/>
              </w:rPr>
              <w:t>for behavioral and macro- economic change for sustainability</w:t>
            </w:r>
          </w:p>
          <w:p w14:paraId="77E4A887" w14:textId="77777777" w:rsidR="001D4B3D" w:rsidRPr="00B10A76" w:rsidRDefault="001D4B3D" w:rsidP="00B84343">
            <w:pPr>
              <w:rPr>
                <w:rFonts w:cstheme="minorHAnsi"/>
                <w:sz w:val="22"/>
                <w:szCs w:val="22"/>
              </w:rPr>
            </w:pPr>
          </w:p>
        </w:tc>
      </w:tr>
    </w:tbl>
    <w:p w14:paraId="40EDBC01" w14:textId="09C03920" w:rsidR="00CE3194" w:rsidRDefault="00C83876" w:rsidP="00B84343">
      <w:pPr>
        <w:rPr>
          <w:rFonts w:cstheme="minorHAnsi"/>
          <w:sz w:val="22"/>
          <w:szCs w:val="22"/>
        </w:rPr>
      </w:pPr>
      <w:proofErr w:type="spellStart"/>
      <w:r w:rsidRPr="00B10A76">
        <w:rPr>
          <w:rFonts w:cstheme="minorHAnsi"/>
          <w:sz w:val="22"/>
          <w:szCs w:val="22"/>
        </w:rPr>
        <w:t>Bainez</w:t>
      </w:r>
      <w:proofErr w:type="spellEnd"/>
      <w:r w:rsidRPr="00B10A76">
        <w:rPr>
          <w:rFonts w:cstheme="minorHAnsi"/>
          <w:sz w:val="22"/>
          <w:szCs w:val="22"/>
        </w:rPr>
        <w:t xml:space="preserve"> et al. 2013</w:t>
      </w:r>
    </w:p>
    <w:p w14:paraId="2E5C33BA" w14:textId="1210E5A8" w:rsidR="00CE3194" w:rsidRDefault="00CE3194">
      <w:pPr>
        <w:rPr>
          <w:rFonts w:cstheme="minorHAnsi"/>
          <w:sz w:val="22"/>
          <w:szCs w:val="22"/>
        </w:rPr>
      </w:pPr>
      <w:r>
        <w:rPr>
          <w:rFonts w:cstheme="minorHAnsi"/>
          <w:sz w:val="22"/>
          <w:szCs w:val="22"/>
        </w:rPr>
        <w:lastRenderedPageBreak/>
        <w:t>Table 2: Indicators</w:t>
      </w:r>
      <w:r w:rsidR="00256AF4">
        <w:rPr>
          <w:rFonts w:cstheme="minorHAnsi"/>
          <w:sz w:val="22"/>
          <w:szCs w:val="22"/>
        </w:rPr>
        <w:t xml:space="preserve"> </w:t>
      </w:r>
    </w:p>
    <w:p w14:paraId="2A3D38FE" w14:textId="13DA1880" w:rsidR="00C83876" w:rsidRDefault="00C83876" w:rsidP="00B84343">
      <w:pPr>
        <w:rPr>
          <w:rFonts w:cstheme="minorHAnsi"/>
          <w:sz w:val="22"/>
          <w:szCs w:val="22"/>
        </w:rPr>
      </w:pPr>
    </w:p>
    <w:p w14:paraId="30EA8FDD" w14:textId="1BA67E3E" w:rsidR="001742E9" w:rsidRDefault="001742E9" w:rsidP="00B84343">
      <w:pPr>
        <w:rPr>
          <w:rFonts w:cstheme="minorHAnsi"/>
          <w:sz w:val="22"/>
          <w:szCs w:val="22"/>
        </w:rPr>
      </w:pPr>
      <w:r w:rsidRPr="001742E9">
        <w:rPr>
          <w:rFonts w:cstheme="minorHAnsi"/>
          <w:noProof/>
          <w:sz w:val="22"/>
          <w:szCs w:val="22"/>
        </w:rPr>
        <w:drawing>
          <wp:inline distT="0" distB="0" distL="0" distR="0" wp14:anchorId="5D45D41B" wp14:editId="693A331B">
            <wp:extent cx="5943600" cy="33870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87090"/>
                    </a:xfrm>
                    <a:prstGeom prst="rect">
                      <a:avLst/>
                    </a:prstGeom>
                  </pic:spPr>
                </pic:pic>
              </a:graphicData>
            </a:graphic>
          </wp:inline>
        </w:drawing>
      </w:r>
    </w:p>
    <w:p w14:paraId="1B35315E" w14:textId="08A23FBC" w:rsidR="00256AF4" w:rsidRDefault="00256AF4" w:rsidP="00B84343">
      <w:pPr>
        <w:rPr>
          <w:rFonts w:cstheme="minorHAnsi"/>
          <w:sz w:val="20"/>
          <w:szCs w:val="20"/>
        </w:rPr>
      </w:pPr>
      <w:r w:rsidRPr="00256AF4">
        <w:rPr>
          <w:rFonts w:cstheme="minorHAnsi"/>
          <w:sz w:val="20"/>
          <w:szCs w:val="20"/>
        </w:rPr>
        <w:t xml:space="preserve">Note: We </w:t>
      </w:r>
      <w:r w:rsidR="009B212D">
        <w:rPr>
          <w:rFonts w:cstheme="minorHAnsi"/>
          <w:sz w:val="20"/>
          <w:szCs w:val="20"/>
        </w:rPr>
        <w:t>won’t use</w:t>
      </w:r>
      <w:r w:rsidRPr="00256AF4">
        <w:rPr>
          <w:rFonts w:cstheme="minorHAnsi"/>
          <w:sz w:val="20"/>
          <w:szCs w:val="20"/>
        </w:rPr>
        <w:t xml:space="preserve"> </w:t>
      </w:r>
      <w:r w:rsidR="009B212D">
        <w:rPr>
          <w:rFonts w:cstheme="minorHAnsi"/>
          <w:sz w:val="20"/>
          <w:szCs w:val="20"/>
        </w:rPr>
        <w:t xml:space="preserve">now </w:t>
      </w:r>
      <w:r w:rsidRPr="00256AF4">
        <w:rPr>
          <w:rFonts w:cstheme="minorHAnsi"/>
          <w:sz w:val="20"/>
          <w:szCs w:val="20"/>
        </w:rPr>
        <w:t xml:space="preserve">those </w:t>
      </w:r>
      <w:r w:rsidR="009B212D">
        <w:rPr>
          <w:rFonts w:cstheme="minorHAnsi"/>
          <w:sz w:val="20"/>
          <w:szCs w:val="20"/>
        </w:rPr>
        <w:t xml:space="preserve">indicators </w:t>
      </w:r>
      <w:r w:rsidRPr="00256AF4">
        <w:rPr>
          <w:rFonts w:cstheme="minorHAnsi"/>
          <w:sz w:val="20"/>
          <w:szCs w:val="20"/>
        </w:rPr>
        <w:t>in yellow</w:t>
      </w:r>
      <w:r w:rsidR="009B212D">
        <w:rPr>
          <w:rFonts w:cstheme="minorHAnsi"/>
          <w:sz w:val="20"/>
          <w:szCs w:val="20"/>
        </w:rPr>
        <w:t>. The ones in green are derived indicators (indices).</w:t>
      </w:r>
    </w:p>
    <w:p w14:paraId="40581E63" w14:textId="40673BF2" w:rsidR="00635F12" w:rsidRDefault="00635F12" w:rsidP="00B84343">
      <w:pPr>
        <w:rPr>
          <w:rFonts w:cstheme="minorHAnsi"/>
          <w:sz w:val="20"/>
          <w:szCs w:val="20"/>
        </w:rPr>
      </w:pPr>
    </w:p>
    <w:p w14:paraId="537399DD" w14:textId="11BBE382" w:rsidR="00635F12" w:rsidRPr="00635F12" w:rsidRDefault="00635F12" w:rsidP="00635F12">
      <w:pPr>
        <w:pStyle w:val="ListParagraph"/>
        <w:numPr>
          <w:ilvl w:val="0"/>
          <w:numId w:val="7"/>
        </w:numPr>
        <w:rPr>
          <w:rFonts w:cstheme="minorHAnsi"/>
          <w:b/>
          <w:sz w:val="20"/>
          <w:szCs w:val="20"/>
        </w:rPr>
      </w:pPr>
      <w:r w:rsidRPr="00635F12">
        <w:rPr>
          <w:rFonts w:cstheme="minorHAnsi"/>
          <w:b/>
          <w:sz w:val="20"/>
          <w:szCs w:val="20"/>
        </w:rPr>
        <w:t>References</w:t>
      </w:r>
    </w:p>
    <w:p w14:paraId="392E1CA9" w14:textId="77777777" w:rsidR="00635F12" w:rsidRDefault="00635F12" w:rsidP="00635F12">
      <w:pPr>
        <w:rPr>
          <w:rFonts w:cstheme="minorHAnsi"/>
          <w:sz w:val="20"/>
          <w:szCs w:val="20"/>
        </w:rPr>
      </w:pPr>
    </w:p>
    <w:p w14:paraId="2A84D29B" w14:textId="77777777" w:rsidR="00635F12" w:rsidRPr="00635F12" w:rsidRDefault="00635F12" w:rsidP="00635F12">
      <w:pPr>
        <w:pStyle w:val="Bibliography"/>
        <w:spacing w:line="240" w:lineRule="auto"/>
        <w:rPr>
          <w:rFonts w:ascii="Calibri" w:cs="Calibri"/>
          <w:sz w:val="20"/>
        </w:rPr>
      </w:pPr>
      <w:r>
        <w:rPr>
          <w:rFonts w:cstheme="minorHAnsi"/>
          <w:sz w:val="20"/>
          <w:szCs w:val="20"/>
        </w:rPr>
        <w:fldChar w:fldCharType="begin"/>
      </w:r>
      <w:r>
        <w:rPr>
          <w:rFonts w:cstheme="minorHAnsi"/>
          <w:sz w:val="20"/>
          <w:szCs w:val="20"/>
        </w:rPr>
        <w:instrText xml:space="preserve"> ADDIN ZOTERO_BIBL {"uncited":[],"omitted":[],"custom":[]} CSL_BIBLIOGRAPHY </w:instrText>
      </w:r>
      <w:r>
        <w:rPr>
          <w:rFonts w:cstheme="minorHAnsi"/>
          <w:sz w:val="20"/>
          <w:szCs w:val="20"/>
        </w:rPr>
        <w:fldChar w:fldCharType="separate"/>
      </w:r>
      <w:r w:rsidRPr="00635F12">
        <w:rPr>
          <w:rFonts w:ascii="Calibri" w:cs="Calibri"/>
          <w:sz w:val="20"/>
        </w:rPr>
        <w:t>1.</w:t>
      </w:r>
      <w:r w:rsidRPr="00635F12">
        <w:rPr>
          <w:rFonts w:ascii="Calibri" w:cs="Calibri"/>
          <w:sz w:val="20"/>
        </w:rPr>
        <w:tab/>
        <w:t xml:space="preserve">Solecki, W. </w:t>
      </w:r>
      <w:r w:rsidRPr="00635F12">
        <w:rPr>
          <w:rFonts w:ascii="Calibri" w:cs="Calibri"/>
          <w:i/>
          <w:iCs/>
          <w:sz w:val="20"/>
        </w:rPr>
        <w:t>et al.</w:t>
      </w:r>
      <w:r w:rsidRPr="00635F12">
        <w:rPr>
          <w:rFonts w:ascii="Calibri" w:cs="Calibri"/>
          <w:sz w:val="20"/>
        </w:rPr>
        <w:t xml:space="preserve"> A conceptual framework for an urban areas typology to integrate climate change mitigation and adaptation. </w:t>
      </w:r>
      <w:r w:rsidRPr="00635F12">
        <w:rPr>
          <w:rFonts w:ascii="Calibri" w:cs="Calibri"/>
          <w:i/>
          <w:iCs/>
          <w:sz w:val="20"/>
        </w:rPr>
        <w:t>Urban Clim.</w:t>
      </w:r>
      <w:r w:rsidRPr="00635F12">
        <w:rPr>
          <w:rFonts w:ascii="Calibri" w:cs="Calibri"/>
          <w:sz w:val="20"/>
        </w:rPr>
        <w:t xml:space="preserve"> </w:t>
      </w:r>
      <w:r w:rsidRPr="00635F12">
        <w:rPr>
          <w:rFonts w:ascii="Calibri" w:cs="Calibri"/>
          <w:b/>
          <w:bCs/>
          <w:sz w:val="20"/>
        </w:rPr>
        <w:t>14</w:t>
      </w:r>
      <w:r w:rsidRPr="00635F12">
        <w:rPr>
          <w:rFonts w:ascii="Calibri" w:cs="Calibri"/>
          <w:sz w:val="20"/>
        </w:rPr>
        <w:t>, 116–137 (2015).</w:t>
      </w:r>
    </w:p>
    <w:p w14:paraId="44904EB6" w14:textId="77777777" w:rsidR="00635F12" w:rsidRPr="00635F12" w:rsidRDefault="00635F12" w:rsidP="00635F12">
      <w:pPr>
        <w:pStyle w:val="Bibliography"/>
        <w:spacing w:line="240" w:lineRule="auto"/>
        <w:rPr>
          <w:rFonts w:ascii="Calibri" w:cs="Calibri"/>
          <w:sz w:val="20"/>
        </w:rPr>
      </w:pPr>
      <w:r w:rsidRPr="00635F12">
        <w:rPr>
          <w:rFonts w:ascii="Calibri" w:cs="Calibri"/>
          <w:sz w:val="20"/>
        </w:rPr>
        <w:t>2.</w:t>
      </w:r>
      <w:r w:rsidRPr="00635F12">
        <w:rPr>
          <w:rFonts w:ascii="Calibri" w:cs="Calibri"/>
          <w:sz w:val="20"/>
        </w:rPr>
        <w:tab/>
        <w:t xml:space="preserve">Marcotullio, P. J. </w:t>
      </w:r>
      <w:r w:rsidRPr="00635F12">
        <w:rPr>
          <w:rFonts w:ascii="Calibri" w:cs="Calibri"/>
          <w:i/>
          <w:iCs/>
          <w:sz w:val="20"/>
        </w:rPr>
        <w:t>et al.</w:t>
      </w:r>
      <w:r w:rsidRPr="00635F12">
        <w:rPr>
          <w:rFonts w:ascii="Calibri" w:cs="Calibri"/>
          <w:sz w:val="20"/>
        </w:rPr>
        <w:t xml:space="preserve"> Urbanization and the carbon cycle: Contributions from social science. </w:t>
      </w:r>
      <w:r w:rsidRPr="00635F12">
        <w:rPr>
          <w:rFonts w:ascii="Calibri" w:cs="Calibri"/>
          <w:i/>
          <w:iCs/>
          <w:sz w:val="20"/>
        </w:rPr>
        <w:t>Earths Future</w:t>
      </w:r>
      <w:r w:rsidRPr="00635F12">
        <w:rPr>
          <w:rFonts w:ascii="Calibri" w:cs="Calibri"/>
          <w:sz w:val="20"/>
        </w:rPr>
        <w:t xml:space="preserve"> n/a-n/a (2014). doi:10.1002/2014EF000257</w:t>
      </w:r>
    </w:p>
    <w:p w14:paraId="6F28841D" w14:textId="77777777" w:rsidR="00635F12" w:rsidRPr="00635F12" w:rsidRDefault="00635F12" w:rsidP="00635F12">
      <w:pPr>
        <w:pStyle w:val="Bibliography"/>
        <w:spacing w:line="240" w:lineRule="auto"/>
        <w:rPr>
          <w:rFonts w:ascii="Calibri" w:cs="Calibri"/>
          <w:sz w:val="20"/>
        </w:rPr>
      </w:pPr>
      <w:r w:rsidRPr="00635F12">
        <w:rPr>
          <w:rFonts w:ascii="Calibri" w:cs="Calibri"/>
          <w:sz w:val="20"/>
        </w:rPr>
        <w:t>3.</w:t>
      </w:r>
      <w:r w:rsidRPr="00635F12">
        <w:rPr>
          <w:rFonts w:ascii="Calibri" w:cs="Calibri"/>
          <w:sz w:val="20"/>
        </w:rPr>
        <w:tab/>
        <w:t xml:space="preserve">Romero-Lankao, P., Tribbia, J. L. &amp; Nychka, D. Testing theories to explore the drivers of cities’ atmospheric emissions. </w:t>
      </w:r>
      <w:r w:rsidRPr="00635F12">
        <w:rPr>
          <w:rFonts w:ascii="Calibri" w:cs="Calibri"/>
          <w:i/>
          <w:iCs/>
          <w:sz w:val="20"/>
        </w:rPr>
        <w:t xml:space="preserve">AMBIO J. Hum. </w:t>
      </w:r>
      <w:bookmarkStart w:id="0" w:name="_GoBack"/>
      <w:bookmarkEnd w:id="0"/>
      <w:r w:rsidRPr="00635F12">
        <w:rPr>
          <w:rFonts w:ascii="Calibri" w:cs="Calibri"/>
          <w:i/>
          <w:iCs/>
          <w:sz w:val="20"/>
        </w:rPr>
        <w:t>Environ.</w:t>
      </w:r>
      <w:r w:rsidRPr="00635F12">
        <w:rPr>
          <w:rFonts w:ascii="Calibri" w:cs="Calibri"/>
          <w:sz w:val="20"/>
        </w:rPr>
        <w:t xml:space="preserve"> </w:t>
      </w:r>
      <w:r w:rsidRPr="00635F12">
        <w:rPr>
          <w:rFonts w:ascii="Calibri" w:cs="Calibri"/>
          <w:b/>
          <w:bCs/>
          <w:sz w:val="20"/>
        </w:rPr>
        <w:t>38</w:t>
      </w:r>
      <w:r w:rsidRPr="00635F12">
        <w:rPr>
          <w:rFonts w:ascii="Calibri" w:cs="Calibri"/>
          <w:sz w:val="20"/>
        </w:rPr>
        <w:t>, 236–244 (2009).</w:t>
      </w:r>
    </w:p>
    <w:p w14:paraId="0061513D" w14:textId="77777777" w:rsidR="00635F12" w:rsidRPr="00635F12" w:rsidRDefault="00635F12" w:rsidP="00635F12">
      <w:pPr>
        <w:pStyle w:val="Bibliography"/>
        <w:spacing w:line="240" w:lineRule="auto"/>
        <w:rPr>
          <w:rFonts w:ascii="Calibri" w:cs="Calibri"/>
          <w:sz w:val="20"/>
        </w:rPr>
      </w:pPr>
      <w:r w:rsidRPr="00635F12">
        <w:rPr>
          <w:rFonts w:ascii="Calibri" w:cs="Calibri"/>
          <w:sz w:val="20"/>
        </w:rPr>
        <w:t>4.</w:t>
      </w:r>
      <w:r w:rsidRPr="00635F12">
        <w:rPr>
          <w:rFonts w:ascii="Calibri" w:cs="Calibri"/>
          <w:sz w:val="20"/>
        </w:rPr>
        <w:tab/>
        <w:t xml:space="preserve">Minx, J. </w:t>
      </w:r>
      <w:r w:rsidRPr="00635F12">
        <w:rPr>
          <w:rFonts w:ascii="Calibri" w:cs="Calibri"/>
          <w:i/>
          <w:iCs/>
          <w:sz w:val="20"/>
        </w:rPr>
        <w:t>et al.</w:t>
      </w:r>
      <w:r w:rsidRPr="00635F12">
        <w:rPr>
          <w:rFonts w:ascii="Calibri" w:cs="Calibri"/>
          <w:sz w:val="20"/>
        </w:rPr>
        <w:t xml:space="preserve"> Carbon footprints of cities and other human settlements in the UK. </w:t>
      </w:r>
      <w:r w:rsidRPr="00635F12">
        <w:rPr>
          <w:rFonts w:ascii="Calibri" w:cs="Calibri"/>
          <w:i/>
          <w:iCs/>
          <w:sz w:val="20"/>
        </w:rPr>
        <w:t>Environ. Res. Lett.</w:t>
      </w:r>
      <w:r w:rsidRPr="00635F12">
        <w:rPr>
          <w:rFonts w:ascii="Calibri" w:cs="Calibri"/>
          <w:sz w:val="20"/>
        </w:rPr>
        <w:t xml:space="preserve"> </w:t>
      </w:r>
      <w:r w:rsidRPr="00635F12">
        <w:rPr>
          <w:rFonts w:ascii="Calibri" w:cs="Calibri"/>
          <w:b/>
          <w:bCs/>
          <w:sz w:val="20"/>
        </w:rPr>
        <w:t>8</w:t>
      </w:r>
      <w:r w:rsidRPr="00635F12">
        <w:rPr>
          <w:rFonts w:ascii="Calibri" w:cs="Calibri"/>
          <w:sz w:val="20"/>
        </w:rPr>
        <w:t>, 035039 (2013).</w:t>
      </w:r>
    </w:p>
    <w:p w14:paraId="307638A6" w14:textId="77777777" w:rsidR="00635F12" w:rsidRPr="00635F12" w:rsidRDefault="00635F12" w:rsidP="00635F12">
      <w:pPr>
        <w:pStyle w:val="Bibliography"/>
        <w:spacing w:line="240" w:lineRule="auto"/>
        <w:rPr>
          <w:rFonts w:ascii="Calibri" w:cs="Calibri"/>
          <w:sz w:val="20"/>
        </w:rPr>
      </w:pPr>
      <w:r w:rsidRPr="00635F12">
        <w:rPr>
          <w:rFonts w:ascii="Calibri" w:cs="Calibri"/>
          <w:sz w:val="20"/>
        </w:rPr>
        <w:t>5.</w:t>
      </w:r>
      <w:r w:rsidRPr="00635F12">
        <w:rPr>
          <w:rFonts w:ascii="Calibri" w:cs="Calibri"/>
          <w:sz w:val="20"/>
        </w:rPr>
        <w:tab/>
        <w:t xml:space="preserve">Shammin, M. R., Herendeen, R. A., Hanson, M. J. &amp; Wilson, E. J. H. A multivariate analysis of the energy intensity of sprawl versus compact living in the U.S. for 2003. </w:t>
      </w:r>
      <w:r w:rsidRPr="00635F12">
        <w:rPr>
          <w:rFonts w:ascii="Calibri" w:cs="Calibri"/>
          <w:i/>
          <w:iCs/>
          <w:sz w:val="20"/>
        </w:rPr>
        <w:t>Ecol. Econ.</w:t>
      </w:r>
      <w:r w:rsidRPr="00635F12">
        <w:rPr>
          <w:rFonts w:ascii="Calibri" w:cs="Calibri"/>
          <w:sz w:val="20"/>
        </w:rPr>
        <w:t xml:space="preserve"> </w:t>
      </w:r>
      <w:r w:rsidRPr="00635F12">
        <w:rPr>
          <w:rFonts w:ascii="Calibri" w:cs="Calibri"/>
          <w:b/>
          <w:bCs/>
          <w:sz w:val="20"/>
        </w:rPr>
        <w:t>69</w:t>
      </w:r>
      <w:r w:rsidRPr="00635F12">
        <w:rPr>
          <w:rFonts w:ascii="Calibri" w:cs="Calibri"/>
          <w:sz w:val="20"/>
        </w:rPr>
        <w:t>, 2363–2373 (2010).</w:t>
      </w:r>
    </w:p>
    <w:p w14:paraId="42680795" w14:textId="77777777" w:rsidR="00635F12" w:rsidRPr="00635F12" w:rsidRDefault="00635F12" w:rsidP="00635F12">
      <w:pPr>
        <w:pStyle w:val="Bibliography"/>
        <w:spacing w:line="240" w:lineRule="auto"/>
        <w:rPr>
          <w:rFonts w:ascii="Calibri" w:cs="Calibri"/>
          <w:sz w:val="20"/>
        </w:rPr>
      </w:pPr>
      <w:r w:rsidRPr="00635F12">
        <w:rPr>
          <w:rFonts w:ascii="Calibri" w:cs="Calibri"/>
          <w:sz w:val="20"/>
        </w:rPr>
        <w:t>6.</w:t>
      </w:r>
      <w:r w:rsidRPr="00635F12">
        <w:rPr>
          <w:rFonts w:ascii="Calibri" w:cs="Calibri"/>
          <w:sz w:val="20"/>
        </w:rPr>
        <w:tab/>
        <w:t xml:space="preserve">Romero-Lankao, P., McPhearson, T. &amp; Davidson, D. J. The Food-Energy-Water Nexus and the Challenge of Urban Complexity. </w:t>
      </w:r>
      <w:r w:rsidRPr="00635F12">
        <w:rPr>
          <w:rFonts w:ascii="Calibri" w:cs="Calibri"/>
          <w:i/>
          <w:iCs/>
          <w:sz w:val="20"/>
        </w:rPr>
        <w:t>Nat. Clim. Change</w:t>
      </w:r>
      <w:r w:rsidRPr="00635F12">
        <w:rPr>
          <w:rFonts w:ascii="Calibri" w:cs="Calibri"/>
          <w:sz w:val="20"/>
        </w:rPr>
        <w:t xml:space="preserve"> </w:t>
      </w:r>
      <w:r w:rsidRPr="00635F12">
        <w:rPr>
          <w:rFonts w:ascii="Calibri" w:cs="Calibri"/>
          <w:b/>
          <w:bCs/>
          <w:sz w:val="20"/>
        </w:rPr>
        <w:t>7</w:t>
      </w:r>
      <w:r w:rsidRPr="00635F12">
        <w:rPr>
          <w:rFonts w:ascii="Calibri" w:cs="Calibri"/>
          <w:sz w:val="20"/>
        </w:rPr>
        <w:t>, 233–235 (2017).</w:t>
      </w:r>
    </w:p>
    <w:p w14:paraId="2BF7A7BC" w14:textId="77777777" w:rsidR="00635F12" w:rsidRPr="00635F12" w:rsidRDefault="00635F12" w:rsidP="00635F12">
      <w:pPr>
        <w:pStyle w:val="Bibliography"/>
        <w:spacing w:line="240" w:lineRule="auto"/>
        <w:rPr>
          <w:rFonts w:ascii="Calibri" w:cs="Calibri"/>
          <w:sz w:val="20"/>
        </w:rPr>
      </w:pPr>
      <w:r w:rsidRPr="00635F12">
        <w:rPr>
          <w:rFonts w:ascii="Calibri" w:cs="Calibri"/>
          <w:sz w:val="20"/>
        </w:rPr>
        <w:t>7.</w:t>
      </w:r>
      <w:r w:rsidRPr="00635F12">
        <w:rPr>
          <w:rFonts w:ascii="Calibri" w:cs="Calibri"/>
          <w:sz w:val="20"/>
        </w:rPr>
        <w:tab/>
        <w:t xml:space="preserve">Kennedy, C., Pincetl, S. &amp; Bunje, P. The study of urban metabolism and its applications to urban planning and design. </w:t>
      </w:r>
      <w:r w:rsidRPr="00635F12">
        <w:rPr>
          <w:rFonts w:ascii="Calibri" w:cs="Calibri"/>
          <w:i/>
          <w:iCs/>
          <w:sz w:val="20"/>
        </w:rPr>
        <w:t>Environ. Pollut.</w:t>
      </w:r>
      <w:r w:rsidRPr="00635F12">
        <w:rPr>
          <w:rFonts w:ascii="Calibri" w:cs="Calibri"/>
          <w:sz w:val="20"/>
        </w:rPr>
        <w:t xml:space="preserve"> </w:t>
      </w:r>
      <w:r w:rsidRPr="00635F12">
        <w:rPr>
          <w:rFonts w:ascii="Calibri" w:cs="Calibri"/>
          <w:b/>
          <w:bCs/>
          <w:sz w:val="20"/>
        </w:rPr>
        <w:t>159</w:t>
      </w:r>
      <w:r w:rsidRPr="00635F12">
        <w:rPr>
          <w:rFonts w:ascii="Calibri" w:cs="Calibri"/>
          <w:sz w:val="20"/>
        </w:rPr>
        <w:t>, 1965–1973 (2011).</w:t>
      </w:r>
    </w:p>
    <w:p w14:paraId="56EAB182" w14:textId="77777777" w:rsidR="00635F12" w:rsidRPr="00635F12" w:rsidRDefault="00635F12" w:rsidP="00635F12">
      <w:pPr>
        <w:pStyle w:val="Bibliography"/>
        <w:spacing w:line="240" w:lineRule="auto"/>
        <w:rPr>
          <w:rFonts w:ascii="Calibri" w:cs="Calibri"/>
          <w:sz w:val="20"/>
        </w:rPr>
      </w:pPr>
      <w:r w:rsidRPr="00635F12">
        <w:rPr>
          <w:rFonts w:ascii="Calibri" w:cs="Calibri"/>
          <w:sz w:val="20"/>
        </w:rPr>
        <w:t>8.</w:t>
      </w:r>
      <w:r w:rsidRPr="00635F12">
        <w:rPr>
          <w:rFonts w:ascii="Calibri" w:cs="Calibri"/>
          <w:sz w:val="20"/>
        </w:rPr>
        <w:tab/>
        <w:t xml:space="preserve">Romero-Lankao, P. &amp; Gnatz, D. M. Conceptualizing Urban Water Security in an Urbanizing World. </w:t>
      </w:r>
      <w:r w:rsidRPr="00635F12">
        <w:rPr>
          <w:rFonts w:ascii="Calibri" w:cs="Calibri"/>
          <w:i/>
          <w:iCs/>
          <w:sz w:val="20"/>
        </w:rPr>
        <w:t>Curr. Opin. Environ. Sustain.</w:t>
      </w:r>
      <w:r w:rsidRPr="00635F12">
        <w:rPr>
          <w:rFonts w:ascii="Calibri" w:cs="Calibri"/>
          <w:sz w:val="20"/>
        </w:rPr>
        <w:t xml:space="preserve"> (2016).</w:t>
      </w:r>
    </w:p>
    <w:p w14:paraId="0695257C" w14:textId="6CEF9924" w:rsidR="00635F12" w:rsidRPr="00256AF4" w:rsidRDefault="00635F12" w:rsidP="00635F12">
      <w:pPr>
        <w:rPr>
          <w:rFonts w:cstheme="minorHAnsi"/>
          <w:sz w:val="20"/>
          <w:szCs w:val="20"/>
        </w:rPr>
      </w:pPr>
      <w:r>
        <w:rPr>
          <w:rFonts w:cstheme="minorHAnsi"/>
          <w:sz w:val="20"/>
          <w:szCs w:val="20"/>
        </w:rPr>
        <w:fldChar w:fldCharType="end"/>
      </w:r>
    </w:p>
    <w:sectPr w:rsidR="00635F12" w:rsidRPr="00256AF4" w:rsidSect="00D138B5">
      <w:footerReference w:type="even" r:id="rId9"/>
      <w:footerReference w:type="default" r:id="rId10"/>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BD4EC9" w14:textId="77777777" w:rsidR="00C65B56" w:rsidRDefault="00C65B56" w:rsidP="00D138B5">
      <w:r>
        <w:separator/>
      </w:r>
    </w:p>
  </w:endnote>
  <w:endnote w:type="continuationSeparator" w:id="0">
    <w:p w14:paraId="43F7270B" w14:textId="77777777" w:rsidR="00C65B56" w:rsidRDefault="00C65B56" w:rsidP="00D138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25080906"/>
      <w:docPartObj>
        <w:docPartGallery w:val="Page Numbers (Bottom of Page)"/>
        <w:docPartUnique/>
      </w:docPartObj>
    </w:sdtPr>
    <w:sdtEndPr>
      <w:rPr>
        <w:rStyle w:val="PageNumber"/>
      </w:rPr>
    </w:sdtEndPr>
    <w:sdtContent>
      <w:p w14:paraId="1E836FC4" w14:textId="0A59F231" w:rsidR="00544B05" w:rsidRDefault="00544B05" w:rsidP="00544B0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698E42" w14:textId="77777777" w:rsidR="00544B05" w:rsidRDefault="00544B05" w:rsidP="00D138B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56687800"/>
      <w:docPartObj>
        <w:docPartGallery w:val="Page Numbers (Bottom of Page)"/>
        <w:docPartUnique/>
      </w:docPartObj>
    </w:sdtPr>
    <w:sdtEndPr>
      <w:rPr>
        <w:rStyle w:val="PageNumber"/>
      </w:rPr>
    </w:sdtEndPr>
    <w:sdtContent>
      <w:p w14:paraId="5093CC58" w14:textId="0EFE3313" w:rsidR="00544B05" w:rsidRDefault="00544B05" w:rsidP="00544B0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B435154" w14:textId="77777777" w:rsidR="00544B05" w:rsidRDefault="00544B05" w:rsidP="00D138B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3248F4" w14:textId="77777777" w:rsidR="00C65B56" w:rsidRDefault="00C65B56" w:rsidP="00D138B5">
      <w:r>
        <w:separator/>
      </w:r>
    </w:p>
  </w:footnote>
  <w:footnote w:type="continuationSeparator" w:id="0">
    <w:p w14:paraId="7CD3B3FF" w14:textId="77777777" w:rsidR="00C65B56" w:rsidRDefault="00C65B56" w:rsidP="00D138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1082D"/>
    <w:multiLevelType w:val="hybridMultilevel"/>
    <w:tmpl w:val="A3E2A8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A3210C"/>
    <w:multiLevelType w:val="hybridMultilevel"/>
    <w:tmpl w:val="FADE9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B02992"/>
    <w:multiLevelType w:val="multilevel"/>
    <w:tmpl w:val="0EB81974"/>
    <w:lvl w:ilvl="0">
      <w:start w:val="1"/>
      <w:numFmt w:val="decimal"/>
      <w:lvlText w:val="%1."/>
      <w:lvlJc w:val="left"/>
      <w:pPr>
        <w:ind w:left="393" w:hanging="260"/>
      </w:pPr>
      <w:rPr>
        <w:rFonts w:ascii="Times New Roman" w:eastAsia="Times New Roman" w:hAnsi="Times New Roman" w:cs="Times New Roman" w:hint="default"/>
        <w:w w:val="116"/>
        <w:sz w:val="16"/>
        <w:szCs w:val="16"/>
      </w:rPr>
    </w:lvl>
    <w:lvl w:ilvl="1">
      <w:start w:val="1"/>
      <w:numFmt w:val="decimal"/>
      <w:lvlText w:val="%1.%2."/>
      <w:lvlJc w:val="left"/>
      <w:pPr>
        <w:ind w:left="491" w:hanging="378"/>
      </w:pPr>
      <w:rPr>
        <w:rFonts w:ascii="Times New Roman" w:eastAsia="Times New Roman" w:hAnsi="Times New Roman" w:cs="Times New Roman" w:hint="default"/>
        <w:i/>
        <w:w w:val="107"/>
        <w:sz w:val="16"/>
        <w:szCs w:val="16"/>
      </w:rPr>
    </w:lvl>
    <w:lvl w:ilvl="2">
      <w:numFmt w:val="bullet"/>
      <w:lvlText w:val="–"/>
      <w:lvlJc w:val="left"/>
      <w:pPr>
        <w:ind w:left="371" w:hanging="142"/>
      </w:pPr>
      <w:rPr>
        <w:rFonts w:ascii="Times New Roman" w:eastAsia="Times New Roman" w:hAnsi="Times New Roman" w:cs="Times New Roman" w:hint="default"/>
        <w:w w:val="128"/>
        <w:sz w:val="12"/>
        <w:szCs w:val="12"/>
      </w:rPr>
    </w:lvl>
    <w:lvl w:ilvl="3">
      <w:numFmt w:val="bullet"/>
      <w:lvlText w:val="–"/>
      <w:lvlJc w:val="left"/>
      <w:pPr>
        <w:ind w:left="2265" w:hanging="142"/>
      </w:pPr>
      <w:rPr>
        <w:rFonts w:ascii="Times New Roman" w:eastAsia="Times New Roman" w:hAnsi="Times New Roman" w:cs="Times New Roman" w:hint="default"/>
        <w:w w:val="128"/>
        <w:sz w:val="12"/>
        <w:szCs w:val="12"/>
      </w:rPr>
    </w:lvl>
    <w:lvl w:ilvl="4">
      <w:numFmt w:val="bullet"/>
      <w:lvlText w:val="•"/>
      <w:lvlJc w:val="left"/>
      <w:pPr>
        <w:ind w:left="500" w:hanging="142"/>
      </w:pPr>
      <w:rPr>
        <w:rFonts w:hint="default"/>
      </w:rPr>
    </w:lvl>
    <w:lvl w:ilvl="5">
      <w:numFmt w:val="bullet"/>
      <w:lvlText w:val="•"/>
      <w:lvlJc w:val="left"/>
      <w:pPr>
        <w:ind w:left="2260" w:hanging="142"/>
      </w:pPr>
      <w:rPr>
        <w:rFonts w:hint="default"/>
      </w:rPr>
    </w:lvl>
    <w:lvl w:ilvl="6">
      <w:numFmt w:val="bullet"/>
      <w:lvlText w:val="•"/>
      <w:lvlJc w:val="left"/>
      <w:pPr>
        <w:ind w:left="1531" w:hanging="142"/>
      </w:pPr>
      <w:rPr>
        <w:rFonts w:hint="default"/>
      </w:rPr>
    </w:lvl>
    <w:lvl w:ilvl="7">
      <w:numFmt w:val="bullet"/>
      <w:lvlText w:val="•"/>
      <w:lvlJc w:val="left"/>
      <w:pPr>
        <w:ind w:left="802" w:hanging="142"/>
      </w:pPr>
      <w:rPr>
        <w:rFonts w:hint="default"/>
      </w:rPr>
    </w:lvl>
    <w:lvl w:ilvl="8">
      <w:numFmt w:val="bullet"/>
      <w:lvlText w:val="•"/>
      <w:lvlJc w:val="left"/>
      <w:pPr>
        <w:ind w:left="74" w:hanging="142"/>
      </w:pPr>
      <w:rPr>
        <w:rFonts w:hint="default"/>
      </w:rPr>
    </w:lvl>
  </w:abstractNum>
  <w:abstractNum w:abstractNumId="3" w15:restartNumberingAfterBreak="0">
    <w:nsid w:val="366159C1"/>
    <w:multiLevelType w:val="hybridMultilevel"/>
    <w:tmpl w:val="FADE9C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9C7292"/>
    <w:multiLevelType w:val="hybridMultilevel"/>
    <w:tmpl w:val="2C0069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F559B5"/>
    <w:multiLevelType w:val="hybridMultilevel"/>
    <w:tmpl w:val="711CA6C8"/>
    <w:lvl w:ilvl="0" w:tplc="B96E6300">
      <w:numFmt w:val="bullet"/>
      <w:lvlText w:val="–"/>
      <w:lvlJc w:val="left"/>
      <w:pPr>
        <w:ind w:left="2265" w:hanging="142"/>
      </w:pPr>
      <w:rPr>
        <w:rFonts w:ascii="Times New Roman" w:eastAsia="Times New Roman" w:hAnsi="Times New Roman" w:cs="Times New Roman" w:hint="default"/>
        <w:w w:val="128"/>
        <w:sz w:val="12"/>
        <w:szCs w:val="12"/>
      </w:rPr>
    </w:lvl>
    <w:lvl w:ilvl="1" w:tplc="963609C2">
      <w:numFmt w:val="bullet"/>
      <w:lvlText w:val="•"/>
      <w:lvlJc w:val="left"/>
      <w:pPr>
        <w:ind w:left="2407" w:hanging="142"/>
      </w:pPr>
      <w:rPr>
        <w:rFonts w:hint="default"/>
      </w:rPr>
    </w:lvl>
    <w:lvl w:ilvl="2" w:tplc="9182A308">
      <w:numFmt w:val="bullet"/>
      <w:lvlText w:val="•"/>
      <w:lvlJc w:val="left"/>
      <w:pPr>
        <w:ind w:left="2554" w:hanging="142"/>
      </w:pPr>
      <w:rPr>
        <w:rFonts w:hint="default"/>
      </w:rPr>
    </w:lvl>
    <w:lvl w:ilvl="3" w:tplc="EDFEE238">
      <w:numFmt w:val="bullet"/>
      <w:lvlText w:val="•"/>
      <w:lvlJc w:val="left"/>
      <w:pPr>
        <w:ind w:left="2701" w:hanging="142"/>
      </w:pPr>
      <w:rPr>
        <w:rFonts w:hint="default"/>
      </w:rPr>
    </w:lvl>
    <w:lvl w:ilvl="4" w:tplc="33BAD888">
      <w:numFmt w:val="bullet"/>
      <w:lvlText w:val="•"/>
      <w:lvlJc w:val="left"/>
      <w:pPr>
        <w:ind w:left="2848" w:hanging="142"/>
      </w:pPr>
      <w:rPr>
        <w:rFonts w:hint="default"/>
      </w:rPr>
    </w:lvl>
    <w:lvl w:ilvl="5" w:tplc="50C86A5C">
      <w:numFmt w:val="bullet"/>
      <w:lvlText w:val="•"/>
      <w:lvlJc w:val="left"/>
      <w:pPr>
        <w:ind w:left="2996" w:hanging="142"/>
      </w:pPr>
      <w:rPr>
        <w:rFonts w:hint="default"/>
      </w:rPr>
    </w:lvl>
    <w:lvl w:ilvl="6" w:tplc="ACFE2A54">
      <w:numFmt w:val="bullet"/>
      <w:lvlText w:val="•"/>
      <w:lvlJc w:val="left"/>
      <w:pPr>
        <w:ind w:left="3143" w:hanging="142"/>
      </w:pPr>
      <w:rPr>
        <w:rFonts w:hint="default"/>
      </w:rPr>
    </w:lvl>
    <w:lvl w:ilvl="7" w:tplc="585E9968">
      <w:numFmt w:val="bullet"/>
      <w:lvlText w:val="•"/>
      <w:lvlJc w:val="left"/>
      <w:pPr>
        <w:ind w:left="3290" w:hanging="142"/>
      </w:pPr>
      <w:rPr>
        <w:rFonts w:hint="default"/>
      </w:rPr>
    </w:lvl>
    <w:lvl w:ilvl="8" w:tplc="BB204F60">
      <w:numFmt w:val="bullet"/>
      <w:lvlText w:val="•"/>
      <w:lvlJc w:val="left"/>
      <w:pPr>
        <w:ind w:left="3437" w:hanging="142"/>
      </w:pPr>
      <w:rPr>
        <w:rFonts w:hint="default"/>
      </w:rPr>
    </w:lvl>
  </w:abstractNum>
  <w:abstractNum w:abstractNumId="6" w15:restartNumberingAfterBreak="0">
    <w:nsid w:val="58895B38"/>
    <w:multiLevelType w:val="multilevel"/>
    <w:tmpl w:val="11924AD4"/>
    <w:lvl w:ilvl="0">
      <w:start w:val="1"/>
      <w:numFmt w:val="decimal"/>
      <w:lvlText w:val="%1."/>
      <w:lvlJc w:val="left"/>
      <w:pPr>
        <w:ind w:left="314" w:hanging="184"/>
      </w:pPr>
      <w:rPr>
        <w:rFonts w:ascii="Times New Roman" w:eastAsia="Times New Roman" w:hAnsi="Times New Roman" w:cs="Times New Roman" w:hint="default"/>
        <w:color w:val="231F20"/>
        <w:w w:val="109"/>
        <w:sz w:val="16"/>
        <w:szCs w:val="16"/>
      </w:rPr>
    </w:lvl>
    <w:lvl w:ilvl="1">
      <w:start w:val="1"/>
      <w:numFmt w:val="decimal"/>
      <w:lvlText w:val="%1.%2."/>
      <w:lvlJc w:val="left"/>
      <w:pPr>
        <w:ind w:left="428" w:hanging="299"/>
      </w:pPr>
      <w:rPr>
        <w:rFonts w:ascii="Times New Roman" w:eastAsia="Times New Roman" w:hAnsi="Times New Roman" w:cs="Times New Roman" w:hint="default"/>
        <w:i/>
        <w:color w:val="231F20"/>
        <w:w w:val="102"/>
        <w:sz w:val="16"/>
        <w:szCs w:val="16"/>
      </w:rPr>
    </w:lvl>
    <w:lvl w:ilvl="2">
      <w:numFmt w:val="bullet"/>
      <w:lvlText w:val="•"/>
      <w:lvlJc w:val="left"/>
      <w:pPr>
        <w:ind w:left="400" w:hanging="299"/>
      </w:pPr>
      <w:rPr>
        <w:rFonts w:hint="default"/>
      </w:rPr>
    </w:lvl>
    <w:lvl w:ilvl="3">
      <w:numFmt w:val="bullet"/>
      <w:lvlText w:val="•"/>
      <w:lvlJc w:val="left"/>
      <w:pPr>
        <w:ind w:left="420" w:hanging="299"/>
      </w:pPr>
      <w:rPr>
        <w:rFonts w:hint="default"/>
      </w:rPr>
    </w:lvl>
    <w:lvl w:ilvl="4">
      <w:numFmt w:val="bullet"/>
      <w:lvlText w:val="•"/>
      <w:lvlJc w:val="left"/>
      <w:pPr>
        <w:ind w:left="560" w:hanging="299"/>
      </w:pPr>
      <w:rPr>
        <w:rFonts w:hint="default"/>
      </w:rPr>
    </w:lvl>
    <w:lvl w:ilvl="5">
      <w:numFmt w:val="bullet"/>
      <w:lvlText w:val="•"/>
      <w:lvlJc w:val="left"/>
      <w:pPr>
        <w:ind w:left="-229" w:hanging="299"/>
      </w:pPr>
      <w:rPr>
        <w:rFonts w:hint="default"/>
      </w:rPr>
    </w:lvl>
    <w:lvl w:ilvl="6">
      <w:numFmt w:val="bullet"/>
      <w:lvlText w:val="•"/>
      <w:lvlJc w:val="left"/>
      <w:pPr>
        <w:ind w:left="-1017" w:hanging="299"/>
      </w:pPr>
      <w:rPr>
        <w:rFonts w:hint="default"/>
      </w:rPr>
    </w:lvl>
    <w:lvl w:ilvl="7">
      <w:numFmt w:val="bullet"/>
      <w:lvlText w:val="•"/>
      <w:lvlJc w:val="left"/>
      <w:pPr>
        <w:ind w:left="-1806" w:hanging="299"/>
      </w:pPr>
      <w:rPr>
        <w:rFonts w:hint="default"/>
      </w:rPr>
    </w:lvl>
    <w:lvl w:ilvl="8">
      <w:numFmt w:val="bullet"/>
      <w:lvlText w:val="•"/>
      <w:lvlJc w:val="left"/>
      <w:pPr>
        <w:ind w:left="-2594" w:hanging="299"/>
      </w:pPr>
      <w:rPr>
        <w:rFonts w:hint="default"/>
      </w:rPr>
    </w:lvl>
  </w:abstractNum>
  <w:abstractNum w:abstractNumId="7" w15:restartNumberingAfterBreak="0">
    <w:nsid w:val="7CC32B42"/>
    <w:multiLevelType w:val="hybridMultilevel"/>
    <w:tmpl w:val="A83A23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6"/>
  </w:num>
  <w:num w:numId="5">
    <w:abstractNumId w:val="3"/>
  </w:num>
  <w:num w:numId="6">
    <w:abstractNumId w:val="4"/>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0C7"/>
    <w:rsid w:val="00034CD9"/>
    <w:rsid w:val="0003504F"/>
    <w:rsid w:val="00056A1C"/>
    <w:rsid w:val="000C0BFB"/>
    <w:rsid w:val="000C170E"/>
    <w:rsid w:val="00122732"/>
    <w:rsid w:val="00166797"/>
    <w:rsid w:val="00166C80"/>
    <w:rsid w:val="001742E9"/>
    <w:rsid w:val="00184E9D"/>
    <w:rsid w:val="00197B20"/>
    <w:rsid w:val="001A073B"/>
    <w:rsid w:val="001A261B"/>
    <w:rsid w:val="001B14FE"/>
    <w:rsid w:val="001C282F"/>
    <w:rsid w:val="001D4B3D"/>
    <w:rsid w:val="001F3278"/>
    <w:rsid w:val="00256AF4"/>
    <w:rsid w:val="00264246"/>
    <w:rsid w:val="00264C38"/>
    <w:rsid w:val="002666CB"/>
    <w:rsid w:val="002C2661"/>
    <w:rsid w:val="00343DCF"/>
    <w:rsid w:val="003C3FCB"/>
    <w:rsid w:val="00403682"/>
    <w:rsid w:val="004203D2"/>
    <w:rsid w:val="0043563D"/>
    <w:rsid w:val="00447CDB"/>
    <w:rsid w:val="004730DA"/>
    <w:rsid w:val="004766D9"/>
    <w:rsid w:val="0049126E"/>
    <w:rsid w:val="004A415D"/>
    <w:rsid w:val="004F3CDE"/>
    <w:rsid w:val="005312F0"/>
    <w:rsid w:val="0053783B"/>
    <w:rsid w:val="00544B05"/>
    <w:rsid w:val="00557422"/>
    <w:rsid w:val="00564EF2"/>
    <w:rsid w:val="005A3CDF"/>
    <w:rsid w:val="005C7C9E"/>
    <w:rsid w:val="005F0DE1"/>
    <w:rsid w:val="00611978"/>
    <w:rsid w:val="006125FC"/>
    <w:rsid w:val="00635F12"/>
    <w:rsid w:val="006E70CF"/>
    <w:rsid w:val="0070611A"/>
    <w:rsid w:val="007134F8"/>
    <w:rsid w:val="007222F1"/>
    <w:rsid w:val="007D0072"/>
    <w:rsid w:val="008123EA"/>
    <w:rsid w:val="00813C56"/>
    <w:rsid w:val="00827DD1"/>
    <w:rsid w:val="008F2341"/>
    <w:rsid w:val="008F4C1E"/>
    <w:rsid w:val="00903F1E"/>
    <w:rsid w:val="009650DA"/>
    <w:rsid w:val="0097148B"/>
    <w:rsid w:val="009B212D"/>
    <w:rsid w:val="00A21F36"/>
    <w:rsid w:val="00AA66C8"/>
    <w:rsid w:val="00AF7A92"/>
    <w:rsid w:val="00B0649B"/>
    <w:rsid w:val="00B10A76"/>
    <w:rsid w:val="00B54CBD"/>
    <w:rsid w:val="00B6458B"/>
    <w:rsid w:val="00B84343"/>
    <w:rsid w:val="00BA1B68"/>
    <w:rsid w:val="00BA6D7F"/>
    <w:rsid w:val="00BF13A7"/>
    <w:rsid w:val="00C20BA1"/>
    <w:rsid w:val="00C43D3E"/>
    <w:rsid w:val="00C65B56"/>
    <w:rsid w:val="00C72E81"/>
    <w:rsid w:val="00C83876"/>
    <w:rsid w:val="00CC3781"/>
    <w:rsid w:val="00CE198B"/>
    <w:rsid w:val="00CE3194"/>
    <w:rsid w:val="00D138B5"/>
    <w:rsid w:val="00D21C93"/>
    <w:rsid w:val="00D5633F"/>
    <w:rsid w:val="00D853F7"/>
    <w:rsid w:val="00DE06A2"/>
    <w:rsid w:val="00E06A58"/>
    <w:rsid w:val="00E30F9F"/>
    <w:rsid w:val="00E40775"/>
    <w:rsid w:val="00E63C78"/>
    <w:rsid w:val="00E96BA7"/>
    <w:rsid w:val="00EF0F0C"/>
    <w:rsid w:val="00EF5333"/>
    <w:rsid w:val="00F249D9"/>
    <w:rsid w:val="00F43027"/>
    <w:rsid w:val="00F670C7"/>
    <w:rsid w:val="00F846FE"/>
    <w:rsid w:val="00FF0A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0780F"/>
  <w15:chartTrackingRefBased/>
  <w15:docId w15:val="{904506C8-17C1-FD49-8F6E-DF28ECAE0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563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557422"/>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7422"/>
    <w:rPr>
      <w:color w:val="0000FF"/>
      <w:u w:val="single"/>
    </w:rPr>
  </w:style>
  <w:style w:type="character" w:styleId="Emphasis">
    <w:name w:val="Emphasis"/>
    <w:basedOn w:val="DefaultParagraphFont"/>
    <w:uiPriority w:val="20"/>
    <w:qFormat/>
    <w:rsid w:val="00557422"/>
    <w:rPr>
      <w:i/>
      <w:iCs/>
    </w:rPr>
  </w:style>
  <w:style w:type="character" w:customStyle="1" w:styleId="Heading3Char">
    <w:name w:val="Heading 3 Char"/>
    <w:basedOn w:val="DefaultParagraphFont"/>
    <w:link w:val="Heading3"/>
    <w:uiPriority w:val="9"/>
    <w:rsid w:val="0055742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57422"/>
    <w:pPr>
      <w:spacing w:before="100" w:beforeAutospacing="1" w:after="100" w:afterAutospacing="1"/>
    </w:pPr>
    <w:rPr>
      <w:rFonts w:ascii="Times New Roman" w:eastAsia="Times New Roman" w:hAnsi="Times New Roman" w:cs="Times New Roman"/>
    </w:rPr>
  </w:style>
  <w:style w:type="character" w:customStyle="1" w:styleId="mathjax">
    <w:name w:val="mathjax"/>
    <w:basedOn w:val="DefaultParagraphFont"/>
    <w:rsid w:val="00557422"/>
  </w:style>
  <w:style w:type="character" w:customStyle="1" w:styleId="mi">
    <w:name w:val="mi"/>
    <w:basedOn w:val="DefaultParagraphFont"/>
    <w:rsid w:val="00557422"/>
  </w:style>
  <w:style w:type="character" w:customStyle="1" w:styleId="mo">
    <w:name w:val="mo"/>
    <w:basedOn w:val="DefaultParagraphFont"/>
    <w:rsid w:val="00557422"/>
  </w:style>
  <w:style w:type="character" w:customStyle="1" w:styleId="mn">
    <w:name w:val="mn"/>
    <w:basedOn w:val="DefaultParagraphFont"/>
    <w:rsid w:val="00557422"/>
  </w:style>
  <w:style w:type="paragraph" w:customStyle="1" w:styleId="flushleft">
    <w:name w:val="flushleft"/>
    <w:basedOn w:val="Normal"/>
    <w:rsid w:val="00557422"/>
    <w:pPr>
      <w:spacing w:before="100" w:beforeAutospacing="1" w:after="100" w:afterAutospacing="1"/>
    </w:pPr>
    <w:rPr>
      <w:rFonts w:ascii="Times New Roman" w:eastAsia="Times New Roman" w:hAnsi="Times New Roman" w:cs="Times New Roman"/>
    </w:rPr>
  </w:style>
  <w:style w:type="paragraph" w:styleId="BodyText">
    <w:name w:val="Body Text"/>
    <w:basedOn w:val="Normal"/>
    <w:link w:val="BodyTextChar"/>
    <w:uiPriority w:val="1"/>
    <w:qFormat/>
    <w:rsid w:val="00611978"/>
    <w:pPr>
      <w:widowControl w:val="0"/>
      <w:autoSpaceDE w:val="0"/>
      <w:autoSpaceDN w:val="0"/>
    </w:pPr>
    <w:rPr>
      <w:rFonts w:ascii="Times New Roman" w:eastAsia="Times New Roman" w:hAnsi="Times New Roman" w:cs="Times New Roman"/>
      <w:sz w:val="16"/>
      <w:szCs w:val="16"/>
    </w:rPr>
  </w:style>
  <w:style w:type="character" w:customStyle="1" w:styleId="BodyTextChar">
    <w:name w:val="Body Text Char"/>
    <w:basedOn w:val="DefaultParagraphFont"/>
    <w:link w:val="BodyText"/>
    <w:uiPriority w:val="1"/>
    <w:rsid w:val="00611978"/>
    <w:rPr>
      <w:rFonts w:ascii="Times New Roman" w:eastAsia="Times New Roman" w:hAnsi="Times New Roman" w:cs="Times New Roman"/>
      <w:sz w:val="16"/>
      <w:szCs w:val="16"/>
    </w:rPr>
  </w:style>
  <w:style w:type="table" w:styleId="TableGrid">
    <w:name w:val="Table Grid"/>
    <w:basedOn w:val="TableNormal"/>
    <w:uiPriority w:val="39"/>
    <w:rsid w:val="001D4B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C3781"/>
    <w:pPr>
      <w:ind w:left="720"/>
      <w:contextualSpacing/>
    </w:pPr>
  </w:style>
  <w:style w:type="paragraph" w:styleId="Footer">
    <w:name w:val="footer"/>
    <w:basedOn w:val="Normal"/>
    <w:link w:val="FooterChar"/>
    <w:uiPriority w:val="99"/>
    <w:unhideWhenUsed/>
    <w:rsid w:val="00D138B5"/>
    <w:pPr>
      <w:tabs>
        <w:tab w:val="center" w:pos="4680"/>
        <w:tab w:val="right" w:pos="9360"/>
      </w:tabs>
    </w:pPr>
  </w:style>
  <w:style w:type="character" w:customStyle="1" w:styleId="FooterChar">
    <w:name w:val="Footer Char"/>
    <w:basedOn w:val="DefaultParagraphFont"/>
    <w:link w:val="Footer"/>
    <w:uiPriority w:val="99"/>
    <w:rsid w:val="00D138B5"/>
  </w:style>
  <w:style w:type="character" w:styleId="PageNumber">
    <w:name w:val="page number"/>
    <w:basedOn w:val="DefaultParagraphFont"/>
    <w:uiPriority w:val="99"/>
    <w:semiHidden/>
    <w:unhideWhenUsed/>
    <w:rsid w:val="00D138B5"/>
  </w:style>
  <w:style w:type="paragraph" w:styleId="FootnoteText">
    <w:name w:val="footnote text"/>
    <w:basedOn w:val="Normal"/>
    <w:link w:val="FootnoteTextChar"/>
    <w:uiPriority w:val="99"/>
    <w:semiHidden/>
    <w:unhideWhenUsed/>
    <w:rsid w:val="00034CD9"/>
    <w:rPr>
      <w:sz w:val="20"/>
      <w:szCs w:val="20"/>
    </w:rPr>
  </w:style>
  <w:style w:type="character" w:customStyle="1" w:styleId="FootnoteTextChar">
    <w:name w:val="Footnote Text Char"/>
    <w:basedOn w:val="DefaultParagraphFont"/>
    <w:link w:val="FootnoteText"/>
    <w:uiPriority w:val="99"/>
    <w:semiHidden/>
    <w:rsid w:val="00034CD9"/>
    <w:rPr>
      <w:sz w:val="20"/>
      <w:szCs w:val="20"/>
    </w:rPr>
  </w:style>
  <w:style w:type="character" w:styleId="FootnoteReference">
    <w:name w:val="footnote reference"/>
    <w:basedOn w:val="DefaultParagraphFont"/>
    <w:uiPriority w:val="99"/>
    <w:semiHidden/>
    <w:unhideWhenUsed/>
    <w:rsid w:val="00034CD9"/>
    <w:rPr>
      <w:vertAlign w:val="superscript"/>
    </w:rPr>
  </w:style>
  <w:style w:type="character" w:styleId="CommentReference">
    <w:name w:val="annotation reference"/>
    <w:basedOn w:val="DefaultParagraphFont"/>
    <w:uiPriority w:val="99"/>
    <w:semiHidden/>
    <w:unhideWhenUsed/>
    <w:rsid w:val="00544B05"/>
    <w:rPr>
      <w:sz w:val="16"/>
      <w:szCs w:val="16"/>
    </w:rPr>
  </w:style>
  <w:style w:type="paragraph" w:styleId="CommentText">
    <w:name w:val="annotation text"/>
    <w:basedOn w:val="Normal"/>
    <w:link w:val="CommentTextChar"/>
    <w:uiPriority w:val="99"/>
    <w:unhideWhenUsed/>
    <w:rsid w:val="00544B05"/>
    <w:pPr>
      <w:spacing w:after="200"/>
    </w:pPr>
    <w:rPr>
      <w:rFonts w:asciiTheme="majorHAnsi" w:eastAsiaTheme="minorEastAsia" w:hAnsiTheme="majorHAnsi"/>
      <w:sz w:val="20"/>
      <w:szCs w:val="29"/>
      <w:lang w:eastAsia="zh-CN" w:bidi="bo-CN"/>
    </w:rPr>
  </w:style>
  <w:style w:type="character" w:customStyle="1" w:styleId="CommentTextChar">
    <w:name w:val="Comment Text Char"/>
    <w:basedOn w:val="DefaultParagraphFont"/>
    <w:link w:val="CommentText"/>
    <w:uiPriority w:val="99"/>
    <w:rsid w:val="00544B05"/>
    <w:rPr>
      <w:rFonts w:asciiTheme="majorHAnsi" w:eastAsiaTheme="minorEastAsia" w:hAnsiTheme="majorHAnsi"/>
      <w:sz w:val="20"/>
      <w:szCs w:val="29"/>
      <w:lang w:eastAsia="zh-CN" w:bidi="bo-CN"/>
    </w:rPr>
  </w:style>
  <w:style w:type="paragraph" w:styleId="BalloonText">
    <w:name w:val="Balloon Text"/>
    <w:basedOn w:val="Normal"/>
    <w:link w:val="BalloonTextChar"/>
    <w:uiPriority w:val="99"/>
    <w:semiHidden/>
    <w:unhideWhenUsed/>
    <w:rsid w:val="00544B0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44B05"/>
    <w:rPr>
      <w:rFonts w:ascii="Times New Roman" w:hAnsi="Times New Roman" w:cs="Times New Roman"/>
      <w:sz w:val="18"/>
      <w:szCs w:val="18"/>
    </w:rPr>
  </w:style>
  <w:style w:type="character" w:customStyle="1" w:styleId="apple-converted-space">
    <w:name w:val="apple-converted-space"/>
    <w:basedOn w:val="DefaultParagraphFont"/>
    <w:rsid w:val="004730DA"/>
  </w:style>
  <w:style w:type="character" w:customStyle="1" w:styleId="Heading1Char">
    <w:name w:val="Heading 1 Char"/>
    <w:basedOn w:val="DefaultParagraphFont"/>
    <w:link w:val="Heading1"/>
    <w:uiPriority w:val="9"/>
    <w:rsid w:val="0043563D"/>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F43027"/>
    <w:rPr>
      <w:color w:val="605E5C"/>
      <w:shd w:val="clear" w:color="auto" w:fill="E1DFDD"/>
    </w:rPr>
  </w:style>
  <w:style w:type="paragraph" w:styleId="Bibliography">
    <w:name w:val="Bibliography"/>
    <w:basedOn w:val="Normal"/>
    <w:next w:val="Normal"/>
    <w:uiPriority w:val="37"/>
    <w:unhideWhenUsed/>
    <w:rsid w:val="00635F12"/>
    <w:pPr>
      <w:tabs>
        <w:tab w:val="left" w:pos="260"/>
      </w:tabs>
      <w:spacing w:line="48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827558">
      <w:bodyDiv w:val="1"/>
      <w:marLeft w:val="0"/>
      <w:marRight w:val="0"/>
      <w:marTop w:val="0"/>
      <w:marBottom w:val="0"/>
      <w:divBdr>
        <w:top w:val="none" w:sz="0" w:space="0" w:color="auto"/>
        <w:left w:val="none" w:sz="0" w:space="0" w:color="auto"/>
        <w:bottom w:val="none" w:sz="0" w:space="0" w:color="auto"/>
        <w:right w:val="none" w:sz="0" w:space="0" w:color="auto"/>
      </w:divBdr>
    </w:div>
    <w:div w:id="228464636">
      <w:bodyDiv w:val="1"/>
      <w:marLeft w:val="0"/>
      <w:marRight w:val="0"/>
      <w:marTop w:val="0"/>
      <w:marBottom w:val="0"/>
      <w:divBdr>
        <w:top w:val="none" w:sz="0" w:space="0" w:color="auto"/>
        <w:left w:val="none" w:sz="0" w:space="0" w:color="auto"/>
        <w:bottom w:val="none" w:sz="0" w:space="0" w:color="auto"/>
        <w:right w:val="none" w:sz="0" w:space="0" w:color="auto"/>
      </w:divBdr>
    </w:div>
    <w:div w:id="451093317">
      <w:bodyDiv w:val="1"/>
      <w:marLeft w:val="0"/>
      <w:marRight w:val="0"/>
      <w:marTop w:val="0"/>
      <w:marBottom w:val="0"/>
      <w:divBdr>
        <w:top w:val="none" w:sz="0" w:space="0" w:color="auto"/>
        <w:left w:val="none" w:sz="0" w:space="0" w:color="auto"/>
        <w:bottom w:val="none" w:sz="0" w:space="0" w:color="auto"/>
        <w:right w:val="none" w:sz="0" w:space="0" w:color="auto"/>
      </w:divBdr>
    </w:div>
    <w:div w:id="625742711">
      <w:bodyDiv w:val="1"/>
      <w:marLeft w:val="0"/>
      <w:marRight w:val="0"/>
      <w:marTop w:val="0"/>
      <w:marBottom w:val="0"/>
      <w:divBdr>
        <w:top w:val="none" w:sz="0" w:space="0" w:color="auto"/>
        <w:left w:val="none" w:sz="0" w:space="0" w:color="auto"/>
        <w:bottom w:val="none" w:sz="0" w:space="0" w:color="auto"/>
        <w:right w:val="none" w:sz="0" w:space="0" w:color="auto"/>
      </w:divBdr>
    </w:div>
    <w:div w:id="823164832">
      <w:bodyDiv w:val="1"/>
      <w:marLeft w:val="0"/>
      <w:marRight w:val="0"/>
      <w:marTop w:val="0"/>
      <w:marBottom w:val="0"/>
      <w:divBdr>
        <w:top w:val="none" w:sz="0" w:space="0" w:color="auto"/>
        <w:left w:val="none" w:sz="0" w:space="0" w:color="auto"/>
        <w:bottom w:val="none" w:sz="0" w:space="0" w:color="auto"/>
        <w:right w:val="none" w:sz="0" w:space="0" w:color="auto"/>
      </w:divBdr>
      <w:divsChild>
        <w:div w:id="1913848773">
          <w:marLeft w:val="0"/>
          <w:marRight w:val="0"/>
          <w:marTop w:val="0"/>
          <w:marBottom w:val="0"/>
          <w:divBdr>
            <w:top w:val="none" w:sz="0" w:space="0" w:color="auto"/>
            <w:left w:val="none" w:sz="0" w:space="0" w:color="auto"/>
            <w:bottom w:val="none" w:sz="0" w:space="0" w:color="auto"/>
            <w:right w:val="none" w:sz="0" w:space="0" w:color="auto"/>
          </w:divBdr>
        </w:div>
      </w:divsChild>
    </w:div>
    <w:div w:id="1051883758">
      <w:bodyDiv w:val="1"/>
      <w:marLeft w:val="0"/>
      <w:marRight w:val="0"/>
      <w:marTop w:val="0"/>
      <w:marBottom w:val="0"/>
      <w:divBdr>
        <w:top w:val="none" w:sz="0" w:space="0" w:color="auto"/>
        <w:left w:val="none" w:sz="0" w:space="0" w:color="auto"/>
        <w:bottom w:val="none" w:sz="0" w:space="0" w:color="auto"/>
        <w:right w:val="none" w:sz="0" w:space="0" w:color="auto"/>
      </w:divBdr>
    </w:div>
    <w:div w:id="1325741029">
      <w:bodyDiv w:val="1"/>
      <w:marLeft w:val="0"/>
      <w:marRight w:val="0"/>
      <w:marTop w:val="0"/>
      <w:marBottom w:val="0"/>
      <w:divBdr>
        <w:top w:val="none" w:sz="0" w:space="0" w:color="auto"/>
        <w:left w:val="none" w:sz="0" w:space="0" w:color="auto"/>
        <w:bottom w:val="none" w:sz="0" w:space="0" w:color="auto"/>
        <w:right w:val="none" w:sz="0" w:space="0" w:color="auto"/>
      </w:divBdr>
    </w:div>
    <w:div w:id="1412461370">
      <w:bodyDiv w:val="1"/>
      <w:marLeft w:val="0"/>
      <w:marRight w:val="0"/>
      <w:marTop w:val="0"/>
      <w:marBottom w:val="0"/>
      <w:divBdr>
        <w:top w:val="none" w:sz="0" w:space="0" w:color="auto"/>
        <w:left w:val="none" w:sz="0" w:space="0" w:color="auto"/>
        <w:bottom w:val="none" w:sz="0" w:space="0" w:color="auto"/>
        <w:right w:val="none" w:sz="0" w:space="0" w:color="auto"/>
      </w:divBdr>
    </w:div>
    <w:div w:id="1575897062">
      <w:bodyDiv w:val="1"/>
      <w:marLeft w:val="0"/>
      <w:marRight w:val="0"/>
      <w:marTop w:val="0"/>
      <w:marBottom w:val="0"/>
      <w:divBdr>
        <w:top w:val="none" w:sz="0" w:space="0" w:color="auto"/>
        <w:left w:val="none" w:sz="0" w:space="0" w:color="auto"/>
        <w:bottom w:val="none" w:sz="0" w:space="0" w:color="auto"/>
        <w:right w:val="none" w:sz="0" w:space="0" w:color="auto"/>
      </w:divBdr>
    </w:div>
    <w:div w:id="1631205234">
      <w:bodyDiv w:val="1"/>
      <w:marLeft w:val="0"/>
      <w:marRight w:val="0"/>
      <w:marTop w:val="0"/>
      <w:marBottom w:val="0"/>
      <w:divBdr>
        <w:top w:val="none" w:sz="0" w:space="0" w:color="auto"/>
        <w:left w:val="none" w:sz="0" w:space="0" w:color="auto"/>
        <w:bottom w:val="none" w:sz="0" w:space="0" w:color="auto"/>
        <w:right w:val="none" w:sz="0" w:space="0" w:color="auto"/>
      </w:divBdr>
    </w:div>
    <w:div w:id="1673946306">
      <w:bodyDiv w:val="1"/>
      <w:marLeft w:val="0"/>
      <w:marRight w:val="0"/>
      <w:marTop w:val="0"/>
      <w:marBottom w:val="0"/>
      <w:divBdr>
        <w:top w:val="none" w:sz="0" w:space="0" w:color="auto"/>
        <w:left w:val="none" w:sz="0" w:space="0" w:color="auto"/>
        <w:bottom w:val="none" w:sz="0" w:space="0" w:color="auto"/>
        <w:right w:val="none" w:sz="0" w:space="0" w:color="auto"/>
      </w:divBdr>
    </w:div>
    <w:div w:id="1837762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3A7E56-0980-824D-8966-6B7E0C9A4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5</Pages>
  <Words>4031</Words>
  <Characters>22979</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Romero Lankao, Patricia</dc:creator>
  <cp:keywords/>
  <dc:description/>
  <cp:lastModifiedBy>Romero Lankao, Patricia</cp:lastModifiedBy>
  <cp:revision>6</cp:revision>
  <cp:lastPrinted>2018-10-24T17:14:00Z</cp:lastPrinted>
  <dcterms:created xsi:type="dcterms:W3CDTF">2018-11-19T17:44:00Z</dcterms:created>
  <dcterms:modified xsi:type="dcterms:W3CDTF">2018-11-27T18:13:00Z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zotero-version="5.0.57"&gt;&lt;session id="zgTMzJrH"/&gt;&lt;style id="http://www.zotero.org/styles/nature" hasBibliography="1" bibliographyStyleHasBeenSet="1"/&gt;&lt;prefs&gt;&lt;pref name="fieldType" value="Field"/&gt;&lt;pref name="automaticJournalAbbreviati</vt:lpwstr>
  </property>
  <property fmtid="{D5CDD505-2E9C-101B-9397-08002B2CF9AE}" pid="3" name="ZOTERO_PREF_2">
    <vt:lpwstr>ons" value="true"/&gt;&lt;/prefs&gt;&lt;/data&gt;</vt:lpwstr>
  </property>
</Properties>
</file>