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9728" w14:textId="06CD5959" w:rsidR="00F43027" w:rsidRPr="00F43027" w:rsidRDefault="00F43027" w:rsidP="00F43027">
      <w:pPr>
        <w:jc w:val="center"/>
        <w:rPr>
          <w:rFonts w:cstheme="minorHAnsi"/>
          <w:b/>
          <w:sz w:val="22"/>
          <w:szCs w:val="22"/>
        </w:rPr>
      </w:pPr>
      <w:bookmarkStart w:id="0" w:name="_GoBack"/>
      <w:r w:rsidRPr="00F43027">
        <w:rPr>
          <w:rFonts w:cstheme="minorHAnsi"/>
          <w:b/>
          <w:sz w:val="22"/>
          <w:szCs w:val="22"/>
        </w:rPr>
        <w:t xml:space="preserve">Transportation Behavior and Energy use Across Settlement and Population Groups </w:t>
      </w:r>
      <w:r w:rsidRPr="00CE3194">
        <w:rPr>
          <w:rFonts w:cstheme="minorHAnsi"/>
          <w:b/>
          <w:sz w:val="22"/>
          <w:szCs w:val="22"/>
        </w:rPr>
        <w:br/>
      </w:r>
      <w:bookmarkEnd w:id="0"/>
      <w:r w:rsidRPr="00F43027">
        <w:rPr>
          <w:rFonts w:cstheme="minorHAnsi"/>
          <w:b/>
          <w:sz w:val="22"/>
          <w:szCs w:val="22"/>
        </w:rPr>
        <w:t>– a Typology</w:t>
      </w:r>
      <w:r w:rsidR="00CE3194">
        <w:rPr>
          <w:rFonts w:cstheme="minorHAnsi"/>
          <w:b/>
          <w:sz w:val="22"/>
          <w:szCs w:val="22"/>
        </w:rPr>
        <w:t xml:space="preserve"> (Draft for internal use)</w:t>
      </w:r>
    </w:p>
    <w:p w14:paraId="0C79A7C3" w14:textId="77777777" w:rsidR="00F43027" w:rsidRPr="00F43027" w:rsidRDefault="00F43027" w:rsidP="00F43027">
      <w:pPr>
        <w:rPr>
          <w:rFonts w:cstheme="minorHAnsi"/>
          <w:b/>
          <w:sz w:val="22"/>
          <w:szCs w:val="22"/>
        </w:rPr>
      </w:pPr>
    </w:p>
    <w:p w14:paraId="3225893B" w14:textId="77777777" w:rsidR="00F43027" w:rsidRPr="00F43027" w:rsidRDefault="00F43027" w:rsidP="00F43027">
      <w:pPr>
        <w:jc w:val="right"/>
        <w:rPr>
          <w:rFonts w:cstheme="minorHAnsi"/>
          <w:i/>
          <w:sz w:val="22"/>
          <w:szCs w:val="22"/>
        </w:rPr>
      </w:pPr>
      <w:r w:rsidRPr="00F43027">
        <w:rPr>
          <w:rFonts w:cstheme="minorHAnsi"/>
          <w:i/>
          <w:sz w:val="22"/>
          <w:szCs w:val="22"/>
        </w:rPr>
        <w:t>Patricia Romero-</w:t>
      </w:r>
      <w:proofErr w:type="spellStart"/>
      <w:r w:rsidRPr="00F43027">
        <w:rPr>
          <w:rFonts w:cstheme="minorHAnsi"/>
          <w:i/>
          <w:sz w:val="22"/>
          <w:szCs w:val="22"/>
        </w:rPr>
        <w:t>Lankao</w:t>
      </w:r>
      <w:proofErr w:type="spellEnd"/>
      <w:r w:rsidRPr="00F43027">
        <w:rPr>
          <w:rFonts w:cstheme="minorHAnsi"/>
          <w:i/>
          <w:sz w:val="22"/>
          <w:szCs w:val="22"/>
        </w:rPr>
        <w:t xml:space="preserve">  </w:t>
      </w:r>
    </w:p>
    <w:p w14:paraId="650E6869" w14:textId="77777777" w:rsidR="00F43027" w:rsidRPr="00F43027" w:rsidRDefault="00F43027" w:rsidP="00F43027">
      <w:pPr>
        <w:rPr>
          <w:rFonts w:cstheme="minorHAnsi"/>
          <w:b/>
          <w:sz w:val="22"/>
          <w:szCs w:val="22"/>
        </w:rPr>
      </w:pPr>
    </w:p>
    <w:p w14:paraId="74C86506" w14:textId="77777777" w:rsidR="00F43027" w:rsidRPr="00F43027" w:rsidRDefault="00F43027" w:rsidP="00F43027">
      <w:pPr>
        <w:numPr>
          <w:ilvl w:val="0"/>
          <w:numId w:val="7"/>
        </w:numPr>
        <w:rPr>
          <w:rFonts w:cstheme="minorHAnsi"/>
          <w:b/>
          <w:sz w:val="22"/>
          <w:szCs w:val="22"/>
        </w:rPr>
      </w:pPr>
      <w:r w:rsidRPr="00F43027">
        <w:rPr>
          <w:rFonts w:cstheme="minorHAnsi"/>
          <w:b/>
          <w:sz w:val="22"/>
          <w:szCs w:val="22"/>
        </w:rPr>
        <w:t>Rationale and goal</w:t>
      </w:r>
    </w:p>
    <w:p w14:paraId="46D89210" w14:textId="77777777" w:rsidR="00F43027" w:rsidRPr="00F43027" w:rsidRDefault="00F43027" w:rsidP="00F43027">
      <w:pPr>
        <w:rPr>
          <w:rFonts w:cstheme="minorHAnsi"/>
          <w:sz w:val="22"/>
          <w:szCs w:val="22"/>
        </w:rPr>
      </w:pPr>
    </w:p>
    <w:p w14:paraId="7D684574" w14:textId="77777777" w:rsidR="00F43027" w:rsidRPr="00F43027" w:rsidRDefault="00F43027" w:rsidP="00F43027">
      <w:pPr>
        <w:rPr>
          <w:rFonts w:cstheme="minorHAnsi"/>
          <w:sz w:val="22"/>
          <w:szCs w:val="22"/>
        </w:rPr>
      </w:pPr>
      <w:r w:rsidRPr="00F43027">
        <w:rPr>
          <w:rFonts w:cstheme="minorHAnsi"/>
          <w:sz w:val="22"/>
          <w:szCs w:val="22"/>
        </w:rPr>
        <w:t xml:space="preserve">A solid body of literature has examined energy use and associated emissions in urban areas []. However, many of the studies are based on one or a handful of case studies and on the use of different inventory approaches (Table 1 Annex). Scholars are faced with lack of consistent and comprehensive data to measure, in particular, the increasing importance of emerging technologies. Here, we suggest a typology to identify clusters of features and drivers of emergent behavior in transportation and associated energy use and emissions across settlement types and socioeconomic status groups. </w:t>
      </w:r>
    </w:p>
    <w:p w14:paraId="243D6496" w14:textId="77777777" w:rsidR="00F43027" w:rsidRPr="00F43027" w:rsidRDefault="00F43027" w:rsidP="00F43027">
      <w:pPr>
        <w:rPr>
          <w:rFonts w:cstheme="minorHAnsi"/>
          <w:sz w:val="22"/>
          <w:szCs w:val="22"/>
        </w:rPr>
      </w:pPr>
    </w:p>
    <w:p w14:paraId="62488244" w14:textId="77777777" w:rsidR="00F43027" w:rsidRPr="00F43027" w:rsidRDefault="00F43027" w:rsidP="00F43027">
      <w:pPr>
        <w:numPr>
          <w:ilvl w:val="0"/>
          <w:numId w:val="7"/>
        </w:numPr>
        <w:rPr>
          <w:rFonts w:cstheme="minorHAnsi"/>
          <w:b/>
          <w:sz w:val="22"/>
          <w:szCs w:val="22"/>
        </w:rPr>
      </w:pPr>
      <w:r w:rsidRPr="00F43027">
        <w:rPr>
          <w:rFonts w:cstheme="minorHAnsi"/>
          <w:b/>
          <w:sz w:val="22"/>
          <w:szCs w:val="22"/>
        </w:rPr>
        <w:t xml:space="preserve">Attributes and drivers </w:t>
      </w:r>
    </w:p>
    <w:p w14:paraId="12BA5840" w14:textId="77777777" w:rsidR="00F43027" w:rsidRPr="00F43027" w:rsidRDefault="00F43027" w:rsidP="00F43027">
      <w:pPr>
        <w:rPr>
          <w:rFonts w:cstheme="minorHAnsi"/>
          <w:sz w:val="22"/>
          <w:szCs w:val="22"/>
        </w:rPr>
      </w:pPr>
    </w:p>
    <w:p w14:paraId="11D85829" w14:textId="77777777" w:rsidR="00F43027" w:rsidRPr="00F43027" w:rsidRDefault="00F43027" w:rsidP="00F43027">
      <w:pPr>
        <w:rPr>
          <w:rFonts w:cstheme="minorHAnsi"/>
          <w:sz w:val="22"/>
          <w:szCs w:val="22"/>
        </w:rPr>
      </w:pPr>
      <w:r w:rsidRPr="00F43027">
        <w:rPr>
          <w:rFonts w:cstheme="minorHAnsi"/>
          <w:sz w:val="22"/>
          <w:szCs w:val="22"/>
        </w:rPr>
        <w:t>Multiple and interacting attributes and drivers have been found to explain differences in energy and GHG emissions within and across populations and settlement types from core to rural areas [refs]. Here we present a summary of these, while section 3 and Table 2 provide detail on selected indicators.</w:t>
      </w:r>
    </w:p>
    <w:p w14:paraId="33BAC642" w14:textId="77777777" w:rsidR="00F43027" w:rsidRPr="00F43027" w:rsidRDefault="00F43027" w:rsidP="00F43027">
      <w:pPr>
        <w:rPr>
          <w:rFonts w:cstheme="minorHAnsi"/>
          <w:sz w:val="22"/>
          <w:szCs w:val="22"/>
        </w:rPr>
      </w:pPr>
    </w:p>
    <w:p w14:paraId="1F548FA5" w14:textId="77777777" w:rsidR="00F43027" w:rsidRPr="00F43027" w:rsidRDefault="00F43027" w:rsidP="00F43027">
      <w:pPr>
        <w:rPr>
          <w:rFonts w:cstheme="minorHAnsi"/>
          <w:sz w:val="22"/>
          <w:szCs w:val="22"/>
        </w:rPr>
      </w:pPr>
      <w:r w:rsidRPr="00F43027">
        <w:rPr>
          <w:rFonts w:cstheme="minorHAnsi"/>
          <w:i/>
          <w:sz w:val="22"/>
          <w:szCs w:val="22"/>
        </w:rPr>
        <w:t>Sociodemographic:</w:t>
      </w:r>
      <w:r w:rsidRPr="00F43027">
        <w:rPr>
          <w:rFonts w:cstheme="minorHAnsi"/>
          <w:sz w:val="22"/>
          <w:szCs w:val="22"/>
        </w:rPr>
        <w:t xml:space="preserve"> Age has key implications for energy use and associated GHG emissions [J E Cohen, 2010]. Household activity levels vary over a person’s lifetime, and mobility patterns and energy consumption adjust to changing household needs, time use, and expectations. Household composition and size also have a signiﬁcant inﬂuence. Generally speaking, larger households have relatively lower energy use because of efficiency and economy of scale benefits [Brantley Liddle, 2004; Pachauri, 2004]. More persons, in particular more children per household, relate to lower per capita consumption, even under comparable per capita incomes (</w:t>
      </w:r>
      <w:proofErr w:type="spellStart"/>
      <w:r w:rsidRPr="00F43027">
        <w:rPr>
          <w:rFonts w:cstheme="minorHAnsi"/>
          <w:sz w:val="22"/>
          <w:szCs w:val="22"/>
        </w:rPr>
        <w:t>Lenzen</w:t>
      </w:r>
      <w:proofErr w:type="spellEnd"/>
      <w:r w:rsidRPr="00F43027">
        <w:rPr>
          <w:rFonts w:cstheme="minorHAnsi"/>
          <w:sz w:val="22"/>
          <w:szCs w:val="22"/>
        </w:rPr>
        <w:t xml:space="preserve">, 1998a; </w:t>
      </w:r>
      <w:proofErr w:type="spellStart"/>
      <w:r w:rsidRPr="00F43027">
        <w:rPr>
          <w:rFonts w:cstheme="minorHAnsi"/>
          <w:sz w:val="22"/>
          <w:szCs w:val="22"/>
        </w:rPr>
        <w:t>Wier</w:t>
      </w:r>
      <w:proofErr w:type="spellEnd"/>
      <w:r w:rsidRPr="00F43027">
        <w:rPr>
          <w:rFonts w:cstheme="minorHAnsi"/>
          <w:sz w:val="22"/>
          <w:szCs w:val="22"/>
        </w:rPr>
        <w:t xml:space="preserve"> et al., 2001; </w:t>
      </w:r>
      <w:proofErr w:type="spellStart"/>
      <w:r w:rsidRPr="00F43027">
        <w:rPr>
          <w:rFonts w:cstheme="minorHAnsi"/>
          <w:sz w:val="22"/>
          <w:szCs w:val="22"/>
        </w:rPr>
        <w:t>Lenzen</w:t>
      </w:r>
      <w:proofErr w:type="spellEnd"/>
      <w:r w:rsidRPr="00F43027">
        <w:rPr>
          <w:rFonts w:cstheme="minorHAnsi"/>
          <w:sz w:val="22"/>
          <w:szCs w:val="22"/>
        </w:rPr>
        <w:t xml:space="preserve"> et al., 2006). Studies also find that at similar income levels, education, and ethnicity/race also play a role explaining energy consumption (</w:t>
      </w:r>
      <w:proofErr w:type="spellStart"/>
      <w:r w:rsidRPr="00F43027">
        <w:rPr>
          <w:rFonts w:cstheme="minorHAnsi"/>
          <w:sz w:val="22"/>
          <w:szCs w:val="22"/>
        </w:rPr>
        <w:t>Marcotullio</w:t>
      </w:r>
      <w:proofErr w:type="spellEnd"/>
      <w:r w:rsidRPr="00F43027">
        <w:rPr>
          <w:rFonts w:cstheme="minorHAnsi"/>
          <w:sz w:val="22"/>
          <w:szCs w:val="22"/>
        </w:rPr>
        <w:t xml:space="preserve"> et al 2014).   </w:t>
      </w:r>
    </w:p>
    <w:p w14:paraId="0A17733A" w14:textId="77777777" w:rsidR="00F43027" w:rsidRPr="00F43027" w:rsidRDefault="00F43027" w:rsidP="00F43027">
      <w:pPr>
        <w:rPr>
          <w:rFonts w:cstheme="minorHAnsi"/>
          <w:sz w:val="22"/>
          <w:szCs w:val="22"/>
        </w:rPr>
      </w:pPr>
    </w:p>
    <w:p w14:paraId="40AC3A15" w14:textId="77777777" w:rsidR="00F43027" w:rsidRPr="00F43027" w:rsidRDefault="00F43027" w:rsidP="00F43027">
      <w:pPr>
        <w:rPr>
          <w:rFonts w:cstheme="minorHAnsi"/>
          <w:sz w:val="22"/>
          <w:szCs w:val="22"/>
        </w:rPr>
      </w:pPr>
      <w:r w:rsidRPr="00F43027">
        <w:rPr>
          <w:rFonts w:cstheme="minorHAnsi"/>
          <w:i/>
          <w:sz w:val="22"/>
          <w:szCs w:val="22"/>
        </w:rPr>
        <w:t>Economic:</w:t>
      </w:r>
      <w:r w:rsidRPr="00F43027">
        <w:rPr>
          <w:rFonts w:cstheme="minorHAnsi"/>
          <w:sz w:val="22"/>
          <w:szCs w:val="22"/>
        </w:rPr>
        <w:t xml:space="preserve">  The majority of research has found that wealth and income lead to increased energy use [Kahn, 2009; Romero-</w:t>
      </w:r>
      <w:proofErr w:type="spellStart"/>
      <w:r w:rsidRPr="00F43027">
        <w:rPr>
          <w:rFonts w:cstheme="minorHAnsi"/>
          <w:sz w:val="22"/>
          <w:szCs w:val="22"/>
        </w:rPr>
        <w:t>Lankao</w:t>
      </w:r>
      <w:proofErr w:type="spellEnd"/>
      <w:r w:rsidRPr="00F43027">
        <w:rPr>
          <w:rFonts w:cstheme="minorHAnsi"/>
          <w:sz w:val="22"/>
          <w:szCs w:val="22"/>
        </w:rPr>
        <w:t xml:space="preserve"> et al 2009; Weisz and Steinberger, 2010]. However, diverse and inconclusive findings exist on the potential for non-linear relationships and interaction effects. For instance, differences in income have a weak influence on direct energy requirements, while indirect energy requirements increase strongly with income (Reinders et al., 2003; </w:t>
      </w:r>
      <w:proofErr w:type="spellStart"/>
      <w:r w:rsidRPr="00F43027">
        <w:rPr>
          <w:rFonts w:cstheme="minorHAnsi"/>
          <w:sz w:val="22"/>
          <w:szCs w:val="22"/>
        </w:rPr>
        <w:t>Lenzen</w:t>
      </w:r>
      <w:proofErr w:type="spellEnd"/>
      <w:r w:rsidRPr="00F43027">
        <w:rPr>
          <w:rFonts w:cstheme="minorHAnsi"/>
          <w:sz w:val="22"/>
          <w:szCs w:val="22"/>
        </w:rPr>
        <w:t xml:space="preserve"> et al., 2004; Moll et al., 2005). </w:t>
      </w:r>
    </w:p>
    <w:p w14:paraId="2A3D1272" w14:textId="77777777" w:rsidR="00F43027" w:rsidRPr="00F43027" w:rsidRDefault="00F43027" w:rsidP="00F43027">
      <w:pPr>
        <w:rPr>
          <w:rFonts w:cstheme="minorHAnsi"/>
          <w:sz w:val="22"/>
          <w:szCs w:val="22"/>
        </w:rPr>
      </w:pPr>
    </w:p>
    <w:p w14:paraId="03F95897" w14:textId="77777777" w:rsidR="00F43027" w:rsidRPr="00F43027" w:rsidRDefault="00F43027" w:rsidP="00F43027">
      <w:pPr>
        <w:rPr>
          <w:rFonts w:cstheme="minorHAnsi"/>
          <w:sz w:val="22"/>
          <w:szCs w:val="22"/>
        </w:rPr>
      </w:pPr>
      <w:r w:rsidRPr="00F43027">
        <w:rPr>
          <w:rFonts w:cstheme="minorHAnsi"/>
          <w:i/>
          <w:sz w:val="22"/>
          <w:szCs w:val="22"/>
        </w:rPr>
        <w:t>Techno-infrastructural or urban form</w:t>
      </w:r>
      <w:r w:rsidRPr="00F43027">
        <w:rPr>
          <w:rFonts w:cstheme="minorHAnsi"/>
          <w:sz w:val="22"/>
          <w:szCs w:val="22"/>
        </w:rPr>
        <w:t xml:space="preserve"> are the settlement type factors directly connected to mobility and energy use; they include indicators such as density, land use, and the layout of transportation infrastructure and technologies (road, rail, EV). The “physical infrastructure of a particular neighborhood could be one key determinant of lifestyle-related emissions that could also act as a barrier to lifestyle change” (</w:t>
      </w:r>
      <w:proofErr w:type="spellStart"/>
      <w:r w:rsidRPr="00F43027">
        <w:rPr>
          <w:rFonts w:cstheme="minorHAnsi"/>
          <w:sz w:val="22"/>
          <w:szCs w:val="22"/>
        </w:rPr>
        <w:t>Baiocchi</w:t>
      </w:r>
      <w:proofErr w:type="spellEnd"/>
      <w:r w:rsidRPr="00F43027">
        <w:rPr>
          <w:rFonts w:cstheme="minorHAnsi"/>
          <w:sz w:val="22"/>
          <w:szCs w:val="22"/>
        </w:rPr>
        <w:t xml:space="preserve"> et al., 2010). </w:t>
      </w:r>
    </w:p>
    <w:p w14:paraId="0FC83CAD" w14:textId="77777777" w:rsidR="00F43027" w:rsidRPr="00F43027" w:rsidRDefault="00F43027" w:rsidP="00F43027">
      <w:pPr>
        <w:rPr>
          <w:rFonts w:cstheme="minorHAnsi"/>
          <w:sz w:val="22"/>
          <w:szCs w:val="22"/>
        </w:rPr>
      </w:pPr>
    </w:p>
    <w:p w14:paraId="0FCC6595" w14:textId="77777777" w:rsidR="00F43027" w:rsidRPr="00F43027" w:rsidRDefault="00F43027" w:rsidP="00F43027">
      <w:pPr>
        <w:rPr>
          <w:rFonts w:cstheme="minorHAnsi"/>
          <w:sz w:val="22"/>
          <w:szCs w:val="22"/>
        </w:rPr>
      </w:pPr>
      <w:r w:rsidRPr="00F43027">
        <w:rPr>
          <w:rFonts w:cstheme="minorHAnsi"/>
          <w:sz w:val="22"/>
          <w:szCs w:val="22"/>
        </w:rPr>
        <w:t>It has been found that suburban and rural households are about 10% more energy intense than urban ones, mostly because they spend more on residential energy use and mobility requirements (</w:t>
      </w:r>
      <w:proofErr w:type="spellStart"/>
      <w:r w:rsidRPr="00F43027">
        <w:rPr>
          <w:rFonts w:cstheme="minorHAnsi"/>
          <w:sz w:val="22"/>
          <w:szCs w:val="22"/>
        </w:rPr>
        <w:t>Lenzen</w:t>
      </w:r>
      <w:proofErr w:type="spellEnd"/>
      <w:r w:rsidRPr="00F43027">
        <w:rPr>
          <w:rFonts w:cstheme="minorHAnsi"/>
          <w:sz w:val="22"/>
          <w:szCs w:val="22"/>
        </w:rPr>
        <w:t xml:space="preserve">, 1998a, </w:t>
      </w:r>
      <w:proofErr w:type="spellStart"/>
      <w:r w:rsidRPr="00F43027">
        <w:rPr>
          <w:rFonts w:cstheme="minorHAnsi"/>
          <w:sz w:val="22"/>
          <w:szCs w:val="22"/>
        </w:rPr>
        <w:t>Munksgaard</w:t>
      </w:r>
      <w:proofErr w:type="spellEnd"/>
      <w:r w:rsidRPr="00F43027">
        <w:rPr>
          <w:rFonts w:cstheme="minorHAnsi"/>
          <w:sz w:val="22"/>
          <w:szCs w:val="22"/>
        </w:rPr>
        <w:t xml:space="preserve"> et al., 2005). At the same time, core urban households tend to have relatively higher levels of total energy requirements, largely due to their overall higher incomes (</w:t>
      </w:r>
      <w:proofErr w:type="spellStart"/>
      <w:r w:rsidRPr="00F43027">
        <w:rPr>
          <w:rFonts w:cstheme="minorHAnsi"/>
          <w:sz w:val="22"/>
          <w:szCs w:val="22"/>
        </w:rPr>
        <w:t>Lenzen</w:t>
      </w:r>
      <w:proofErr w:type="spellEnd"/>
      <w:r w:rsidRPr="00F43027">
        <w:rPr>
          <w:rFonts w:cstheme="minorHAnsi"/>
          <w:sz w:val="22"/>
          <w:szCs w:val="22"/>
        </w:rPr>
        <w:t xml:space="preserve">, 1998a; </w:t>
      </w:r>
      <w:proofErr w:type="spellStart"/>
      <w:r w:rsidRPr="00F43027">
        <w:rPr>
          <w:rFonts w:cstheme="minorHAnsi"/>
          <w:sz w:val="22"/>
          <w:szCs w:val="22"/>
        </w:rPr>
        <w:t>Wier</w:t>
      </w:r>
      <w:proofErr w:type="spellEnd"/>
      <w:r w:rsidRPr="00F43027">
        <w:rPr>
          <w:rFonts w:cstheme="minorHAnsi"/>
          <w:sz w:val="22"/>
          <w:szCs w:val="22"/>
        </w:rPr>
        <w:t xml:space="preserve"> et al., 2001; </w:t>
      </w:r>
      <w:proofErr w:type="spellStart"/>
      <w:r w:rsidRPr="00F43027">
        <w:rPr>
          <w:rFonts w:cstheme="minorHAnsi"/>
          <w:sz w:val="22"/>
          <w:szCs w:val="22"/>
        </w:rPr>
        <w:t>Lenzen</w:t>
      </w:r>
      <w:proofErr w:type="spellEnd"/>
      <w:r w:rsidRPr="00F43027">
        <w:rPr>
          <w:rFonts w:cstheme="minorHAnsi"/>
          <w:sz w:val="22"/>
          <w:szCs w:val="22"/>
        </w:rPr>
        <w:t xml:space="preserve"> et al., 2004). </w:t>
      </w:r>
      <w:proofErr w:type="spellStart"/>
      <w:r w:rsidRPr="00F43027">
        <w:rPr>
          <w:rFonts w:cstheme="minorHAnsi"/>
          <w:sz w:val="22"/>
          <w:szCs w:val="22"/>
        </w:rPr>
        <w:t>Shammin</w:t>
      </w:r>
      <w:proofErr w:type="spellEnd"/>
      <w:r w:rsidRPr="00F43027">
        <w:rPr>
          <w:rFonts w:cstheme="minorHAnsi"/>
          <w:sz w:val="22"/>
          <w:szCs w:val="22"/>
        </w:rPr>
        <w:t xml:space="preserve"> et al 2010 found for instance that, as expenditure increases, the </w:t>
      </w:r>
      <w:r w:rsidRPr="00F43027">
        <w:rPr>
          <w:rFonts w:cstheme="minorHAnsi"/>
          <w:sz w:val="22"/>
          <w:szCs w:val="22"/>
        </w:rPr>
        <w:lastRenderedPageBreak/>
        <w:t>contribution of direct energy to total energy requirements decreases, and for the highest income decile more than 50% of total energy is attributable to indirect energy categories.</w:t>
      </w:r>
    </w:p>
    <w:p w14:paraId="2F61C977" w14:textId="77777777" w:rsidR="00F43027" w:rsidRPr="00F43027" w:rsidRDefault="00F43027" w:rsidP="00F43027">
      <w:pPr>
        <w:rPr>
          <w:rFonts w:cstheme="minorHAnsi"/>
          <w:sz w:val="22"/>
          <w:szCs w:val="22"/>
        </w:rPr>
      </w:pPr>
    </w:p>
    <w:p w14:paraId="557AA6E2" w14:textId="77777777" w:rsidR="00F43027" w:rsidRPr="00F43027" w:rsidRDefault="00F43027" w:rsidP="00F43027">
      <w:pPr>
        <w:rPr>
          <w:rFonts w:cstheme="minorHAnsi"/>
          <w:sz w:val="22"/>
          <w:szCs w:val="22"/>
        </w:rPr>
      </w:pPr>
      <w:r w:rsidRPr="00F43027">
        <w:rPr>
          <w:rFonts w:cstheme="minorHAnsi"/>
          <w:i/>
          <w:sz w:val="22"/>
          <w:szCs w:val="22"/>
        </w:rPr>
        <w:t>Environmental</w:t>
      </w:r>
      <w:r w:rsidRPr="00F43027">
        <w:rPr>
          <w:rFonts w:cstheme="minorHAnsi"/>
          <w:sz w:val="22"/>
          <w:szCs w:val="22"/>
        </w:rPr>
        <w:t xml:space="preserve"> factors such as climatic conditions and carbon content of energy sources are equally important. For instance, close relationship between climatic inﬂuences and residential energy requirements for thermal comfort has been documented (Kennedy et al., 2009; Wang et al., 2010). (Develop)</w:t>
      </w:r>
    </w:p>
    <w:p w14:paraId="5D60FEF9" w14:textId="77777777" w:rsidR="00F43027" w:rsidRPr="00F43027" w:rsidRDefault="00F43027" w:rsidP="00F43027">
      <w:pPr>
        <w:rPr>
          <w:rFonts w:cstheme="minorHAnsi"/>
          <w:sz w:val="22"/>
          <w:szCs w:val="22"/>
        </w:rPr>
      </w:pPr>
    </w:p>
    <w:p w14:paraId="6D226C3F" w14:textId="3E8B9AE0" w:rsidR="00F43027" w:rsidRPr="00F43027" w:rsidRDefault="00F43027" w:rsidP="00F43027">
      <w:pPr>
        <w:rPr>
          <w:rFonts w:cstheme="minorHAnsi"/>
          <w:sz w:val="22"/>
          <w:szCs w:val="22"/>
        </w:rPr>
      </w:pPr>
      <w:r w:rsidRPr="00F43027">
        <w:rPr>
          <w:rFonts w:cstheme="minorHAnsi"/>
          <w:i/>
          <w:sz w:val="22"/>
          <w:szCs w:val="22"/>
        </w:rPr>
        <w:t>Governance</w:t>
      </w:r>
      <w:r w:rsidRPr="00F43027">
        <w:rPr>
          <w:rFonts w:cstheme="minorHAnsi"/>
          <w:sz w:val="22"/>
          <w:szCs w:val="22"/>
        </w:rPr>
        <w:t xml:space="preserve">: </w:t>
      </w:r>
      <w:r w:rsidRPr="00CE3194">
        <w:rPr>
          <w:rFonts w:cstheme="minorHAnsi"/>
          <w:sz w:val="22"/>
          <w:szCs w:val="22"/>
        </w:rPr>
        <w:t>Z</w:t>
      </w:r>
      <w:r w:rsidRPr="00F43027">
        <w:rPr>
          <w:rFonts w:cstheme="minorHAnsi"/>
          <w:bCs/>
          <w:sz w:val="22"/>
          <w:szCs w:val="22"/>
        </w:rPr>
        <w:t>o</w:t>
      </w:r>
      <w:r w:rsidRPr="00F43027">
        <w:rPr>
          <w:rFonts w:cstheme="minorHAnsi"/>
          <w:sz w:val="22"/>
          <w:szCs w:val="22"/>
        </w:rPr>
        <w:t>ning regulations, land use plans</w:t>
      </w:r>
      <w:r w:rsidRPr="00CE3194">
        <w:rPr>
          <w:rFonts w:cstheme="minorHAnsi"/>
          <w:sz w:val="22"/>
          <w:szCs w:val="22"/>
        </w:rPr>
        <w:t>,</w:t>
      </w:r>
      <w:r w:rsidRPr="00F43027">
        <w:rPr>
          <w:rFonts w:cstheme="minorHAnsi"/>
          <w:sz w:val="22"/>
          <w:szCs w:val="22"/>
        </w:rPr>
        <w:t xml:space="preserve"> investments and policies, lead to a heterogeneous distribution of access to energy, land and transportation infrastructure both across settlements and populations </w:t>
      </w:r>
      <w:r w:rsidRPr="00F43027">
        <w:rPr>
          <w:rFonts w:cstheme="minorHAnsi"/>
          <w:sz w:val="22"/>
          <w:szCs w:val="22"/>
        </w:rPr>
        <w:fldChar w:fldCharType="begin"/>
      </w:r>
      <w:r w:rsidRPr="00F43027">
        <w:rPr>
          <w:rFonts w:cstheme="minorHAnsi"/>
          <w:sz w:val="22"/>
          <w:szCs w:val="22"/>
        </w:rPr>
        <w:instrText xml:space="preserve"> ADDIN EN.CITE &lt;EndNote&gt;&lt;Cite&gt;&lt;Author&gt;Bulkeley&lt;/Author&gt;&lt;Year&gt;2013&lt;/Year&gt;&lt;RecNum&gt;111&lt;/RecNum&gt;&lt;DisplayText&gt;[&lt;style face="italic"&gt;Bulkeley&lt;/style&gt;, 2013]&lt;/DisplayText&gt;&lt;record&gt;&lt;rec-number&gt;111&lt;/rec-number&gt;&lt;foreign-keys&gt;&lt;key app="EN" db-id="xfww5wsa3d5avces52ex0wdo9p50ve09dwwd"&gt;111&lt;/key&gt;&lt;/foreign-keys&gt;&lt;ref-type name="Book"&gt;6&lt;/ref-type&gt;&lt;contributors&gt;&lt;authors&gt;&lt;author&gt;Harriet Bulkeley&lt;/author&gt;&lt;/authors&gt;&lt;/contributors&gt;&lt;titles&gt;&lt;title&gt;Cities and Climate Change&lt;/title&gt;&lt;/titles&gt;&lt;dates&gt;&lt;year&gt;2013&lt;/year&gt;&lt;/dates&gt;&lt;pub-location&gt;London&lt;/pub-location&gt;&lt;publisher&gt;Routledge&lt;/publisher&gt;&lt;urls&gt;&lt;/urls&gt;&lt;/record&gt;&lt;/Cite&gt;&lt;/EndNote&gt;</w:instrText>
      </w:r>
      <w:r w:rsidRPr="00F43027">
        <w:rPr>
          <w:rFonts w:cstheme="minorHAnsi"/>
          <w:sz w:val="22"/>
          <w:szCs w:val="22"/>
        </w:rPr>
        <w:fldChar w:fldCharType="separate"/>
      </w:r>
      <w:r w:rsidRPr="00F43027">
        <w:rPr>
          <w:rFonts w:cstheme="minorHAnsi"/>
          <w:sz w:val="22"/>
          <w:szCs w:val="22"/>
        </w:rPr>
        <w:t>[Stone Jr. 2009;</w:t>
      </w:r>
      <w:r w:rsidRPr="00CE3194">
        <w:rPr>
          <w:rFonts w:cstheme="minorHAnsi"/>
          <w:sz w:val="22"/>
          <w:szCs w:val="22"/>
        </w:rPr>
        <w:t xml:space="preserve"> </w:t>
      </w:r>
      <w:proofErr w:type="spellStart"/>
      <w:r w:rsidRPr="00CE3194">
        <w:rPr>
          <w:rFonts w:cstheme="minorHAnsi"/>
          <w:sz w:val="22"/>
          <w:szCs w:val="22"/>
        </w:rPr>
        <w:t>Bulkeley</w:t>
      </w:r>
      <w:proofErr w:type="spellEnd"/>
      <w:r w:rsidRPr="00CE3194">
        <w:rPr>
          <w:rFonts w:cstheme="minorHAnsi"/>
          <w:sz w:val="22"/>
          <w:szCs w:val="22"/>
        </w:rPr>
        <w:t xml:space="preserve"> 2013</w:t>
      </w:r>
      <w:r w:rsidRPr="00F43027">
        <w:rPr>
          <w:rFonts w:cstheme="minorHAnsi"/>
          <w:sz w:val="22"/>
          <w:szCs w:val="22"/>
        </w:rPr>
        <w:t>]</w:t>
      </w:r>
      <w:r w:rsidRPr="00F43027">
        <w:rPr>
          <w:rFonts w:cstheme="minorHAnsi"/>
          <w:sz w:val="22"/>
          <w:szCs w:val="22"/>
        </w:rPr>
        <w:fldChar w:fldCharType="end"/>
      </w:r>
      <w:r w:rsidRPr="00F43027">
        <w:rPr>
          <w:rFonts w:cstheme="minorHAnsi"/>
          <w:sz w:val="22"/>
          <w:szCs w:val="22"/>
        </w:rPr>
        <w:t xml:space="preserve">. </w:t>
      </w:r>
      <w:r w:rsidRPr="00CE3194">
        <w:rPr>
          <w:rFonts w:cstheme="minorHAnsi"/>
          <w:sz w:val="22"/>
          <w:szCs w:val="22"/>
        </w:rPr>
        <w:t>For instance,</w:t>
      </w:r>
      <w:r w:rsidRPr="00F43027">
        <w:rPr>
          <w:rFonts w:cstheme="minorHAnsi"/>
          <w:sz w:val="22"/>
          <w:szCs w:val="22"/>
        </w:rPr>
        <w:t xml:space="preserve"> </w:t>
      </w:r>
      <w:r w:rsidRPr="00CE3194">
        <w:rPr>
          <w:rFonts w:cstheme="minorHAnsi"/>
          <w:sz w:val="22"/>
          <w:szCs w:val="22"/>
        </w:rPr>
        <w:t>t</w:t>
      </w:r>
      <w:r w:rsidRPr="00F43027">
        <w:rPr>
          <w:rFonts w:cstheme="minorHAnsi"/>
          <w:sz w:val="22"/>
          <w:szCs w:val="22"/>
        </w:rPr>
        <w:t>he percentage of public transportation</w:t>
      </w:r>
      <w:r w:rsidRPr="00CE3194">
        <w:rPr>
          <w:rFonts w:cstheme="minorHAnsi"/>
          <w:sz w:val="22"/>
          <w:szCs w:val="22"/>
        </w:rPr>
        <w:t>, an indicator of governance,</w:t>
      </w:r>
      <w:r w:rsidRPr="00F43027">
        <w:rPr>
          <w:rFonts w:cstheme="minorHAnsi"/>
          <w:sz w:val="22"/>
          <w:szCs w:val="22"/>
        </w:rPr>
        <w:t xml:space="preserve"> is significant and negatively inelastic for energy use by the sector (for example, a 1% increase in public transportation use would lead to a decrease in CO emissions by 0.48%, with other factors held constant). </w:t>
      </w:r>
      <w:r w:rsidRPr="00CE3194">
        <w:rPr>
          <w:rFonts w:cstheme="minorHAnsi"/>
          <w:sz w:val="22"/>
          <w:szCs w:val="22"/>
        </w:rPr>
        <w:t>F</w:t>
      </w:r>
      <w:r w:rsidRPr="00F43027">
        <w:rPr>
          <w:rFonts w:cstheme="minorHAnsi"/>
          <w:sz w:val="22"/>
          <w:szCs w:val="22"/>
        </w:rPr>
        <w:t xml:space="preserve">or transportation to command a dominant share of traveling it needs to reliable, comfortable, and safe, thus a proof of good governance. Still, notwithstanding being unreliable, uncomfortable, or unsafe, transportation can be the only option for poor populations. </w:t>
      </w:r>
    </w:p>
    <w:p w14:paraId="5C9FAC43" w14:textId="77777777" w:rsidR="00F43027" w:rsidRPr="00F43027" w:rsidRDefault="00F43027" w:rsidP="00F43027">
      <w:pPr>
        <w:rPr>
          <w:rFonts w:cstheme="minorHAnsi"/>
          <w:b/>
          <w:sz w:val="22"/>
          <w:szCs w:val="22"/>
        </w:rPr>
      </w:pPr>
    </w:p>
    <w:p w14:paraId="74A07E72" w14:textId="77777777" w:rsidR="00F43027" w:rsidRPr="00F43027" w:rsidRDefault="00F43027" w:rsidP="00F43027">
      <w:pPr>
        <w:numPr>
          <w:ilvl w:val="0"/>
          <w:numId w:val="7"/>
        </w:numPr>
        <w:rPr>
          <w:rFonts w:cstheme="minorHAnsi"/>
          <w:b/>
          <w:sz w:val="22"/>
          <w:szCs w:val="22"/>
        </w:rPr>
      </w:pPr>
      <w:r w:rsidRPr="00F43027">
        <w:rPr>
          <w:rFonts w:cstheme="minorHAnsi"/>
          <w:b/>
          <w:sz w:val="22"/>
          <w:szCs w:val="22"/>
        </w:rPr>
        <w:t>Methods and data</w:t>
      </w:r>
    </w:p>
    <w:p w14:paraId="4C1FE222" w14:textId="77777777" w:rsidR="00F43027" w:rsidRPr="00F43027" w:rsidRDefault="00F43027" w:rsidP="00F43027">
      <w:pPr>
        <w:rPr>
          <w:rFonts w:cstheme="minorHAnsi"/>
          <w:sz w:val="22"/>
          <w:szCs w:val="22"/>
        </w:rPr>
      </w:pPr>
    </w:p>
    <w:p w14:paraId="7E3322F7" w14:textId="32A82D6B" w:rsidR="00F43027" w:rsidRPr="00F43027" w:rsidRDefault="00F43027" w:rsidP="00F43027">
      <w:pPr>
        <w:rPr>
          <w:rFonts w:cstheme="minorHAnsi"/>
          <w:b/>
          <w:sz w:val="22"/>
          <w:szCs w:val="22"/>
        </w:rPr>
      </w:pPr>
      <w:r w:rsidRPr="00F43027">
        <w:rPr>
          <w:rFonts w:cstheme="minorHAnsi"/>
          <w:sz w:val="22"/>
          <w:szCs w:val="22"/>
        </w:rPr>
        <w:t xml:space="preserve">Data: Besides data on energy use, we will gather data assess the influence of five of factors: socio-demographic, economic, techno-infrastructural, </w:t>
      </w:r>
      <w:r w:rsidRPr="00F43027">
        <w:rPr>
          <w:rFonts w:cstheme="minorHAnsi"/>
          <w:i/>
          <w:iCs/>
          <w:sz w:val="22"/>
          <w:szCs w:val="22"/>
        </w:rPr>
        <w:t>e</w:t>
      </w:r>
      <w:r w:rsidRPr="00F43027">
        <w:rPr>
          <w:rFonts w:cstheme="minorHAnsi"/>
          <w:sz w:val="22"/>
          <w:szCs w:val="22"/>
        </w:rPr>
        <w:t>nvironmental and governance (SET</w:t>
      </w:r>
      <w:r w:rsidRPr="00F43027">
        <w:rPr>
          <w:rFonts w:cstheme="minorHAnsi"/>
          <w:i/>
          <w:iCs/>
          <w:sz w:val="22"/>
          <w:szCs w:val="22"/>
        </w:rPr>
        <w:t>E</w:t>
      </w:r>
      <w:r w:rsidRPr="00F43027">
        <w:rPr>
          <w:rFonts w:cstheme="minorHAnsi"/>
          <w:sz w:val="22"/>
          <w:szCs w:val="22"/>
        </w:rPr>
        <w:t>G</w:t>
      </w:r>
      <w:proofErr w:type="gramStart"/>
      <w:r w:rsidRPr="00F43027">
        <w:rPr>
          <w:rFonts w:cstheme="minorHAnsi"/>
          <w:sz w:val="22"/>
          <w:szCs w:val="22"/>
        </w:rPr>
        <w:t>)</w:t>
      </w:r>
      <w:r w:rsidRPr="00CE3194">
        <w:rPr>
          <w:rFonts w:cstheme="minorHAnsi"/>
          <w:sz w:val="22"/>
          <w:szCs w:val="22"/>
        </w:rPr>
        <w:t>[</w:t>
      </w:r>
      <w:proofErr w:type="gramEnd"/>
      <w:r w:rsidRPr="00CE3194">
        <w:rPr>
          <w:rFonts w:cstheme="minorHAnsi"/>
          <w:sz w:val="22"/>
          <w:szCs w:val="22"/>
        </w:rPr>
        <w:t>]</w:t>
      </w:r>
      <w:r w:rsidRPr="00F43027">
        <w:rPr>
          <w:rFonts w:cstheme="minorHAnsi"/>
          <w:sz w:val="22"/>
          <w:szCs w:val="22"/>
        </w:rPr>
        <w:t>. Information on sociodemographic and economic indicators such as gender, education, ethnicity, income and house tenure are from the U.S. Census and American Community Survey (IPUMS-NHGIS). Urban form and governance indicators are from both IPUMS-NHGIS and the Center for Neighborhood Technology’s Housing and + Transportation Affordability Index (CNTH+T Index). Impact indicators are from CNTH+T and from the Low-Income Energy Affordability Data (LEAD) Tool. Index Heating and cooling degree days were obtained from NOAA as a proxy for weather and climate conditions for 2016 (See Table 2).</w:t>
      </w:r>
    </w:p>
    <w:p w14:paraId="0AD15E29" w14:textId="77777777" w:rsidR="00F43027" w:rsidRPr="00F43027" w:rsidRDefault="00F43027" w:rsidP="00F43027">
      <w:pPr>
        <w:rPr>
          <w:rFonts w:cstheme="minorHAnsi"/>
          <w:sz w:val="22"/>
          <w:szCs w:val="22"/>
        </w:rPr>
      </w:pPr>
    </w:p>
    <w:p w14:paraId="1D160B43" w14:textId="77777777" w:rsidR="00F43027" w:rsidRPr="00F43027" w:rsidRDefault="00F43027" w:rsidP="00F43027">
      <w:pPr>
        <w:rPr>
          <w:rFonts w:cstheme="minorHAnsi"/>
          <w:sz w:val="22"/>
          <w:szCs w:val="22"/>
        </w:rPr>
      </w:pPr>
      <w:r w:rsidRPr="00F43027">
        <w:rPr>
          <w:rFonts w:cstheme="minorHAnsi"/>
          <w:sz w:val="22"/>
          <w:szCs w:val="22"/>
        </w:rPr>
        <w:t>Our goal is for most variables to be in natural logarithmic form. Variables that cannot be interpreted in logarithmic form will be coded as dummy variables.</w:t>
      </w:r>
    </w:p>
    <w:p w14:paraId="71BABDF0" w14:textId="77777777" w:rsidR="00F43027" w:rsidRPr="00F43027" w:rsidRDefault="00F43027" w:rsidP="00F43027">
      <w:pPr>
        <w:rPr>
          <w:rFonts w:cstheme="minorHAnsi"/>
          <w:sz w:val="22"/>
          <w:szCs w:val="22"/>
        </w:rPr>
      </w:pPr>
    </w:p>
    <w:p w14:paraId="24158DA9" w14:textId="77777777" w:rsidR="00F43027" w:rsidRPr="00F43027" w:rsidRDefault="00F43027" w:rsidP="00F43027">
      <w:pPr>
        <w:rPr>
          <w:rFonts w:cstheme="minorHAnsi"/>
          <w:sz w:val="22"/>
          <w:szCs w:val="22"/>
        </w:rPr>
      </w:pPr>
      <w:r w:rsidRPr="00F43027">
        <w:rPr>
          <w:rFonts w:cstheme="minorHAnsi"/>
          <w:sz w:val="22"/>
          <w:szCs w:val="22"/>
        </w:rPr>
        <w:t>Methods: We will:</w:t>
      </w:r>
    </w:p>
    <w:p w14:paraId="69E84E67" w14:textId="77777777" w:rsidR="00F43027" w:rsidRPr="00F43027" w:rsidRDefault="00F43027" w:rsidP="00F43027">
      <w:pPr>
        <w:rPr>
          <w:rFonts w:cstheme="minorHAnsi"/>
          <w:sz w:val="22"/>
          <w:szCs w:val="22"/>
        </w:rPr>
      </w:pPr>
    </w:p>
    <w:p w14:paraId="1014C699" w14:textId="5F304211" w:rsidR="00F43027" w:rsidRPr="00F43027" w:rsidRDefault="00F43027" w:rsidP="00F43027">
      <w:pPr>
        <w:numPr>
          <w:ilvl w:val="0"/>
          <w:numId w:val="8"/>
        </w:numPr>
        <w:rPr>
          <w:rFonts w:cstheme="minorHAnsi"/>
          <w:sz w:val="22"/>
          <w:szCs w:val="22"/>
        </w:rPr>
      </w:pPr>
      <w:r w:rsidRPr="00F43027">
        <w:rPr>
          <w:rFonts w:cstheme="minorHAnsi"/>
          <w:sz w:val="22"/>
          <w:szCs w:val="22"/>
        </w:rPr>
        <w:t>Build on existing literature and our prior work [], to create indicators describing the multidimensional SET</w:t>
      </w:r>
      <w:r w:rsidRPr="00F43027">
        <w:rPr>
          <w:rFonts w:cstheme="minorHAnsi"/>
          <w:i/>
          <w:sz w:val="22"/>
          <w:szCs w:val="22"/>
        </w:rPr>
        <w:t>E</w:t>
      </w:r>
      <w:r w:rsidRPr="00F43027">
        <w:rPr>
          <w:rFonts w:cstheme="minorHAnsi"/>
          <w:sz w:val="22"/>
          <w:szCs w:val="22"/>
        </w:rPr>
        <w:t xml:space="preserve">G factors associated with </w:t>
      </w:r>
      <w:r w:rsidR="00CE3194" w:rsidRPr="00CE3194">
        <w:rPr>
          <w:rFonts w:cstheme="minorHAnsi"/>
          <w:sz w:val="22"/>
          <w:szCs w:val="22"/>
        </w:rPr>
        <w:t xml:space="preserve">differences in </w:t>
      </w:r>
      <w:r w:rsidRPr="00F43027">
        <w:rPr>
          <w:rFonts w:cstheme="minorHAnsi"/>
          <w:sz w:val="22"/>
          <w:szCs w:val="22"/>
        </w:rPr>
        <w:t xml:space="preserve">transportation behaviors, and energy use.  </w:t>
      </w:r>
    </w:p>
    <w:p w14:paraId="081394C2" w14:textId="2934C0D3" w:rsidR="00F43027" w:rsidRPr="00F43027" w:rsidRDefault="00F43027" w:rsidP="00F43027">
      <w:pPr>
        <w:numPr>
          <w:ilvl w:val="0"/>
          <w:numId w:val="8"/>
        </w:numPr>
        <w:rPr>
          <w:rFonts w:cstheme="minorHAnsi"/>
          <w:color w:val="000000" w:themeColor="text1"/>
          <w:sz w:val="22"/>
          <w:szCs w:val="22"/>
        </w:rPr>
      </w:pPr>
      <w:r w:rsidRPr="00F43027">
        <w:rPr>
          <w:rFonts w:cstheme="minorHAnsi"/>
          <w:color w:val="000000" w:themeColor="text1"/>
          <w:sz w:val="22"/>
          <w:szCs w:val="22"/>
        </w:rPr>
        <w:t xml:space="preserve">Conduct a </w:t>
      </w:r>
      <w:r w:rsidR="00CE3194" w:rsidRPr="00CE3194">
        <w:rPr>
          <w:rFonts w:eastAsia="Times New Roman" w:cstheme="minorHAnsi"/>
          <w:color w:val="000000" w:themeColor="text1"/>
          <w:sz w:val="22"/>
          <w:szCs w:val="22"/>
        </w:rPr>
        <w:t>standard multiple regression approach with log-transformed variables as described in standard applied regression literature</w:t>
      </w:r>
      <w:r w:rsidRPr="00F43027">
        <w:rPr>
          <w:rFonts w:cstheme="minorHAnsi"/>
          <w:color w:val="000000" w:themeColor="text1"/>
          <w:sz w:val="22"/>
          <w:szCs w:val="22"/>
        </w:rPr>
        <w:t xml:space="preserve">. </w:t>
      </w:r>
    </w:p>
    <w:p w14:paraId="723E7A4A" w14:textId="688B4F3E" w:rsidR="00F43027" w:rsidRPr="00F43027" w:rsidRDefault="00F43027" w:rsidP="00F43027">
      <w:pPr>
        <w:numPr>
          <w:ilvl w:val="0"/>
          <w:numId w:val="8"/>
        </w:numPr>
        <w:rPr>
          <w:rFonts w:cstheme="minorHAnsi"/>
          <w:sz w:val="22"/>
          <w:szCs w:val="22"/>
        </w:rPr>
      </w:pPr>
      <w:r w:rsidRPr="00F43027">
        <w:rPr>
          <w:rFonts w:cstheme="minorHAnsi"/>
          <w:sz w:val="22"/>
          <w:szCs w:val="22"/>
        </w:rPr>
        <w:t xml:space="preserve">Conduct </w:t>
      </w:r>
      <w:r w:rsidR="00CE3194" w:rsidRPr="00CE3194">
        <w:rPr>
          <w:rFonts w:cstheme="minorHAnsi"/>
          <w:sz w:val="22"/>
          <w:szCs w:val="22"/>
        </w:rPr>
        <w:t xml:space="preserve">either threshold regression or </w:t>
      </w:r>
      <w:r w:rsidRPr="00F43027">
        <w:rPr>
          <w:rFonts w:cstheme="minorHAnsi"/>
          <w:sz w:val="22"/>
          <w:szCs w:val="22"/>
        </w:rPr>
        <w:t xml:space="preserve">hierarchical cluster analyses. We might start with a focus on transportation and then move to buildings and resilience in FY2020. </w:t>
      </w:r>
    </w:p>
    <w:p w14:paraId="61E66257" w14:textId="3C02BBB4" w:rsidR="00F43027" w:rsidRPr="00F43027" w:rsidRDefault="00F43027" w:rsidP="00F43027">
      <w:pPr>
        <w:numPr>
          <w:ilvl w:val="0"/>
          <w:numId w:val="8"/>
        </w:numPr>
        <w:rPr>
          <w:rFonts w:cstheme="minorHAnsi"/>
          <w:sz w:val="22"/>
          <w:szCs w:val="22"/>
        </w:rPr>
      </w:pPr>
      <w:r w:rsidRPr="00F43027">
        <w:rPr>
          <w:rFonts w:cstheme="minorHAnsi"/>
          <w:sz w:val="22"/>
          <w:szCs w:val="22"/>
        </w:rPr>
        <w:t>Group settlements</w:t>
      </w:r>
      <w:r w:rsidR="00CE3194" w:rsidRPr="00CE3194">
        <w:rPr>
          <w:rFonts w:cstheme="minorHAnsi"/>
          <w:sz w:val="22"/>
          <w:szCs w:val="22"/>
        </w:rPr>
        <w:t xml:space="preserve"> and populations</w:t>
      </w:r>
      <w:r w:rsidRPr="00F43027">
        <w:rPr>
          <w:rFonts w:cstheme="minorHAnsi"/>
          <w:sz w:val="22"/>
          <w:szCs w:val="22"/>
        </w:rPr>
        <w:t xml:space="preserve"> into high, medium and low energy use clusters. We will run tests for spatial autocorrelation to measure the geographic clustering of each of the input indicators. </w:t>
      </w:r>
    </w:p>
    <w:p w14:paraId="50AFD57D" w14:textId="0799FECE" w:rsidR="00166C80" w:rsidRPr="00CE3194" w:rsidRDefault="00166C80">
      <w:pPr>
        <w:rPr>
          <w:rFonts w:cstheme="minorHAnsi"/>
          <w:sz w:val="22"/>
          <w:szCs w:val="22"/>
        </w:rPr>
      </w:pPr>
      <w:r w:rsidRPr="00CE3194">
        <w:rPr>
          <w:rFonts w:cstheme="minorHAnsi"/>
          <w:sz w:val="22"/>
          <w:szCs w:val="22"/>
        </w:rPr>
        <w:br w:type="page"/>
      </w:r>
    </w:p>
    <w:p w14:paraId="7CFE161B" w14:textId="74F0A3F6" w:rsidR="00C83876" w:rsidRPr="00B10A76" w:rsidRDefault="00C83876" w:rsidP="00B84343">
      <w:pPr>
        <w:rPr>
          <w:rFonts w:eastAsia="Times New Roman" w:cstheme="minorHAnsi"/>
          <w:b/>
          <w:w w:val="130"/>
          <w:sz w:val="22"/>
          <w:szCs w:val="22"/>
        </w:rPr>
      </w:pPr>
      <w:r w:rsidRPr="00B10A76">
        <w:rPr>
          <w:rFonts w:eastAsia="Times New Roman" w:cstheme="minorHAnsi"/>
          <w:b/>
          <w:w w:val="130"/>
          <w:sz w:val="22"/>
          <w:szCs w:val="22"/>
        </w:rPr>
        <w:lastRenderedPageBreak/>
        <w:t>Table</w:t>
      </w:r>
      <w:r w:rsidR="00B10A76" w:rsidRPr="00B10A76">
        <w:rPr>
          <w:rFonts w:eastAsia="Times New Roman" w:cstheme="minorHAnsi"/>
          <w:b/>
          <w:w w:val="130"/>
          <w:sz w:val="22"/>
          <w:szCs w:val="22"/>
        </w:rPr>
        <w:t xml:space="preserve"> 1</w:t>
      </w:r>
      <w:r w:rsidR="00B84343" w:rsidRPr="00B10A76">
        <w:rPr>
          <w:rFonts w:eastAsia="Times New Roman" w:cstheme="minorHAnsi"/>
          <w:b/>
          <w:w w:val="130"/>
          <w:sz w:val="22"/>
          <w:szCs w:val="22"/>
        </w:rPr>
        <w:t xml:space="preserve">: </w:t>
      </w:r>
      <w:r w:rsidRPr="00B10A76">
        <w:rPr>
          <w:rFonts w:eastAsia="Times New Roman" w:cstheme="minorHAnsi"/>
          <w:b/>
          <w:w w:val="130"/>
          <w:sz w:val="22"/>
          <w:szCs w:val="22"/>
        </w:rPr>
        <w:t>comparison between the top-down regional approach and the bottom-up IO analysis methods in relation to urban energy assessment</w:t>
      </w:r>
    </w:p>
    <w:p w14:paraId="0BCEDC02" w14:textId="77777777" w:rsidR="00C83876" w:rsidRPr="00B10A76" w:rsidRDefault="00C83876" w:rsidP="00B84343">
      <w:pPr>
        <w:rPr>
          <w:rFonts w:cstheme="minorHAnsi"/>
          <w:sz w:val="22"/>
          <w:szCs w:val="22"/>
        </w:rPr>
      </w:pPr>
    </w:p>
    <w:tbl>
      <w:tblPr>
        <w:tblStyle w:val="TableGrid"/>
        <w:tblW w:w="0" w:type="auto"/>
        <w:tblLook w:val="04A0" w:firstRow="1" w:lastRow="0" w:firstColumn="1" w:lastColumn="0" w:noHBand="0" w:noVBand="1"/>
      </w:tblPr>
      <w:tblGrid>
        <w:gridCol w:w="1558"/>
        <w:gridCol w:w="1973"/>
        <w:gridCol w:w="1840"/>
        <w:gridCol w:w="1747"/>
        <w:gridCol w:w="2232"/>
      </w:tblGrid>
      <w:tr w:rsidR="001D4B3D" w:rsidRPr="00B10A76" w14:paraId="798FAE69" w14:textId="77777777" w:rsidTr="00C83876">
        <w:trPr>
          <w:trHeight w:val="284"/>
        </w:trPr>
        <w:tc>
          <w:tcPr>
            <w:tcW w:w="1686" w:type="dxa"/>
          </w:tcPr>
          <w:p w14:paraId="7A7F2424" w14:textId="236B6EBF" w:rsidR="001D4B3D" w:rsidRPr="00B10A76" w:rsidRDefault="001D4B3D" w:rsidP="00B84343">
            <w:pPr>
              <w:jc w:val="both"/>
              <w:rPr>
                <w:rFonts w:cstheme="minorHAnsi"/>
                <w:sz w:val="20"/>
                <w:szCs w:val="20"/>
              </w:rPr>
            </w:pPr>
            <w:r w:rsidRPr="00B10A76">
              <w:rPr>
                <w:rFonts w:eastAsia="Times New Roman" w:cstheme="minorHAnsi"/>
                <w:w w:val="130"/>
                <w:sz w:val="20"/>
                <w:szCs w:val="20"/>
              </w:rPr>
              <w:t>Starting</w:t>
            </w:r>
            <w:r w:rsidRPr="00B10A76">
              <w:rPr>
                <w:rFonts w:eastAsia="Times New Roman" w:cstheme="minorHAnsi"/>
                <w:spacing w:val="2"/>
                <w:w w:val="130"/>
                <w:sz w:val="20"/>
                <w:szCs w:val="20"/>
              </w:rPr>
              <w:t xml:space="preserve"> </w:t>
            </w:r>
            <w:r w:rsidRPr="00B10A76">
              <w:rPr>
                <w:rFonts w:eastAsia="Times New Roman" w:cstheme="minorHAnsi"/>
                <w:w w:val="130"/>
                <w:sz w:val="20"/>
                <w:szCs w:val="20"/>
              </w:rPr>
              <w:t>point</w:t>
            </w:r>
          </w:p>
        </w:tc>
        <w:tc>
          <w:tcPr>
            <w:tcW w:w="2523" w:type="dxa"/>
          </w:tcPr>
          <w:p w14:paraId="7A9A7B00" w14:textId="060AC3C1" w:rsidR="001D4B3D" w:rsidRPr="00B10A76" w:rsidRDefault="001D4B3D" w:rsidP="00B84343">
            <w:pPr>
              <w:jc w:val="both"/>
              <w:rPr>
                <w:rFonts w:cstheme="minorHAnsi"/>
                <w:sz w:val="20"/>
                <w:szCs w:val="20"/>
              </w:rPr>
            </w:pPr>
            <w:r w:rsidRPr="00B10A76">
              <w:rPr>
                <w:rFonts w:eastAsia="Times New Roman" w:cstheme="minorHAnsi"/>
                <w:w w:val="130"/>
                <w:sz w:val="20"/>
                <w:szCs w:val="20"/>
              </w:rPr>
              <w:t>Items</w:t>
            </w:r>
            <w:r w:rsidRPr="00B10A76">
              <w:rPr>
                <w:rFonts w:eastAsia="Times New Roman" w:cstheme="minorHAnsi"/>
                <w:spacing w:val="-2"/>
                <w:w w:val="130"/>
                <w:sz w:val="20"/>
                <w:szCs w:val="20"/>
              </w:rPr>
              <w:t xml:space="preserve"> </w:t>
            </w:r>
            <w:r w:rsidRPr="00B10A76">
              <w:rPr>
                <w:rFonts w:eastAsia="Times New Roman" w:cstheme="minorHAnsi"/>
                <w:w w:val="130"/>
                <w:sz w:val="20"/>
                <w:szCs w:val="20"/>
              </w:rPr>
              <w:t>covered</w:t>
            </w:r>
          </w:p>
        </w:tc>
        <w:tc>
          <w:tcPr>
            <w:tcW w:w="2108" w:type="dxa"/>
          </w:tcPr>
          <w:p w14:paraId="136DAE02" w14:textId="61C4E91A" w:rsidR="001D4B3D" w:rsidRPr="00B10A76" w:rsidRDefault="001D4B3D" w:rsidP="00B84343">
            <w:pPr>
              <w:jc w:val="both"/>
              <w:rPr>
                <w:rFonts w:cstheme="minorHAnsi"/>
                <w:sz w:val="20"/>
                <w:szCs w:val="20"/>
              </w:rPr>
            </w:pPr>
            <w:r w:rsidRPr="00B10A76">
              <w:rPr>
                <w:rFonts w:eastAsia="Times New Roman" w:cstheme="minorHAnsi"/>
                <w:w w:val="130"/>
                <w:sz w:val="20"/>
                <w:szCs w:val="20"/>
              </w:rPr>
              <w:t>Items</w:t>
            </w:r>
            <w:r w:rsidRPr="00B10A76">
              <w:rPr>
                <w:rFonts w:eastAsia="Times New Roman" w:cstheme="minorHAnsi"/>
                <w:spacing w:val="1"/>
                <w:w w:val="130"/>
                <w:sz w:val="20"/>
                <w:szCs w:val="20"/>
              </w:rPr>
              <w:t xml:space="preserve"> </w:t>
            </w:r>
            <w:r w:rsidRPr="00B10A76">
              <w:rPr>
                <w:rFonts w:eastAsia="Times New Roman" w:cstheme="minorHAnsi"/>
                <w:w w:val="130"/>
                <w:sz w:val="20"/>
                <w:szCs w:val="20"/>
              </w:rPr>
              <w:t>not</w:t>
            </w:r>
            <w:r w:rsidRPr="00B10A76">
              <w:rPr>
                <w:rFonts w:eastAsia="Times New Roman" w:cstheme="minorHAnsi"/>
                <w:spacing w:val="2"/>
                <w:w w:val="130"/>
                <w:sz w:val="20"/>
                <w:szCs w:val="20"/>
              </w:rPr>
              <w:t xml:space="preserve"> </w:t>
            </w:r>
            <w:r w:rsidRPr="00B10A76">
              <w:rPr>
                <w:rFonts w:eastAsia="Times New Roman" w:cstheme="minorHAnsi"/>
                <w:w w:val="130"/>
                <w:sz w:val="20"/>
                <w:szCs w:val="20"/>
              </w:rPr>
              <w:t>covered</w:t>
            </w:r>
          </w:p>
        </w:tc>
        <w:tc>
          <w:tcPr>
            <w:tcW w:w="2110" w:type="dxa"/>
          </w:tcPr>
          <w:p w14:paraId="71B931B4" w14:textId="47D8B181" w:rsidR="001D4B3D" w:rsidRPr="00B10A76" w:rsidRDefault="001D4B3D" w:rsidP="00B84343">
            <w:pPr>
              <w:jc w:val="both"/>
              <w:rPr>
                <w:rFonts w:cstheme="minorHAnsi"/>
                <w:sz w:val="20"/>
                <w:szCs w:val="20"/>
              </w:rPr>
            </w:pPr>
            <w:r w:rsidRPr="00B10A76">
              <w:rPr>
                <w:rFonts w:eastAsia="Times New Roman" w:cstheme="minorHAnsi"/>
                <w:w w:val="130"/>
                <w:sz w:val="20"/>
                <w:szCs w:val="20"/>
              </w:rPr>
              <w:t>What does the</w:t>
            </w:r>
            <w:r w:rsidRPr="00B10A76">
              <w:rPr>
                <w:rFonts w:eastAsia="Times New Roman" w:cstheme="minorHAnsi"/>
                <w:spacing w:val="16"/>
                <w:w w:val="130"/>
                <w:sz w:val="20"/>
                <w:szCs w:val="20"/>
              </w:rPr>
              <w:t xml:space="preserve"> </w:t>
            </w:r>
            <w:r w:rsidRPr="00B10A76">
              <w:rPr>
                <w:rFonts w:eastAsia="Times New Roman" w:cstheme="minorHAnsi"/>
                <w:w w:val="130"/>
                <w:sz w:val="20"/>
                <w:szCs w:val="20"/>
              </w:rPr>
              <w:t>result</w:t>
            </w:r>
            <w:r w:rsidRPr="00B10A76">
              <w:rPr>
                <w:rFonts w:eastAsia="Times New Roman" w:cstheme="minorHAnsi"/>
                <w:spacing w:val="5"/>
                <w:w w:val="130"/>
                <w:sz w:val="20"/>
                <w:szCs w:val="20"/>
              </w:rPr>
              <w:t xml:space="preserve"> </w:t>
            </w:r>
            <w:r w:rsidRPr="00B10A76">
              <w:rPr>
                <w:rFonts w:eastAsia="Times New Roman" w:cstheme="minorHAnsi"/>
                <w:w w:val="130"/>
                <w:sz w:val="20"/>
                <w:szCs w:val="20"/>
              </w:rPr>
              <w:t>reveal?</w:t>
            </w:r>
          </w:p>
        </w:tc>
        <w:tc>
          <w:tcPr>
            <w:tcW w:w="2193" w:type="dxa"/>
          </w:tcPr>
          <w:p w14:paraId="1044FFBA" w14:textId="6A562D1D" w:rsidR="001D4B3D" w:rsidRPr="00B10A76" w:rsidRDefault="001D4B3D" w:rsidP="00B84343">
            <w:pPr>
              <w:widowControl w:val="0"/>
              <w:tabs>
                <w:tab w:val="left" w:pos="2004"/>
                <w:tab w:val="left" w:pos="4113"/>
                <w:tab w:val="left" w:pos="6223"/>
                <w:tab w:val="left" w:pos="8332"/>
              </w:tabs>
              <w:autoSpaceDE w:val="0"/>
              <w:autoSpaceDN w:val="0"/>
              <w:ind w:right="1124"/>
              <w:jc w:val="both"/>
              <w:rPr>
                <w:rFonts w:eastAsia="Times New Roman" w:cstheme="minorHAnsi"/>
                <w:sz w:val="20"/>
                <w:szCs w:val="20"/>
              </w:rPr>
            </w:pPr>
            <w:r w:rsidRPr="00B10A76">
              <w:rPr>
                <w:rFonts w:eastAsia="Times New Roman" w:cstheme="minorHAnsi"/>
                <w:w w:val="130"/>
                <w:sz w:val="20"/>
                <w:szCs w:val="20"/>
              </w:rPr>
              <w:t>Suitable for</w:t>
            </w:r>
          </w:p>
          <w:p w14:paraId="68B4C252" w14:textId="77777777" w:rsidR="001D4B3D" w:rsidRPr="00B10A76" w:rsidRDefault="001D4B3D" w:rsidP="00B84343">
            <w:pPr>
              <w:jc w:val="both"/>
              <w:rPr>
                <w:rFonts w:cstheme="minorHAnsi"/>
                <w:sz w:val="20"/>
                <w:szCs w:val="20"/>
              </w:rPr>
            </w:pPr>
          </w:p>
        </w:tc>
      </w:tr>
      <w:tr w:rsidR="001D4B3D" w:rsidRPr="00B10A76" w14:paraId="2AFB0E4E" w14:textId="77777777" w:rsidTr="00C72E81">
        <w:trPr>
          <w:trHeight w:val="3941"/>
        </w:trPr>
        <w:tc>
          <w:tcPr>
            <w:tcW w:w="1686" w:type="dxa"/>
          </w:tcPr>
          <w:p w14:paraId="1DA2C9B1" w14:textId="1E9881CB" w:rsidR="001D4B3D" w:rsidRPr="00B10A76" w:rsidRDefault="001D4B3D" w:rsidP="00B84343">
            <w:pPr>
              <w:widowControl w:val="0"/>
              <w:autoSpaceDE w:val="0"/>
              <w:autoSpaceDN w:val="0"/>
              <w:rPr>
                <w:rFonts w:eastAsia="Times New Roman" w:cstheme="minorHAnsi"/>
                <w:i/>
                <w:sz w:val="20"/>
                <w:szCs w:val="20"/>
              </w:rPr>
            </w:pPr>
            <w:r w:rsidRPr="00B10A76">
              <w:rPr>
                <w:rFonts w:eastAsia="Times New Roman" w:cstheme="minorHAnsi"/>
                <w:i/>
                <w:w w:val="120"/>
                <w:sz w:val="20"/>
                <w:szCs w:val="20"/>
              </w:rPr>
              <w:t>Top-down regional</w:t>
            </w:r>
            <w:r w:rsidR="00564EF2" w:rsidRPr="00B10A76">
              <w:rPr>
                <w:rFonts w:eastAsia="Times New Roman" w:cstheme="minorHAnsi"/>
                <w:i/>
                <w:w w:val="120"/>
                <w:sz w:val="20"/>
                <w:szCs w:val="20"/>
              </w:rPr>
              <w:t>, production</w:t>
            </w:r>
            <w:r w:rsidRPr="00B10A76">
              <w:rPr>
                <w:rFonts w:eastAsia="Times New Roman" w:cstheme="minorHAnsi"/>
                <w:i/>
                <w:w w:val="120"/>
                <w:sz w:val="20"/>
                <w:szCs w:val="20"/>
              </w:rPr>
              <w:t xml:space="preserve"> approach</w:t>
            </w:r>
          </w:p>
          <w:p w14:paraId="1822DE32" w14:textId="5BB7FDCB" w:rsidR="001D4B3D" w:rsidRPr="00B10A76" w:rsidRDefault="001D4B3D" w:rsidP="00B84343">
            <w:pPr>
              <w:rPr>
                <w:rFonts w:cstheme="minorHAnsi"/>
                <w:sz w:val="20"/>
                <w:szCs w:val="20"/>
              </w:rPr>
            </w:pPr>
          </w:p>
        </w:tc>
        <w:tc>
          <w:tcPr>
            <w:tcW w:w="2523" w:type="dxa"/>
          </w:tcPr>
          <w:p w14:paraId="46B5BFA2" w14:textId="4FAC7F21" w:rsidR="001D4B3D" w:rsidRPr="00B10A76" w:rsidRDefault="001D4B3D" w:rsidP="00B84343">
            <w:pPr>
              <w:widowControl w:val="0"/>
              <w:tabs>
                <w:tab w:val="left" w:pos="2123"/>
              </w:tabs>
              <w:autoSpaceDE w:val="0"/>
              <w:autoSpaceDN w:val="0"/>
              <w:ind w:right="303"/>
              <w:rPr>
                <w:rFonts w:eastAsia="Times New Roman" w:cstheme="minorHAnsi"/>
                <w:sz w:val="20"/>
                <w:szCs w:val="20"/>
              </w:rPr>
            </w:pPr>
            <w:r w:rsidRPr="00B10A76">
              <w:rPr>
                <w:rFonts w:eastAsia="Times New Roman" w:cstheme="minorHAnsi"/>
                <w:w w:val="125"/>
                <w:sz w:val="20"/>
                <w:szCs w:val="20"/>
              </w:rPr>
              <w:t>Residential operational energy</w:t>
            </w:r>
          </w:p>
          <w:p w14:paraId="458586D6" w14:textId="77777777" w:rsidR="001D4B3D" w:rsidRPr="00B10A76" w:rsidRDefault="001D4B3D" w:rsidP="00B84343">
            <w:pPr>
              <w:widowControl w:val="0"/>
              <w:tabs>
                <w:tab w:val="left" w:pos="2266"/>
              </w:tabs>
              <w:autoSpaceDE w:val="0"/>
              <w:autoSpaceDN w:val="0"/>
              <w:rPr>
                <w:rFonts w:eastAsia="Times New Roman" w:cstheme="minorHAnsi"/>
                <w:sz w:val="20"/>
                <w:szCs w:val="20"/>
              </w:rPr>
            </w:pPr>
            <w:r w:rsidRPr="00B10A76">
              <w:rPr>
                <w:rFonts w:eastAsia="Times New Roman" w:cstheme="minorHAnsi"/>
                <w:w w:val="130"/>
                <w:sz w:val="20"/>
                <w:szCs w:val="20"/>
              </w:rPr>
              <w:t>Ground transportation energy (sometimes</w:t>
            </w:r>
            <w:r w:rsidRPr="00B10A76">
              <w:rPr>
                <w:rFonts w:eastAsia="Times New Roman" w:cstheme="minorHAnsi"/>
                <w:spacing w:val="-8"/>
                <w:w w:val="130"/>
                <w:sz w:val="20"/>
                <w:szCs w:val="20"/>
              </w:rPr>
              <w:t xml:space="preserve"> </w:t>
            </w:r>
            <w:r w:rsidRPr="00B10A76">
              <w:rPr>
                <w:rFonts w:eastAsia="Times New Roman" w:cstheme="minorHAnsi"/>
                <w:w w:val="130"/>
                <w:sz w:val="20"/>
                <w:szCs w:val="20"/>
              </w:rPr>
              <w:t>also air and</w:t>
            </w:r>
            <w:r w:rsidRPr="00B10A76">
              <w:rPr>
                <w:rFonts w:eastAsia="Times New Roman" w:cstheme="minorHAnsi"/>
                <w:spacing w:val="11"/>
                <w:w w:val="130"/>
                <w:sz w:val="20"/>
                <w:szCs w:val="20"/>
              </w:rPr>
              <w:t xml:space="preserve"> </w:t>
            </w:r>
            <w:r w:rsidRPr="00B10A76">
              <w:rPr>
                <w:rFonts w:eastAsia="Times New Roman" w:cstheme="minorHAnsi"/>
                <w:w w:val="130"/>
                <w:sz w:val="20"/>
                <w:szCs w:val="20"/>
              </w:rPr>
              <w:t>maritime)</w:t>
            </w:r>
          </w:p>
          <w:p w14:paraId="2E92A98B" w14:textId="77777777" w:rsidR="001D4B3D" w:rsidRPr="00B10A76" w:rsidRDefault="001D4B3D" w:rsidP="00B84343">
            <w:pPr>
              <w:widowControl w:val="0"/>
              <w:tabs>
                <w:tab w:val="left" w:pos="2266"/>
              </w:tabs>
              <w:autoSpaceDE w:val="0"/>
              <w:autoSpaceDN w:val="0"/>
              <w:ind w:right="405"/>
              <w:rPr>
                <w:rFonts w:eastAsia="Times New Roman" w:cstheme="minorHAnsi"/>
                <w:sz w:val="20"/>
                <w:szCs w:val="20"/>
              </w:rPr>
            </w:pPr>
            <w:r w:rsidRPr="00B10A76">
              <w:rPr>
                <w:rFonts w:eastAsia="Times New Roman" w:cstheme="minorHAnsi"/>
                <w:w w:val="130"/>
                <w:sz w:val="20"/>
                <w:szCs w:val="20"/>
              </w:rPr>
              <w:t>Direct energy consumption by industries within boundary</w:t>
            </w:r>
          </w:p>
          <w:p w14:paraId="0CB2D4F2" w14:textId="77777777" w:rsidR="001D4B3D" w:rsidRPr="00B10A76" w:rsidRDefault="001D4B3D" w:rsidP="00B84343">
            <w:pPr>
              <w:rPr>
                <w:rFonts w:cstheme="minorHAnsi"/>
                <w:sz w:val="20"/>
                <w:szCs w:val="20"/>
              </w:rPr>
            </w:pPr>
          </w:p>
        </w:tc>
        <w:tc>
          <w:tcPr>
            <w:tcW w:w="2108" w:type="dxa"/>
          </w:tcPr>
          <w:p w14:paraId="5066313C" w14:textId="2E368B5A" w:rsidR="001D4B3D" w:rsidRPr="00B10A76" w:rsidRDefault="001D4B3D" w:rsidP="00B84343">
            <w:pPr>
              <w:widowControl w:val="0"/>
              <w:tabs>
                <w:tab w:val="left" w:pos="372"/>
              </w:tabs>
              <w:autoSpaceDE w:val="0"/>
              <w:autoSpaceDN w:val="0"/>
              <w:ind w:right="120"/>
              <w:rPr>
                <w:rFonts w:eastAsia="Times New Roman" w:cstheme="minorHAnsi"/>
                <w:sz w:val="20"/>
                <w:szCs w:val="20"/>
              </w:rPr>
            </w:pPr>
            <w:r w:rsidRPr="00B10A76">
              <w:rPr>
                <w:rFonts w:eastAsia="Times New Roman" w:cstheme="minorHAnsi"/>
                <w:w w:val="125"/>
                <w:sz w:val="20"/>
                <w:szCs w:val="20"/>
              </w:rPr>
              <w:t>Embodied energy in service and</w:t>
            </w:r>
            <w:r w:rsidRPr="00B10A76">
              <w:rPr>
                <w:rFonts w:eastAsia="Times New Roman" w:cstheme="minorHAnsi"/>
                <w:spacing w:val="19"/>
                <w:w w:val="125"/>
                <w:sz w:val="20"/>
                <w:szCs w:val="20"/>
              </w:rPr>
              <w:t xml:space="preserve"> </w:t>
            </w:r>
            <w:r w:rsidRPr="00B10A76">
              <w:rPr>
                <w:rFonts w:eastAsia="Times New Roman" w:cstheme="minorHAnsi"/>
                <w:w w:val="125"/>
                <w:sz w:val="20"/>
                <w:szCs w:val="20"/>
              </w:rPr>
              <w:t>goods</w:t>
            </w:r>
          </w:p>
          <w:p w14:paraId="5EA01A68" w14:textId="77777777" w:rsidR="00C83876" w:rsidRPr="00B10A76" w:rsidRDefault="001D4B3D" w:rsidP="00B84343">
            <w:pPr>
              <w:widowControl w:val="0"/>
              <w:tabs>
                <w:tab w:val="left" w:pos="372"/>
              </w:tabs>
              <w:autoSpaceDE w:val="0"/>
              <w:autoSpaceDN w:val="0"/>
              <w:rPr>
                <w:rFonts w:eastAsia="Times New Roman" w:cstheme="minorHAnsi"/>
                <w:w w:val="130"/>
                <w:sz w:val="20"/>
                <w:szCs w:val="20"/>
              </w:rPr>
            </w:pPr>
            <w:r w:rsidRPr="00B10A76">
              <w:rPr>
                <w:rFonts w:eastAsia="Times New Roman" w:cstheme="minorHAnsi"/>
                <w:w w:val="130"/>
                <w:sz w:val="20"/>
                <w:szCs w:val="20"/>
              </w:rPr>
              <w:t>Upstream energy consumed for the extraction</w:t>
            </w:r>
          </w:p>
          <w:p w14:paraId="7B7BB4BE" w14:textId="158DF7C2" w:rsidR="001D4B3D" w:rsidRPr="00B10A76" w:rsidRDefault="00C83876" w:rsidP="00B84343">
            <w:pPr>
              <w:widowControl w:val="0"/>
              <w:tabs>
                <w:tab w:val="left" w:pos="372"/>
              </w:tabs>
              <w:autoSpaceDE w:val="0"/>
              <w:autoSpaceDN w:val="0"/>
              <w:rPr>
                <w:rFonts w:eastAsia="Times New Roman" w:cstheme="minorHAnsi"/>
                <w:sz w:val="20"/>
                <w:szCs w:val="20"/>
              </w:rPr>
            </w:pPr>
            <w:r w:rsidRPr="00B10A76">
              <w:rPr>
                <w:rFonts w:eastAsia="Times New Roman" w:cstheme="minorHAnsi"/>
                <w:w w:val="130"/>
                <w:sz w:val="20"/>
                <w:szCs w:val="20"/>
              </w:rPr>
              <w:t>C</w:t>
            </w:r>
            <w:r w:rsidR="001D4B3D" w:rsidRPr="00B10A76">
              <w:rPr>
                <w:rFonts w:eastAsia="Times New Roman" w:cstheme="minorHAnsi"/>
                <w:w w:val="130"/>
                <w:sz w:val="20"/>
                <w:szCs w:val="20"/>
              </w:rPr>
              <w:t>onversion</w:t>
            </w:r>
            <w:r w:rsidR="001D4B3D" w:rsidRPr="00B10A76">
              <w:rPr>
                <w:rFonts w:eastAsia="Times New Roman" w:cstheme="minorHAnsi"/>
                <w:w w:val="126"/>
                <w:sz w:val="20"/>
                <w:szCs w:val="20"/>
              </w:rPr>
              <w:t xml:space="preserve"> </w:t>
            </w:r>
            <w:r w:rsidR="001D4B3D" w:rsidRPr="00B10A76">
              <w:rPr>
                <w:rFonts w:eastAsia="Times New Roman" w:cstheme="minorHAnsi"/>
                <w:w w:val="130"/>
                <w:sz w:val="20"/>
                <w:szCs w:val="20"/>
              </w:rPr>
              <w:t>and transportation of energy to</w:t>
            </w:r>
            <w:r w:rsidR="001D4B3D" w:rsidRPr="00B10A76">
              <w:rPr>
                <w:rFonts w:eastAsia="Times New Roman" w:cstheme="minorHAnsi"/>
                <w:spacing w:val="-12"/>
                <w:w w:val="130"/>
                <w:sz w:val="20"/>
                <w:szCs w:val="20"/>
              </w:rPr>
              <w:t xml:space="preserve"> </w:t>
            </w:r>
            <w:r w:rsidR="001D4B3D" w:rsidRPr="00B10A76">
              <w:rPr>
                <w:rFonts w:eastAsia="Times New Roman" w:cstheme="minorHAnsi"/>
                <w:w w:val="130"/>
                <w:sz w:val="20"/>
                <w:szCs w:val="20"/>
              </w:rPr>
              <w:t>region.</w:t>
            </w:r>
          </w:p>
          <w:p w14:paraId="43A004E8" w14:textId="77777777" w:rsidR="001D4B3D" w:rsidRPr="00B10A76" w:rsidRDefault="001D4B3D" w:rsidP="00B84343">
            <w:pPr>
              <w:rPr>
                <w:rFonts w:cstheme="minorHAnsi"/>
                <w:sz w:val="20"/>
                <w:szCs w:val="20"/>
              </w:rPr>
            </w:pPr>
          </w:p>
        </w:tc>
        <w:tc>
          <w:tcPr>
            <w:tcW w:w="2110" w:type="dxa"/>
          </w:tcPr>
          <w:p w14:paraId="3435166C" w14:textId="77777777" w:rsidR="001D4B3D" w:rsidRPr="00B10A76" w:rsidRDefault="001D4B3D" w:rsidP="00B84343">
            <w:pPr>
              <w:widowControl w:val="0"/>
              <w:autoSpaceDE w:val="0"/>
              <w:autoSpaceDN w:val="0"/>
              <w:rPr>
                <w:rFonts w:eastAsia="Times New Roman" w:cstheme="minorHAnsi"/>
                <w:sz w:val="20"/>
                <w:szCs w:val="20"/>
              </w:rPr>
            </w:pPr>
            <w:r w:rsidRPr="00B10A76">
              <w:rPr>
                <w:rFonts w:eastAsia="Times New Roman" w:cstheme="minorHAnsi"/>
                <w:w w:val="130"/>
                <w:sz w:val="20"/>
                <w:szCs w:val="20"/>
              </w:rPr>
              <w:t>Per capita direct energy requirements for sustaining households, public administration and industry</w:t>
            </w:r>
          </w:p>
          <w:p w14:paraId="6CE90C93" w14:textId="77777777" w:rsidR="001D4B3D" w:rsidRPr="00B10A76" w:rsidRDefault="001D4B3D" w:rsidP="00B84343">
            <w:pPr>
              <w:rPr>
                <w:rFonts w:cstheme="minorHAnsi"/>
                <w:sz w:val="20"/>
                <w:szCs w:val="20"/>
              </w:rPr>
            </w:pPr>
          </w:p>
        </w:tc>
        <w:tc>
          <w:tcPr>
            <w:tcW w:w="2193" w:type="dxa"/>
          </w:tcPr>
          <w:p w14:paraId="16B39513" w14:textId="5039E30A" w:rsidR="001D4B3D" w:rsidRPr="00B10A76" w:rsidRDefault="001D4B3D" w:rsidP="00B84343">
            <w:pPr>
              <w:widowControl w:val="0"/>
              <w:tabs>
                <w:tab w:val="left" w:pos="372"/>
              </w:tabs>
              <w:autoSpaceDE w:val="0"/>
              <w:autoSpaceDN w:val="0"/>
              <w:ind w:right="368"/>
              <w:rPr>
                <w:rFonts w:eastAsia="Times New Roman" w:cstheme="minorHAnsi"/>
                <w:sz w:val="20"/>
                <w:szCs w:val="20"/>
              </w:rPr>
            </w:pPr>
            <w:r w:rsidRPr="00B10A76">
              <w:rPr>
                <w:rFonts w:eastAsia="Times New Roman" w:cstheme="minorHAnsi"/>
                <w:w w:val="125"/>
                <w:sz w:val="20"/>
                <w:szCs w:val="20"/>
              </w:rPr>
              <w:t>Quantifying ongoing direct energy demand of the city</w:t>
            </w:r>
          </w:p>
          <w:p w14:paraId="026AA49E" w14:textId="77777777" w:rsidR="001D4B3D" w:rsidRPr="00B10A76" w:rsidRDefault="001D4B3D" w:rsidP="00B84343">
            <w:pPr>
              <w:widowControl w:val="0"/>
              <w:tabs>
                <w:tab w:val="left" w:pos="372"/>
              </w:tabs>
              <w:autoSpaceDE w:val="0"/>
              <w:autoSpaceDN w:val="0"/>
              <w:ind w:right="136"/>
              <w:rPr>
                <w:rFonts w:eastAsia="Times New Roman" w:cstheme="minorHAnsi"/>
                <w:sz w:val="20"/>
                <w:szCs w:val="20"/>
              </w:rPr>
            </w:pPr>
            <w:r w:rsidRPr="00B10A76">
              <w:rPr>
                <w:rFonts w:eastAsia="Times New Roman" w:cstheme="minorHAnsi"/>
                <w:w w:val="130"/>
                <w:sz w:val="20"/>
                <w:szCs w:val="20"/>
              </w:rPr>
              <w:t>Policy and management of economic structure and</w:t>
            </w:r>
            <w:r w:rsidRPr="00B10A76">
              <w:rPr>
                <w:rFonts w:eastAsia="Times New Roman" w:cstheme="minorHAnsi"/>
                <w:spacing w:val="-28"/>
                <w:w w:val="130"/>
                <w:sz w:val="20"/>
                <w:szCs w:val="20"/>
              </w:rPr>
              <w:t xml:space="preserve"> </w:t>
            </w:r>
            <w:r w:rsidRPr="00B10A76">
              <w:rPr>
                <w:rFonts w:eastAsia="Times New Roman" w:cstheme="minorHAnsi"/>
                <w:w w:val="130"/>
                <w:sz w:val="20"/>
                <w:szCs w:val="20"/>
              </w:rPr>
              <w:t>energy efﬁciency of the</w:t>
            </w:r>
            <w:r w:rsidRPr="00B10A76">
              <w:rPr>
                <w:rFonts w:eastAsia="Times New Roman" w:cstheme="minorHAnsi"/>
                <w:spacing w:val="-26"/>
                <w:w w:val="130"/>
                <w:sz w:val="20"/>
                <w:szCs w:val="20"/>
              </w:rPr>
              <w:t xml:space="preserve"> </w:t>
            </w:r>
            <w:r w:rsidRPr="00B10A76">
              <w:rPr>
                <w:rFonts w:eastAsia="Times New Roman" w:cstheme="minorHAnsi"/>
                <w:w w:val="130"/>
                <w:sz w:val="20"/>
                <w:szCs w:val="20"/>
              </w:rPr>
              <w:t>city</w:t>
            </w:r>
          </w:p>
          <w:p w14:paraId="43944A81" w14:textId="77777777" w:rsidR="001D4B3D" w:rsidRPr="00B10A76" w:rsidRDefault="001D4B3D" w:rsidP="00B84343">
            <w:pPr>
              <w:rPr>
                <w:rFonts w:cstheme="minorHAnsi"/>
                <w:sz w:val="20"/>
                <w:szCs w:val="20"/>
              </w:rPr>
            </w:pPr>
          </w:p>
        </w:tc>
      </w:tr>
      <w:tr w:rsidR="001D4B3D" w:rsidRPr="00B10A76" w14:paraId="1A223516" w14:textId="77777777" w:rsidTr="00C83876">
        <w:tc>
          <w:tcPr>
            <w:tcW w:w="1686" w:type="dxa"/>
          </w:tcPr>
          <w:p w14:paraId="062377CE" w14:textId="7773B433" w:rsidR="001D4B3D" w:rsidRPr="00B10A76" w:rsidRDefault="001D4B3D" w:rsidP="00B84343">
            <w:pPr>
              <w:widowControl w:val="0"/>
              <w:autoSpaceDE w:val="0"/>
              <w:autoSpaceDN w:val="0"/>
              <w:rPr>
                <w:rFonts w:eastAsia="Times New Roman" w:cstheme="minorHAnsi"/>
                <w:i/>
                <w:sz w:val="22"/>
                <w:szCs w:val="22"/>
              </w:rPr>
            </w:pPr>
            <w:r w:rsidRPr="00B10A76">
              <w:rPr>
                <w:rFonts w:eastAsia="Times New Roman" w:cstheme="minorHAnsi"/>
                <w:i/>
                <w:w w:val="120"/>
                <w:sz w:val="22"/>
                <w:szCs w:val="22"/>
              </w:rPr>
              <w:t xml:space="preserve">Bottom-up  </w:t>
            </w:r>
            <w:r w:rsidR="00C83876" w:rsidRPr="00B10A76">
              <w:rPr>
                <w:rFonts w:eastAsia="Times New Roman" w:cstheme="minorHAnsi"/>
                <w:i/>
                <w:w w:val="120"/>
                <w:sz w:val="22"/>
                <w:szCs w:val="22"/>
              </w:rPr>
              <w:br/>
            </w:r>
            <w:r w:rsidRPr="00B10A76">
              <w:rPr>
                <w:rFonts w:eastAsia="Times New Roman" w:cstheme="minorHAnsi"/>
                <w:i/>
                <w:w w:val="120"/>
                <w:sz w:val="22"/>
                <w:szCs w:val="22"/>
              </w:rPr>
              <w:t>Input–Output</w:t>
            </w:r>
            <w:r w:rsidR="00564EF2" w:rsidRPr="00B10A76">
              <w:rPr>
                <w:rFonts w:eastAsia="Times New Roman" w:cstheme="minorHAnsi"/>
                <w:i/>
                <w:w w:val="120"/>
                <w:sz w:val="22"/>
                <w:szCs w:val="22"/>
              </w:rPr>
              <w:t>, consumption</w:t>
            </w:r>
            <w:r w:rsidRPr="00B10A76">
              <w:rPr>
                <w:rFonts w:eastAsia="Times New Roman" w:cstheme="minorHAnsi"/>
                <w:i/>
                <w:w w:val="120"/>
                <w:sz w:val="22"/>
                <w:szCs w:val="22"/>
              </w:rPr>
              <w:t xml:space="preserve"> approach</w:t>
            </w:r>
          </w:p>
          <w:p w14:paraId="7C609F33" w14:textId="2CD4F374" w:rsidR="001D4B3D" w:rsidRPr="00B10A76" w:rsidRDefault="001D4B3D" w:rsidP="00B84343">
            <w:pPr>
              <w:rPr>
                <w:rFonts w:cstheme="minorHAnsi"/>
                <w:sz w:val="22"/>
                <w:szCs w:val="22"/>
              </w:rPr>
            </w:pPr>
          </w:p>
        </w:tc>
        <w:tc>
          <w:tcPr>
            <w:tcW w:w="2523" w:type="dxa"/>
          </w:tcPr>
          <w:p w14:paraId="0E9E9B21" w14:textId="4F2A17EA" w:rsidR="001D4B3D" w:rsidRPr="00B10A76" w:rsidRDefault="001D4B3D" w:rsidP="00B84343">
            <w:pPr>
              <w:widowControl w:val="0"/>
              <w:tabs>
                <w:tab w:val="left" w:pos="2123"/>
              </w:tabs>
              <w:autoSpaceDE w:val="0"/>
              <w:autoSpaceDN w:val="0"/>
              <w:rPr>
                <w:rFonts w:eastAsia="Times New Roman" w:cstheme="minorHAnsi"/>
                <w:sz w:val="22"/>
                <w:szCs w:val="22"/>
              </w:rPr>
            </w:pPr>
            <w:r w:rsidRPr="00B10A76">
              <w:rPr>
                <w:rFonts w:eastAsia="Times New Roman" w:cstheme="minorHAnsi"/>
                <w:w w:val="130"/>
                <w:sz w:val="22"/>
                <w:szCs w:val="22"/>
              </w:rPr>
              <w:t>Household</w:t>
            </w:r>
            <w:r w:rsidRPr="00B10A76">
              <w:rPr>
                <w:rFonts w:eastAsia="Times New Roman" w:cstheme="minorHAnsi"/>
                <w:spacing w:val="8"/>
                <w:w w:val="130"/>
                <w:sz w:val="22"/>
                <w:szCs w:val="22"/>
              </w:rPr>
              <w:t xml:space="preserve"> </w:t>
            </w:r>
            <w:r w:rsidRPr="00B10A76">
              <w:rPr>
                <w:rFonts w:eastAsia="Times New Roman" w:cstheme="minorHAnsi"/>
                <w:w w:val="130"/>
                <w:sz w:val="22"/>
                <w:szCs w:val="22"/>
              </w:rPr>
              <w:t xml:space="preserve">residential operational </w:t>
            </w:r>
            <w:r w:rsidRPr="00B10A76">
              <w:rPr>
                <w:rFonts w:eastAsia="Times New Roman" w:cstheme="minorHAnsi"/>
                <w:w w:val="130"/>
                <w:sz w:val="22"/>
                <w:szCs w:val="22"/>
              </w:rPr>
              <w:br/>
              <w:t>energy</w:t>
            </w:r>
          </w:p>
          <w:p w14:paraId="75B1F343" w14:textId="77777777" w:rsidR="001D4B3D" w:rsidRPr="00B10A76" w:rsidRDefault="001D4B3D" w:rsidP="00B84343">
            <w:pPr>
              <w:widowControl w:val="0"/>
              <w:tabs>
                <w:tab w:val="left" w:pos="2266"/>
              </w:tabs>
              <w:autoSpaceDE w:val="0"/>
              <w:autoSpaceDN w:val="0"/>
              <w:rPr>
                <w:rFonts w:eastAsia="Times New Roman" w:cstheme="minorHAnsi"/>
                <w:sz w:val="22"/>
                <w:szCs w:val="22"/>
              </w:rPr>
            </w:pPr>
            <w:r w:rsidRPr="00B10A76">
              <w:rPr>
                <w:rFonts w:eastAsia="Times New Roman" w:cstheme="minorHAnsi"/>
                <w:w w:val="130"/>
                <w:sz w:val="22"/>
                <w:szCs w:val="22"/>
              </w:rPr>
              <w:t>Household ground transportation,</w:t>
            </w:r>
            <w:r w:rsidRPr="00B10A76">
              <w:rPr>
                <w:rFonts w:eastAsia="Times New Roman" w:cstheme="minorHAnsi"/>
                <w:spacing w:val="-3"/>
                <w:w w:val="130"/>
                <w:sz w:val="22"/>
                <w:szCs w:val="22"/>
              </w:rPr>
              <w:t xml:space="preserve"> </w:t>
            </w:r>
            <w:r w:rsidRPr="00B10A76">
              <w:rPr>
                <w:rFonts w:eastAsia="Times New Roman" w:cstheme="minorHAnsi"/>
                <w:w w:val="130"/>
                <w:sz w:val="22"/>
                <w:szCs w:val="22"/>
              </w:rPr>
              <w:t>including</w:t>
            </w:r>
            <w:r w:rsidRPr="00B10A76">
              <w:rPr>
                <w:rFonts w:eastAsia="Times New Roman" w:cstheme="minorHAnsi"/>
                <w:w w:val="126"/>
                <w:sz w:val="22"/>
                <w:szCs w:val="22"/>
              </w:rPr>
              <w:t xml:space="preserve"> </w:t>
            </w:r>
            <w:r w:rsidRPr="00B10A76">
              <w:rPr>
                <w:rFonts w:eastAsia="Times New Roman" w:cstheme="minorHAnsi"/>
                <w:w w:val="130"/>
                <w:sz w:val="22"/>
                <w:szCs w:val="22"/>
              </w:rPr>
              <w:t>public</w:t>
            </w:r>
            <w:r w:rsidRPr="00B10A76">
              <w:rPr>
                <w:rFonts w:eastAsia="Times New Roman" w:cstheme="minorHAnsi"/>
                <w:spacing w:val="6"/>
                <w:w w:val="130"/>
                <w:sz w:val="22"/>
                <w:szCs w:val="22"/>
              </w:rPr>
              <w:t xml:space="preserve"> </w:t>
            </w:r>
            <w:r w:rsidRPr="00B10A76">
              <w:rPr>
                <w:rFonts w:eastAsia="Times New Roman" w:cstheme="minorHAnsi"/>
                <w:w w:val="130"/>
                <w:sz w:val="22"/>
                <w:szCs w:val="22"/>
              </w:rPr>
              <w:t>transit</w:t>
            </w:r>
          </w:p>
          <w:p w14:paraId="46CE4CF9" w14:textId="77777777" w:rsidR="001D4B3D" w:rsidRPr="00B10A76" w:rsidRDefault="001D4B3D" w:rsidP="00B84343">
            <w:pPr>
              <w:widowControl w:val="0"/>
              <w:tabs>
                <w:tab w:val="left" w:pos="2266"/>
              </w:tabs>
              <w:autoSpaceDE w:val="0"/>
              <w:autoSpaceDN w:val="0"/>
              <w:ind w:right="286"/>
              <w:rPr>
                <w:rFonts w:eastAsia="Times New Roman" w:cstheme="minorHAnsi"/>
                <w:sz w:val="22"/>
                <w:szCs w:val="22"/>
              </w:rPr>
            </w:pPr>
            <w:r w:rsidRPr="00B10A76">
              <w:rPr>
                <w:rFonts w:eastAsia="Times New Roman" w:cstheme="minorHAnsi"/>
                <w:w w:val="130"/>
                <w:sz w:val="22"/>
                <w:szCs w:val="22"/>
              </w:rPr>
              <w:t>Energy embodied</w:t>
            </w:r>
            <w:r w:rsidRPr="00B10A76">
              <w:rPr>
                <w:rFonts w:eastAsia="Times New Roman" w:cstheme="minorHAnsi"/>
                <w:spacing w:val="-22"/>
                <w:w w:val="130"/>
                <w:sz w:val="22"/>
                <w:szCs w:val="22"/>
              </w:rPr>
              <w:t xml:space="preserve"> </w:t>
            </w:r>
            <w:r w:rsidRPr="00B10A76">
              <w:rPr>
                <w:rFonts w:eastAsia="Times New Roman" w:cstheme="minorHAnsi"/>
                <w:w w:val="130"/>
                <w:sz w:val="22"/>
                <w:szCs w:val="22"/>
              </w:rPr>
              <w:t>in household consumption</w:t>
            </w:r>
            <w:r w:rsidRPr="00B10A76">
              <w:rPr>
                <w:rFonts w:eastAsia="Times New Roman" w:cstheme="minorHAnsi"/>
                <w:spacing w:val="-12"/>
                <w:w w:val="130"/>
                <w:sz w:val="22"/>
                <w:szCs w:val="22"/>
              </w:rPr>
              <w:t xml:space="preserve"> </w:t>
            </w:r>
            <w:r w:rsidRPr="00B10A76">
              <w:rPr>
                <w:rFonts w:eastAsia="Times New Roman" w:cstheme="minorHAnsi"/>
                <w:w w:val="130"/>
                <w:sz w:val="22"/>
                <w:szCs w:val="22"/>
              </w:rPr>
              <w:t>goods</w:t>
            </w:r>
          </w:p>
          <w:p w14:paraId="21C851B4" w14:textId="77777777" w:rsidR="001D4B3D" w:rsidRPr="00B10A76" w:rsidRDefault="001D4B3D" w:rsidP="00B84343">
            <w:pPr>
              <w:rPr>
                <w:rFonts w:cstheme="minorHAnsi"/>
                <w:sz w:val="22"/>
                <w:szCs w:val="22"/>
              </w:rPr>
            </w:pPr>
          </w:p>
        </w:tc>
        <w:tc>
          <w:tcPr>
            <w:tcW w:w="2108" w:type="dxa"/>
          </w:tcPr>
          <w:p w14:paraId="3331A0A9" w14:textId="77777777" w:rsidR="00C83876" w:rsidRPr="00B10A76" w:rsidRDefault="00C83876" w:rsidP="00B84343">
            <w:pPr>
              <w:widowControl w:val="0"/>
              <w:tabs>
                <w:tab w:val="left" w:pos="372"/>
              </w:tabs>
              <w:autoSpaceDE w:val="0"/>
              <w:autoSpaceDN w:val="0"/>
              <w:rPr>
                <w:rFonts w:eastAsia="Times New Roman" w:cstheme="minorHAnsi"/>
                <w:sz w:val="22"/>
                <w:szCs w:val="22"/>
              </w:rPr>
            </w:pPr>
            <w:r w:rsidRPr="00B10A76">
              <w:rPr>
                <w:rFonts w:eastAsia="Times New Roman" w:cstheme="minorHAnsi"/>
                <w:w w:val="130"/>
                <w:sz w:val="22"/>
                <w:szCs w:val="22"/>
              </w:rPr>
              <w:t>Industrial and administrative energy</w:t>
            </w:r>
            <w:r w:rsidRPr="00B10A76">
              <w:rPr>
                <w:rFonts w:eastAsia="Times New Roman" w:cstheme="minorHAnsi"/>
                <w:spacing w:val="-1"/>
                <w:w w:val="130"/>
                <w:sz w:val="22"/>
                <w:szCs w:val="22"/>
              </w:rPr>
              <w:t xml:space="preserve"> </w:t>
            </w:r>
            <w:r w:rsidRPr="00B10A76">
              <w:rPr>
                <w:rFonts w:eastAsia="Times New Roman" w:cstheme="minorHAnsi"/>
                <w:w w:val="130"/>
                <w:sz w:val="22"/>
                <w:szCs w:val="22"/>
              </w:rPr>
              <w:t>use within the city, other</w:t>
            </w:r>
            <w:r w:rsidRPr="00B10A76">
              <w:rPr>
                <w:rFonts w:eastAsia="Times New Roman" w:cstheme="minorHAnsi"/>
                <w:spacing w:val="-6"/>
                <w:w w:val="130"/>
                <w:sz w:val="22"/>
                <w:szCs w:val="22"/>
              </w:rPr>
              <w:t xml:space="preserve"> </w:t>
            </w:r>
            <w:r w:rsidRPr="00B10A76">
              <w:rPr>
                <w:rFonts w:eastAsia="Times New Roman" w:cstheme="minorHAnsi"/>
                <w:w w:val="130"/>
                <w:sz w:val="22"/>
                <w:szCs w:val="22"/>
              </w:rPr>
              <w:t>than that covered by the goods and services</w:t>
            </w:r>
            <w:r w:rsidRPr="00B10A76">
              <w:rPr>
                <w:rFonts w:eastAsia="Times New Roman" w:cstheme="minorHAnsi"/>
                <w:spacing w:val="-20"/>
                <w:w w:val="130"/>
                <w:sz w:val="22"/>
                <w:szCs w:val="22"/>
              </w:rPr>
              <w:t xml:space="preserve"> </w:t>
            </w:r>
            <w:r w:rsidRPr="00B10A76">
              <w:rPr>
                <w:rFonts w:eastAsia="Times New Roman" w:cstheme="minorHAnsi"/>
                <w:w w:val="130"/>
                <w:sz w:val="22"/>
                <w:szCs w:val="22"/>
              </w:rPr>
              <w:t>consumed</w:t>
            </w:r>
            <w:r w:rsidRPr="00B10A76">
              <w:rPr>
                <w:rFonts w:eastAsia="Times New Roman" w:cstheme="minorHAnsi"/>
                <w:spacing w:val="-10"/>
                <w:w w:val="130"/>
                <w:sz w:val="22"/>
                <w:szCs w:val="22"/>
              </w:rPr>
              <w:t xml:space="preserve"> </w:t>
            </w:r>
            <w:r w:rsidRPr="00B10A76">
              <w:rPr>
                <w:rFonts w:eastAsia="Times New Roman" w:cstheme="minorHAnsi"/>
                <w:w w:val="130"/>
                <w:sz w:val="22"/>
                <w:szCs w:val="22"/>
              </w:rPr>
              <w:t>by</w:t>
            </w:r>
            <w:r w:rsidRPr="00B10A76">
              <w:rPr>
                <w:rFonts w:eastAsia="Times New Roman" w:cstheme="minorHAnsi"/>
                <w:w w:val="125"/>
                <w:sz w:val="22"/>
                <w:szCs w:val="22"/>
              </w:rPr>
              <w:t xml:space="preserve"> </w:t>
            </w:r>
            <w:r w:rsidRPr="00B10A76">
              <w:rPr>
                <w:rFonts w:eastAsia="Times New Roman" w:cstheme="minorHAnsi"/>
                <w:w w:val="130"/>
                <w:sz w:val="22"/>
                <w:szCs w:val="22"/>
              </w:rPr>
              <w:t>households.</w:t>
            </w:r>
          </w:p>
          <w:p w14:paraId="1CF328B4" w14:textId="77777777" w:rsidR="001D4B3D" w:rsidRPr="00B10A76" w:rsidRDefault="001D4B3D" w:rsidP="00B84343">
            <w:pPr>
              <w:rPr>
                <w:rFonts w:cstheme="minorHAnsi"/>
                <w:sz w:val="22"/>
                <w:szCs w:val="22"/>
              </w:rPr>
            </w:pPr>
          </w:p>
        </w:tc>
        <w:tc>
          <w:tcPr>
            <w:tcW w:w="2110" w:type="dxa"/>
          </w:tcPr>
          <w:p w14:paraId="54299177" w14:textId="77777777" w:rsidR="00C83876" w:rsidRPr="00B10A76" w:rsidRDefault="00C83876" w:rsidP="00B84343">
            <w:pPr>
              <w:widowControl w:val="0"/>
              <w:autoSpaceDE w:val="0"/>
              <w:autoSpaceDN w:val="0"/>
              <w:ind w:right="-11"/>
              <w:rPr>
                <w:rFonts w:eastAsia="Times New Roman" w:cstheme="minorHAnsi"/>
                <w:sz w:val="22"/>
                <w:szCs w:val="22"/>
              </w:rPr>
            </w:pPr>
            <w:r w:rsidRPr="00B10A76">
              <w:rPr>
                <w:rFonts w:eastAsia="Times New Roman" w:cstheme="minorHAnsi"/>
                <w:w w:val="130"/>
                <w:sz w:val="22"/>
                <w:szCs w:val="22"/>
              </w:rPr>
              <w:t>Per capita total direct and embodied energy requirements for sustaining</w:t>
            </w:r>
            <w:r w:rsidRPr="00B10A76">
              <w:rPr>
                <w:rFonts w:eastAsia="Times New Roman" w:cstheme="minorHAnsi"/>
                <w:w w:val="129"/>
                <w:sz w:val="22"/>
                <w:szCs w:val="22"/>
              </w:rPr>
              <w:t xml:space="preserve"> </w:t>
            </w:r>
            <w:r w:rsidRPr="00B10A76">
              <w:rPr>
                <w:rFonts w:eastAsia="Times New Roman" w:cstheme="minorHAnsi"/>
                <w:w w:val="130"/>
                <w:sz w:val="22"/>
                <w:szCs w:val="22"/>
              </w:rPr>
              <w:t>the lifestyle of urban households</w:t>
            </w:r>
          </w:p>
          <w:p w14:paraId="376D51B7" w14:textId="77777777" w:rsidR="001D4B3D" w:rsidRPr="00B10A76" w:rsidRDefault="001D4B3D" w:rsidP="00B84343">
            <w:pPr>
              <w:rPr>
                <w:rFonts w:cstheme="minorHAnsi"/>
                <w:sz w:val="22"/>
                <w:szCs w:val="22"/>
              </w:rPr>
            </w:pPr>
          </w:p>
        </w:tc>
        <w:tc>
          <w:tcPr>
            <w:tcW w:w="2193" w:type="dxa"/>
          </w:tcPr>
          <w:p w14:paraId="4EEBAC5C" w14:textId="77777777" w:rsidR="00C83876" w:rsidRPr="00B10A76" w:rsidRDefault="00C83876" w:rsidP="00B84343">
            <w:pPr>
              <w:widowControl w:val="0"/>
              <w:tabs>
                <w:tab w:val="left" w:pos="372"/>
              </w:tabs>
              <w:autoSpaceDE w:val="0"/>
              <w:autoSpaceDN w:val="0"/>
              <w:ind w:right="333"/>
              <w:rPr>
                <w:rFonts w:eastAsia="Times New Roman" w:cstheme="minorHAnsi"/>
                <w:sz w:val="22"/>
                <w:szCs w:val="22"/>
              </w:rPr>
            </w:pPr>
            <w:r w:rsidRPr="00B10A76">
              <w:rPr>
                <w:rFonts w:eastAsia="Times New Roman" w:cstheme="minorHAnsi"/>
                <w:w w:val="130"/>
                <w:sz w:val="22"/>
                <w:szCs w:val="22"/>
              </w:rPr>
              <w:t>Understanding total energy demand, including those embodied in goods, of household</w:t>
            </w:r>
            <w:r w:rsidRPr="00B10A76">
              <w:rPr>
                <w:rFonts w:eastAsia="Times New Roman" w:cstheme="minorHAnsi"/>
                <w:spacing w:val="-3"/>
                <w:w w:val="130"/>
                <w:sz w:val="22"/>
                <w:szCs w:val="22"/>
              </w:rPr>
              <w:t xml:space="preserve"> </w:t>
            </w:r>
            <w:r w:rsidRPr="00B10A76">
              <w:rPr>
                <w:rFonts w:eastAsia="Times New Roman" w:cstheme="minorHAnsi"/>
                <w:w w:val="130"/>
                <w:sz w:val="22"/>
                <w:szCs w:val="22"/>
              </w:rPr>
              <w:t>consumption</w:t>
            </w:r>
          </w:p>
          <w:p w14:paraId="424021F5" w14:textId="77777777" w:rsidR="00C83876" w:rsidRPr="00B10A76" w:rsidRDefault="00C83876" w:rsidP="00B84343">
            <w:pPr>
              <w:widowControl w:val="0"/>
              <w:tabs>
                <w:tab w:val="left" w:pos="372"/>
              </w:tabs>
              <w:autoSpaceDE w:val="0"/>
              <w:autoSpaceDN w:val="0"/>
              <w:ind w:right="272"/>
              <w:rPr>
                <w:rFonts w:eastAsia="Times New Roman" w:cstheme="minorHAnsi"/>
                <w:sz w:val="22"/>
                <w:szCs w:val="22"/>
              </w:rPr>
            </w:pPr>
            <w:r w:rsidRPr="00B10A76">
              <w:rPr>
                <w:rFonts w:eastAsia="Times New Roman" w:cstheme="minorHAnsi"/>
                <w:w w:val="130"/>
                <w:sz w:val="22"/>
                <w:szCs w:val="22"/>
              </w:rPr>
              <w:t>Quantifying the total</w:t>
            </w:r>
            <w:r w:rsidRPr="00B10A76">
              <w:rPr>
                <w:rFonts w:eastAsia="Times New Roman" w:cstheme="minorHAnsi"/>
                <w:spacing w:val="-7"/>
                <w:w w:val="130"/>
                <w:sz w:val="22"/>
                <w:szCs w:val="22"/>
              </w:rPr>
              <w:t xml:space="preserve"> </w:t>
            </w:r>
            <w:r w:rsidRPr="00B10A76">
              <w:rPr>
                <w:rFonts w:eastAsia="Times New Roman" w:cstheme="minorHAnsi"/>
                <w:w w:val="130"/>
                <w:sz w:val="22"/>
                <w:szCs w:val="22"/>
              </w:rPr>
              <w:t>energy footprint and impact of households</w:t>
            </w:r>
          </w:p>
          <w:p w14:paraId="31639A5B" w14:textId="18CE7736" w:rsidR="00C83876" w:rsidRPr="00B10A76" w:rsidRDefault="00C83876" w:rsidP="00B84343">
            <w:pPr>
              <w:widowControl w:val="0"/>
              <w:tabs>
                <w:tab w:val="left" w:pos="372"/>
              </w:tabs>
              <w:autoSpaceDE w:val="0"/>
              <w:autoSpaceDN w:val="0"/>
              <w:ind w:right="546"/>
              <w:rPr>
                <w:rFonts w:eastAsia="Times New Roman" w:cstheme="minorHAnsi"/>
                <w:sz w:val="22"/>
                <w:szCs w:val="22"/>
              </w:rPr>
            </w:pPr>
            <w:r w:rsidRPr="00B10A76">
              <w:rPr>
                <w:rFonts w:eastAsia="Times New Roman" w:cstheme="minorHAnsi"/>
                <w:w w:val="130"/>
                <w:sz w:val="22"/>
                <w:szCs w:val="22"/>
              </w:rPr>
              <w:t>Policy and measures</w:t>
            </w:r>
            <w:r w:rsidRPr="00B10A76">
              <w:rPr>
                <w:rFonts w:eastAsia="Times New Roman" w:cstheme="minorHAnsi"/>
                <w:spacing w:val="-21"/>
                <w:w w:val="130"/>
                <w:sz w:val="22"/>
                <w:szCs w:val="22"/>
              </w:rPr>
              <w:t xml:space="preserve"> </w:t>
            </w:r>
            <w:r w:rsidRPr="00B10A76">
              <w:rPr>
                <w:rFonts w:eastAsia="Times New Roman" w:cstheme="minorHAnsi"/>
                <w:w w:val="130"/>
                <w:sz w:val="22"/>
                <w:szCs w:val="22"/>
              </w:rPr>
              <w:t>for behavioral and macro- economic change for sustainability</w:t>
            </w:r>
          </w:p>
          <w:p w14:paraId="77E4A887" w14:textId="77777777" w:rsidR="001D4B3D" w:rsidRPr="00B10A76" w:rsidRDefault="001D4B3D" w:rsidP="00B84343">
            <w:pPr>
              <w:rPr>
                <w:rFonts w:cstheme="minorHAnsi"/>
                <w:sz w:val="22"/>
                <w:szCs w:val="22"/>
              </w:rPr>
            </w:pPr>
          </w:p>
        </w:tc>
      </w:tr>
    </w:tbl>
    <w:p w14:paraId="40EDBC01" w14:textId="09C03920" w:rsidR="00CE3194" w:rsidRDefault="00C83876" w:rsidP="00B84343">
      <w:pPr>
        <w:rPr>
          <w:rFonts w:cstheme="minorHAnsi"/>
          <w:sz w:val="22"/>
          <w:szCs w:val="22"/>
        </w:rPr>
      </w:pPr>
      <w:proofErr w:type="spellStart"/>
      <w:r w:rsidRPr="00B10A76">
        <w:rPr>
          <w:rFonts w:cstheme="minorHAnsi"/>
          <w:sz w:val="22"/>
          <w:szCs w:val="22"/>
        </w:rPr>
        <w:t>Bainez</w:t>
      </w:r>
      <w:proofErr w:type="spellEnd"/>
      <w:r w:rsidRPr="00B10A76">
        <w:rPr>
          <w:rFonts w:cstheme="minorHAnsi"/>
          <w:sz w:val="22"/>
          <w:szCs w:val="22"/>
        </w:rPr>
        <w:t xml:space="preserve"> et al. 2013</w:t>
      </w:r>
    </w:p>
    <w:p w14:paraId="2E5C33BA" w14:textId="4927B14B" w:rsidR="00CE3194" w:rsidRDefault="00CE3194">
      <w:pPr>
        <w:rPr>
          <w:rFonts w:cstheme="minorHAnsi"/>
          <w:sz w:val="22"/>
          <w:szCs w:val="22"/>
        </w:rPr>
      </w:pPr>
      <w:r>
        <w:rPr>
          <w:rFonts w:cstheme="minorHAnsi"/>
          <w:sz w:val="22"/>
          <w:szCs w:val="22"/>
        </w:rPr>
        <w:lastRenderedPageBreak/>
        <w:t>Table 2: Indicators</w:t>
      </w:r>
    </w:p>
    <w:p w14:paraId="2A3D38FE" w14:textId="021B3987" w:rsidR="00C83876" w:rsidRPr="00B10A76" w:rsidRDefault="00925EBA" w:rsidP="00B84343">
      <w:pPr>
        <w:rPr>
          <w:rFonts w:cstheme="minorHAnsi"/>
          <w:sz w:val="22"/>
          <w:szCs w:val="22"/>
        </w:rPr>
      </w:pPr>
      <w:r>
        <w:rPr>
          <w:rFonts w:cstheme="minorHAnsi"/>
          <w:noProof/>
          <w:sz w:val="22"/>
          <w:szCs w:val="22"/>
        </w:rPr>
        <w:object w:dxaOrig="14820" w:dyaOrig="9700" w14:anchorId="697AA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8.5pt;height:326.5pt;mso-width-percent:0;mso-height-percent:0;mso-width-percent:0;mso-height-percent:0" o:ole="">
            <v:imagedata r:id="rId8" o:title=""/>
          </v:shape>
          <o:OLEObject Type="Embed" ProgID="Excel.Sheet.12" ShapeID="_x0000_i1025" DrawAspect="Content" ObjectID="_1603177254" r:id="rId9"/>
        </w:object>
      </w:r>
    </w:p>
    <w:sectPr w:rsidR="00C83876" w:rsidRPr="00B10A76" w:rsidSect="00D138B5">
      <w:footerReference w:type="even"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DA309" w14:textId="77777777" w:rsidR="00925EBA" w:rsidRDefault="00925EBA" w:rsidP="00D138B5">
      <w:r>
        <w:separator/>
      </w:r>
    </w:p>
  </w:endnote>
  <w:endnote w:type="continuationSeparator" w:id="0">
    <w:p w14:paraId="76E966CD" w14:textId="77777777" w:rsidR="00925EBA" w:rsidRDefault="00925EBA" w:rsidP="00D1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5080906"/>
      <w:docPartObj>
        <w:docPartGallery w:val="Page Numbers (Bottom of Page)"/>
        <w:docPartUnique/>
      </w:docPartObj>
    </w:sdtPr>
    <w:sdtEndPr>
      <w:rPr>
        <w:rStyle w:val="PageNumber"/>
      </w:rPr>
    </w:sdtEndPr>
    <w:sdtContent>
      <w:p w14:paraId="1E836FC4" w14:textId="0A59F231" w:rsidR="00544B05" w:rsidRDefault="00544B05" w:rsidP="00544B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698E42" w14:textId="77777777" w:rsidR="00544B05" w:rsidRDefault="00544B05" w:rsidP="00D138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6687800"/>
      <w:docPartObj>
        <w:docPartGallery w:val="Page Numbers (Bottom of Page)"/>
        <w:docPartUnique/>
      </w:docPartObj>
    </w:sdtPr>
    <w:sdtEndPr>
      <w:rPr>
        <w:rStyle w:val="PageNumber"/>
      </w:rPr>
    </w:sdtEndPr>
    <w:sdtContent>
      <w:p w14:paraId="5093CC58" w14:textId="0EFE3313" w:rsidR="00544B05" w:rsidRDefault="00544B05" w:rsidP="00544B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435154" w14:textId="77777777" w:rsidR="00544B05" w:rsidRDefault="00544B05" w:rsidP="00D138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119B2" w14:textId="77777777" w:rsidR="00925EBA" w:rsidRDefault="00925EBA" w:rsidP="00D138B5">
      <w:r>
        <w:separator/>
      </w:r>
    </w:p>
  </w:footnote>
  <w:footnote w:type="continuationSeparator" w:id="0">
    <w:p w14:paraId="602AFD59" w14:textId="77777777" w:rsidR="00925EBA" w:rsidRDefault="00925EBA" w:rsidP="00D13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082D"/>
    <w:multiLevelType w:val="hybridMultilevel"/>
    <w:tmpl w:val="A3E2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3210C"/>
    <w:multiLevelType w:val="hybridMultilevel"/>
    <w:tmpl w:val="FADE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02992"/>
    <w:multiLevelType w:val="multilevel"/>
    <w:tmpl w:val="0EB81974"/>
    <w:lvl w:ilvl="0">
      <w:start w:val="1"/>
      <w:numFmt w:val="decimal"/>
      <w:lvlText w:val="%1."/>
      <w:lvlJc w:val="left"/>
      <w:pPr>
        <w:ind w:left="393" w:hanging="260"/>
      </w:pPr>
      <w:rPr>
        <w:rFonts w:ascii="Times New Roman" w:eastAsia="Times New Roman" w:hAnsi="Times New Roman" w:cs="Times New Roman" w:hint="default"/>
        <w:w w:val="116"/>
        <w:sz w:val="16"/>
        <w:szCs w:val="16"/>
      </w:rPr>
    </w:lvl>
    <w:lvl w:ilvl="1">
      <w:start w:val="1"/>
      <w:numFmt w:val="decimal"/>
      <w:lvlText w:val="%1.%2."/>
      <w:lvlJc w:val="left"/>
      <w:pPr>
        <w:ind w:left="491" w:hanging="378"/>
      </w:pPr>
      <w:rPr>
        <w:rFonts w:ascii="Times New Roman" w:eastAsia="Times New Roman" w:hAnsi="Times New Roman" w:cs="Times New Roman" w:hint="default"/>
        <w:i/>
        <w:w w:val="107"/>
        <w:sz w:val="16"/>
        <w:szCs w:val="16"/>
      </w:rPr>
    </w:lvl>
    <w:lvl w:ilvl="2">
      <w:numFmt w:val="bullet"/>
      <w:lvlText w:val="–"/>
      <w:lvlJc w:val="left"/>
      <w:pPr>
        <w:ind w:left="371" w:hanging="142"/>
      </w:pPr>
      <w:rPr>
        <w:rFonts w:ascii="Times New Roman" w:eastAsia="Times New Roman" w:hAnsi="Times New Roman" w:cs="Times New Roman" w:hint="default"/>
        <w:w w:val="128"/>
        <w:sz w:val="12"/>
        <w:szCs w:val="12"/>
      </w:rPr>
    </w:lvl>
    <w:lvl w:ilvl="3">
      <w:numFmt w:val="bullet"/>
      <w:lvlText w:val="–"/>
      <w:lvlJc w:val="left"/>
      <w:pPr>
        <w:ind w:left="2265" w:hanging="142"/>
      </w:pPr>
      <w:rPr>
        <w:rFonts w:ascii="Times New Roman" w:eastAsia="Times New Roman" w:hAnsi="Times New Roman" w:cs="Times New Roman" w:hint="default"/>
        <w:w w:val="128"/>
        <w:sz w:val="12"/>
        <w:szCs w:val="12"/>
      </w:rPr>
    </w:lvl>
    <w:lvl w:ilvl="4">
      <w:numFmt w:val="bullet"/>
      <w:lvlText w:val="•"/>
      <w:lvlJc w:val="left"/>
      <w:pPr>
        <w:ind w:left="500" w:hanging="142"/>
      </w:pPr>
      <w:rPr>
        <w:rFonts w:hint="default"/>
      </w:rPr>
    </w:lvl>
    <w:lvl w:ilvl="5">
      <w:numFmt w:val="bullet"/>
      <w:lvlText w:val="•"/>
      <w:lvlJc w:val="left"/>
      <w:pPr>
        <w:ind w:left="2260" w:hanging="142"/>
      </w:pPr>
      <w:rPr>
        <w:rFonts w:hint="default"/>
      </w:rPr>
    </w:lvl>
    <w:lvl w:ilvl="6">
      <w:numFmt w:val="bullet"/>
      <w:lvlText w:val="•"/>
      <w:lvlJc w:val="left"/>
      <w:pPr>
        <w:ind w:left="1531" w:hanging="142"/>
      </w:pPr>
      <w:rPr>
        <w:rFonts w:hint="default"/>
      </w:rPr>
    </w:lvl>
    <w:lvl w:ilvl="7">
      <w:numFmt w:val="bullet"/>
      <w:lvlText w:val="•"/>
      <w:lvlJc w:val="left"/>
      <w:pPr>
        <w:ind w:left="802" w:hanging="142"/>
      </w:pPr>
      <w:rPr>
        <w:rFonts w:hint="default"/>
      </w:rPr>
    </w:lvl>
    <w:lvl w:ilvl="8">
      <w:numFmt w:val="bullet"/>
      <w:lvlText w:val="•"/>
      <w:lvlJc w:val="left"/>
      <w:pPr>
        <w:ind w:left="74" w:hanging="142"/>
      </w:pPr>
      <w:rPr>
        <w:rFonts w:hint="default"/>
      </w:rPr>
    </w:lvl>
  </w:abstractNum>
  <w:abstractNum w:abstractNumId="3" w15:restartNumberingAfterBreak="0">
    <w:nsid w:val="366159C1"/>
    <w:multiLevelType w:val="hybridMultilevel"/>
    <w:tmpl w:val="FADE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C7292"/>
    <w:multiLevelType w:val="hybridMultilevel"/>
    <w:tmpl w:val="2C00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559B5"/>
    <w:multiLevelType w:val="hybridMultilevel"/>
    <w:tmpl w:val="711CA6C8"/>
    <w:lvl w:ilvl="0" w:tplc="B96E6300">
      <w:numFmt w:val="bullet"/>
      <w:lvlText w:val="–"/>
      <w:lvlJc w:val="left"/>
      <w:pPr>
        <w:ind w:left="2265" w:hanging="142"/>
      </w:pPr>
      <w:rPr>
        <w:rFonts w:ascii="Times New Roman" w:eastAsia="Times New Roman" w:hAnsi="Times New Roman" w:cs="Times New Roman" w:hint="default"/>
        <w:w w:val="128"/>
        <w:sz w:val="12"/>
        <w:szCs w:val="12"/>
      </w:rPr>
    </w:lvl>
    <w:lvl w:ilvl="1" w:tplc="963609C2">
      <w:numFmt w:val="bullet"/>
      <w:lvlText w:val="•"/>
      <w:lvlJc w:val="left"/>
      <w:pPr>
        <w:ind w:left="2407" w:hanging="142"/>
      </w:pPr>
      <w:rPr>
        <w:rFonts w:hint="default"/>
      </w:rPr>
    </w:lvl>
    <w:lvl w:ilvl="2" w:tplc="9182A308">
      <w:numFmt w:val="bullet"/>
      <w:lvlText w:val="•"/>
      <w:lvlJc w:val="left"/>
      <w:pPr>
        <w:ind w:left="2554" w:hanging="142"/>
      </w:pPr>
      <w:rPr>
        <w:rFonts w:hint="default"/>
      </w:rPr>
    </w:lvl>
    <w:lvl w:ilvl="3" w:tplc="EDFEE238">
      <w:numFmt w:val="bullet"/>
      <w:lvlText w:val="•"/>
      <w:lvlJc w:val="left"/>
      <w:pPr>
        <w:ind w:left="2701" w:hanging="142"/>
      </w:pPr>
      <w:rPr>
        <w:rFonts w:hint="default"/>
      </w:rPr>
    </w:lvl>
    <w:lvl w:ilvl="4" w:tplc="33BAD888">
      <w:numFmt w:val="bullet"/>
      <w:lvlText w:val="•"/>
      <w:lvlJc w:val="left"/>
      <w:pPr>
        <w:ind w:left="2848" w:hanging="142"/>
      </w:pPr>
      <w:rPr>
        <w:rFonts w:hint="default"/>
      </w:rPr>
    </w:lvl>
    <w:lvl w:ilvl="5" w:tplc="50C86A5C">
      <w:numFmt w:val="bullet"/>
      <w:lvlText w:val="•"/>
      <w:lvlJc w:val="left"/>
      <w:pPr>
        <w:ind w:left="2996" w:hanging="142"/>
      </w:pPr>
      <w:rPr>
        <w:rFonts w:hint="default"/>
      </w:rPr>
    </w:lvl>
    <w:lvl w:ilvl="6" w:tplc="ACFE2A54">
      <w:numFmt w:val="bullet"/>
      <w:lvlText w:val="•"/>
      <w:lvlJc w:val="left"/>
      <w:pPr>
        <w:ind w:left="3143" w:hanging="142"/>
      </w:pPr>
      <w:rPr>
        <w:rFonts w:hint="default"/>
      </w:rPr>
    </w:lvl>
    <w:lvl w:ilvl="7" w:tplc="585E9968">
      <w:numFmt w:val="bullet"/>
      <w:lvlText w:val="•"/>
      <w:lvlJc w:val="left"/>
      <w:pPr>
        <w:ind w:left="3290" w:hanging="142"/>
      </w:pPr>
      <w:rPr>
        <w:rFonts w:hint="default"/>
      </w:rPr>
    </w:lvl>
    <w:lvl w:ilvl="8" w:tplc="BB204F60">
      <w:numFmt w:val="bullet"/>
      <w:lvlText w:val="•"/>
      <w:lvlJc w:val="left"/>
      <w:pPr>
        <w:ind w:left="3437" w:hanging="142"/>
      </w:pPr>
      <w:rPr>
        <w:rFonts w:hint="default"/>
      </w:rPr>
    </w:lvl>
  </w:abstractNum>
  <w:abstractNum w:abstractNumId="6" w15:restartNumberingAfterBreak="0">
    <w:nsid w:val="58895B38"/>
    <w:multiLevelType w:val="multilevel"/>
    <w:tmpl w:val="11924AD4"/>
    <w:lvl w:ilvl="0">
      <w:start w:val="1"/>
      <w:numFmt w:val="decimal"/>
      <w:lvlText w:val="%1."/>
      <w:lvlJc w:val="left"/>
      <w:pPr>
        <w:ind w:left="314" w:hanging="184"/>
      </w:pPr>
      <w:rPr>
        <w:rFonts w:ascii="Times New Roman" w:eastAsia="Times New Roman" w:hAnsi="Times New Roman" w:cs="Times New Roman" w:hint="default"/>
        <w:color w:val="231F20"/>
        <w:w w:val="109"/>
        <w:sz w:val="16"/>
        <w:szCs w:val="16"/>
      </w:rPr>
    </w:lvl>
    <w:lvl w:ilvl="1">
      <w:start w:val="1"/>
      <w:numFmt w:val="decimal"/>
      <w:lvlText w:val="%1.%2."/>
      <w:lvlJc w:val="left"/>
      <w:pPr>
        <w:ind w:left="428" w:hanging="299"/>
      </w:pPr>
      <w:rPr>
        <w:rFonts w:ascii="Times New Roman" w:eastAsia="Times New Roman" w:hAnsi="Times New Roman" w:cs="Times New Roman" w:hint="default"/>
        <w:i/>
        <w:color w:val="231F20"/>
        <w:w w:val="102"/>
        <w:sz w:val="16"/>
        <w:szCs w:val="16"/>
      </w:rPr>
    </w:lvl>
    <w:lvl w:ilvl="2">
      <w:numFmt w:val="bullet"/>
      <w:lvlText w:val="•"/>
      <w:lvlJc w:val="left"/>
      <w:pPr>
        <w:ind w:left="400" w:hanging="299"/>
      </w:pPr>
      <w:rPr>
        <w:rFonts w:hint="default"/>
      </w:rPr>
    </w:lvl>
    <w:lvl w:ilvl="3">
      <w:numFmt w:val="bullet"/>
      <w:lvlText w:val="•"/>
      <w:lvlJc w:val="left"/>
      <w:pPr>
        <w:ind w:left="420" w:hanging="299"/>
      </w:pPr>
      <w:rPr>
        <w:rFonts w:hint="default"/>
      </w:rPr>
    </w:lvl>
    <w:lvl w:ilvl="4">
      <w:numFmt w:val="bullet"/>
      <w:lvlText w:val="•"/>
      <w:lvlJc w:val="left"/>
      <w:pPr>
        <w:ind w:left="560" w:hanging="299"/>
      </w:pPr>
      <w:rPr>
        <w:rFonts w:hint="default"/>
      </w:rPr>
    </w:lvl>
    <w:lvl w:ilvl="5">
      <w:numFmt w:val="bullet"/>
      <w:lvlText w:val="•"/>
      <w:lvlJc w:val="left"/>
      <w:pPr>
        <w:ind w:left="-229" w:hanging="299"/>
      </w:pPr>
      <w:rPr>
        <w:rFonts w:hint="default"/>
      </w:rPr>
    </w:lvl>
    <w:lvl w:ilvl="6">
      <w:numFmt w:val="bullet"/>
      <w:lvlText w:val="•"/>
      <w:lvlJc w:val="left"/>
      <w:pPr>
        <w:ind w:left="-1017" w:hanging="299"/>
      </w:pPr>
      <w:rPr>
        <w:rFonts w:hint="default"/>
      </w:rPr>
    </w:lvl>
    <w:lvl w:ilvl="7">
      <w:numFmt w:val="bullet"/>
      <w:lvlText w:val="•"/>
      <w:lvlJc w:val="left"/>
      <w:pPr>
        <w:ind w:left="-1806" w:hanging="299"/>
      </w:pPr>
      <w:rPr>
        <w:rFonts w:hint="default"/>
      </w:rPr>
    </w:lvl>
    <w:lvl w:ilvl="8">
      <w:numFmt w:val="bullet"/>
      <w:lvlText w:val="•"/>
      <w:lvlJc w:val="left"/>
      <w:pPr>
        <w:ind w:left="-2594" w:hanging="299"/>
      </w:pPr>
      <w:rPr>
        <w:rFonts w:hint="default"/>
      </w:rPr>
    </w:lvl>
  </w:abstractNum>
  <w:abstractNum w:abstractNumId="7" w15:restartNumberingAfterBreak="0">
    <w:nsid w:val="7CC32B42"/>
    <w:multiLevelType w:val="hybridMultilevel"/>
    <w:tmpl w:val="A83A2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C7"/>
    <w:rsid w:val="00034CD9"/>
    <w:rsid w:val="0003504F"/>
    <w:rsid w:val="00056A1C"/>
    <w:rsid w:val="000C0BFB"/>
    <w:rsid w:val="000C170E"/>
    <w:rsid w:val="00166797"/>
    <w:rsid w:val="00166C80"/>
    <w:rsid w:val="001B14FE"/>
    <w:rsid w:val="001D4B3D"/>
    <w:rsid w:val="001F3278"/>
    <w:rsid w:val="00264246"/>
    <w:rsid w:val="00264C38"/>
    <w:rsid w:val="002666CB"/>
    <w:rsid w:val="00343DCF"/>
    <w:rsid w:val="004203D2"/>
    <w:rsid w:val="0043563D"/>
    <w:rsid w:val="00447CDB"/>
    <w:rsid w:val="004730DA"/>
    <w:rsid w:val="0049126E"/>
    <w:rsid w:val="004A415D"/>
    <w:rsid w:val="005312F0"/>
    <w:rsid w:val="00544B05"/>
    <w:rsid w:val="00557422"/>
    <w:rsid w:val="00564EF2"/>
    <w:rsid w:val="005A3CDF"/>
    <w:rsid w:val="005C7C9E"/>
    <w:rsid w:val="00611978"/>
    <w:rsid w:val="006125FC"/>
    <w:rsid w:val="006E70CF"/>
    <w:rsid w:val="007134F8"/>
    <w:rsid w:val="007222F1"/>
    <w:rsid w:val="007D0072"/>
    <w:rsid w:val="008123EA"/>
    <w:rsid w:val="00813C56"/>
    <w:rsid w:val="00827DD1"/>
    <w:rsid w:val="008F2341"/>
    <w:rsid w:val="008F4C1E"/>
    <w:rsid w:val="00903F1E"/>
    <w:rsid w:val="00925EBA"/>
    <w:rsid w:val="009650DA"/>
    <w:rsid w:val="00AA66C8"/>
    <w:rsid w:val="00B10A76"/>
    <w:rsid w:val="00B54CBD"/>
    <w:rsid w:val="00B84343"/>
    <w:rsid w:val="00BA1B68"/>
    <w:rsid w:val="00BF13A7"/>
    <w:rsid w:val="00C43D3E"/>
    <w:rsid w:val="00C72E81"/>
    <w:rsid w:val="00C83876"/>
    <w:rsid w:val="00CC3781"/>
    <w:rsid w:val="00CE3194"/>
    <w:rsid w:val="00D138B5"/>
    <w:rsid w:val="00D5633F"/>
    <w:rsid w:val="00D853F7"/>
    <w:rsid w:val="00DE06A2"/>
    <w:rsid w:val="00E06A58"/>
    <w:rsid w:val="00E30F9F"/>
    <w:rsid w:val="00E63C78"/>
    <w:rsid w:val="00E96BA7"/>
    <w:rsid w:val="00EF0F0C"/>
    <w:rsid w:val="00EF5333"/>
    <w:rsid w:val="00F43027"/>
    <w:rsid w:val="00F670C7"/>
    <w:rsid w:val="00F846FE"/>
    <w:rsid w:val="00FF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780F"/>
  <w15:chartTrackingRefBased/>
  <w15:docId w15:val="{904506C8-17C1-FD49-8F6E-DF28ECAE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74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22"/>
    <w:rPr>
      <w:color w:val="0000FF"/>
      <w:u w:val="single"/>
    </w:rPr>
  </w:style>
  <w:style w:type="character" w:styleId="Emphasis">
    <w:name w:val="Emphasis"/>
    <w:basedOn w:val="DefaultParagraphFont"/>
    <w:uiPriority w:val="20"/>
    <w:qFormat/>
    <w:rsid w:val="00557422"/>
    <w:rPr>
      <w:i/>
      <w:iCs/>
    </w:rPr>
  </w:style>
  <w:style w:type="character" w:customStyle="1" w:styleId="Heading3Char">
    <w:name w:val="Heading 3 Char"/>
    <w:basedOn w:val="DefaultParagraphFont"/>
    <w:link w:val="Heading3"/>
    <w:uiPriority w:val="9"/>
    <w:rsid w:val="005574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7422"/>
    <w:pPr>
      <w:spacing w:before="100" w:beforeAutospacing="1" w:after="100" w:afterAutospacing="1"/>
    </w:pPr>
    <w:rPr>
      <w:rFonts w:ascii="Times New Roman" w:eastAsia="Times New Roman" w:hAnsi="Times New Roman" w:cs="Times New Roman"/>
    </w:rPr>
  </w:style>
  <w:style w:type="character" w:customStyle="1" w:styleId="mathjax">
    <w:name w:val="mathjax"/>
    <w:basedOn w:val="DefaultParagraphFont"/>
    <w:rsid w:val="00557422"/>
  </w:style>
  <w:style w:type="character" w:customStyle="1" w:styleId="mi">
    <w:name w:val="mi"/>
    <w:basedOn w:val="DefaultParagraphFont"/>
    <w:rsid w:val="00557422"/>
  </w:style>
  <w:style w:type="character" w:customStyle="1" w:styleId="mo">
    <w:name w:val="mo"/>
    <w:basedOn w:val="DefaultParagraphFont"/>
    <w:rsid w:val="00557422"/>
  </w:style>
  <w:style w:type="character" w:customStyle="1" w:styleId="mn">
    <w:name w:val="mn"/>
    <w:basedOn w:val="DefaultParagraphFont"/>
    <w:rsid w:val="00557422"/>
  </w:style>
  <w:style w:type="paragraph" w:customStyle="1" w:styleId="flushleft">
    <w:name w:val="flushleft"/>
    <w:basedOn w:val="Normal"/>
    <w:rsid w:val="0055742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611978"/>
    <w:pPr>
      <w:widowControl w:val="0"/>
      <w:autoSpaceDE w:val="0"/>
      <w:autoSpaceDN w:val="0"/>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611978"/>
    <w:rPr>
      <w:rFonts w:ascii="Times New Roman" w:eastAsia="Times New Roman" w:hAnsi="Times New Roman" w:cs="Times New Roman"/>
      <w:sz w:val="16"/>
      <w:szCs w:val="16"/>
    </w:rPr>
  </w:style>
  <w:style w:type="table" w:styleId="TableGrid">
    <w:name w:val="Table Grid"/>
    <w:basedOn w:val="TableNormal"/>
    <w:uiPriority w:val="39"/>
    <w:rsid w:val="001D4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781"/>
    <w:pPr>
      <w:ind w:left="720"/>
      <w:contextualSpacing/>
    </w:pPr>
  </w:style>
  <w:style w:type="paragraph" w:styleId="Footer">
    <w:name w:val="footer"/>
    <w:basedOn w:val="Normal"/>
    <w:link w:val="FooterChar"/>
    <w:uiPriority w:val="99"/>
    <w:unhideWhenUsed/>
    <w:rsid w:val="00D138B5"/>
    <w:pPr>
      <w:tabs>
        <w:tab w:val="center" w:pos="4680"/>
        <w:tab w:val="right" w:pos="9360"/>
      </w:tabs>
    </w:pPr>
  </w:style>
  <w:style w:type="character" w:customStyle="1" w:styleId="FooterChar">
    <w:name w:val="Footer Char"/>
    <w:basedOn w:val="DefaultParagraphFont"/>
    <w:link w:val="Footer"/>
    <w:uiPriority w:val="99"/>
    <w:rsid w:val="00D138B5"/>
  </w:style>
  <w:style w:type="character" w:styleId="PageNumber">
    <w:name w:val="page number"/>
    <w:basedOn w:val="DefaultParagraphFont"/>
    <w:uiPriority w:val="99"/>
    <w:semiHidden/>
    <w:unhideWhenUsed/>
    <w:rsid w:val="00D138B5"/>
  </w:style>
  <w:style w:type="paragraph" w:styleId="FootnoteText">
    <w:name w:val="footnote text"/>
    <w:basedOn w:val="Normal"/>
    <w:link w:val="FootnoteTextChar"/>
    <w:uiPriority w:val="99"/>
    <w:semiHidden/>
    <w:unhideWhenUsed/>
    <w:rsid w:val="00034CD9"/>
    <w:rPr>
      <w:sz w:val="20"/>
      <w:szCs w:val="20"/>
    </w:rPr>
  </w:style>
  <w:style w:type="character" w:customStyle="1" w:styleId="FootnoteTextChar">
    <w:name w:val="Footnote Text Char"/>
    <w:basedOn w:val="DefaultParagraphFont"/>
    <w:link w:val="FootnoteText"/>
    <w:uiPriority w:val="99"/>
    <w:semiHidden/>
    <w:rsid w:val="00034CD9"/>
    <w:rPr>
      <w:sz w:val="20"/>
      <w:szCs w:val="20"/>
    </w:rPr>
  </w:style>
  <w:style w:type="character" w:styleId="FootnoteReference">
    <w:name w:val="footnote reference"/>
    <w:basedOn w:val="DefaultParagraphFont"/>
    <w:uiPriority w:val="99"/>
    <w:semiHidden/>
    <w:unhideWhenUsed/>
    <w:rsid w:val="00034CD9"/>
    <w:rPr>
      <w:vertAlign w:val="superscript"/>
    </w:rPr>
  </w:style>
  <w:style w:type="character" w:styleId="CommentReference">
    <w:name w:val="annotation reference"/>
    <w:basedOn w:val="DefaultParagraphFont"/>
    <w:uiPriority w:val="99"/>
    <w:semiHidden/>
    <w:unhideWhenUsed/>
    <w:rsid w:val="00544B05"/>
    <w:rPr>
      <w:sz w:val="16"/>
      <w:szCs w:val="16"/>
    </w:rPr>
  </w:style>
  <w:style w:type="paragraph" w:styleId="CommentText">
    <w:name w:val="annotation text"/>
    <w:basedOn w:val="Normal"/>
    <w:link w:val="CommentTextChar"/>
    <w:uiPriority w:val="99"/>
    <w:unhideWhenUsed/>
    <w:rsid w:val="00544B05"/>
    <w:pPr>
      <w:spacing w:after="200"/>
    </w:pPr>
    <w:rPr>
      <w:rFonts w:asciiTheme="majorHAnsi" w:eastAsiaTheme="minorEastAsia" w:hAnsiTheme="majorHAnsi"/>
      <w:sz w:val="20"/>
      <w:szCs w:val="29"/>
      <w:lang w:eastAsia="zh-CN" w:bidi="bo-CN"/>
    </w:rPr>
  </w:style>
  <w:style w:type="character" w:customStyle="1" w:styleId="CommentTextChar">
    <w:name w:val="Comment Text Char"/>
    <w:basedOn w:val="DefaultParagraphFont"/>
    <w:link w:val="CommentText"/>
    <w:uiPriority w:val="99"/>
    <w:rsid w:val="00544B05"/>
    <w:rPr>
      <w:rFonts w:asciiTheme="majorHAnsi" w:eastAsiaTheme="minorEastAsia" w:hAnsiTheme="majorHAnsi"/>
      <w:sz w:val="20"/>
      <w:szCs w:val="29"/>
      <w:lang w:eastAsia="zh-CN" w:bidi="bo-CN"/>
    </w:rPr>
  </w:style>
  <w:style w:type="paragraph" w:styleId="BalloonText">
    <w:name w:val="Balloon Text"/>
    <w:basedOn w:val="Normal"/>
    <w:link w:val="BalloonTextChar"/>
    <w:uiPriority w:val="99"/>
    <w:semiHidden/>
    <w:unhideWhenUsed/>
    <w:rsid w:val="00544B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05"/>
    <w:rPr>
      <w:rFonts w:ascii="Times New Roman" w:hAnsi="Times New Roman" w:cs="Times New Roman"/>
      <w:sz w:val="18"/>
      <w:szCs w:val="18"/>
    </w:rPr>
  </w:style>
  <w:style w:type="character" w:customStyle="1" w:styleId="apple-converted-space">
    <w:name w:val="apple-converted-space"/>
    <w:basedOn w:val="DefaultParagraphFont"/>
    <w:rsid w:val="004730DA"/>
  </w:style>
  <w:style w:type="character" w:customStyle="1" w:styleId="Heading1Char">
    <w:name w:val="Heading 1 Char"/>
    <w:basedOn w:val="DefaultParagraphFont"/>
    <w:link w:val="Heading1"/>
    <w:uiPriority w:val="9"/>
    <w:rsid w:val="004356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43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7558">
      <w:bodyDiv w:val="1"/>
      <w:marLeft w:val="0"/>
      <w:marRight w:val="0"/>
      <w:marTop w:val="0"/>
      <w:marBottom w:val="0"/>
      <w:divBdr>
        <w:top w:val="none" w:sz="0" w:space="0" w:color="auto"/>
        <w:left w:val="none" w:sz="0" w:space="0" w:color="auto"/>
        <w:bottom w:val="none" w:sz="0" w:space="0" w:color="auto"/>
        <w:right w:val="none" w:sz="0" w:space="0" w:color="auto"/>
      </w:divBdr>
    </w:div>
    <w:div w:id="228464636">
      <w:bodyDiv w:val="1"/>
      <w:marLeft w:val="0"/>
      <w:marRight w:val="0"/>
      <w:marTop w:val="0"/>
      <w:marBottom w:val="0"/>
      <w:divBdr>
        <w:top w:val="none" w:sz="0" w:space="0" w:color="auto"/>
        <w:left w:val="none" w:sz="0" w:space="0" w:color="auto"/>
        <w:bottom w:val="none" w:sz="0" w:space="0" w:color="auto"/>
        <w:right w:val="none" w:sz="0" w:space="0" w:color="auto"/>
      </w:divBdr>
    </w:div>
    <w:div w:id="8231648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773">
          <w:marLeft w:val="0"/>
          <w:marRight w:val="0"/>
          <w:marTop w:val="0"/>
          <w:marBottom w:val="0"/>
          <w:divBdr>
            <w:top w:val="none" w:sz="0" w:space="0" w:color="auto"/>
            <w:left w:val="none" w:sz="0" w:space="0" w:color="auto"/>
            <w:bottom w:val="none" w:sz="0" w:space="0" w:color="auto"/>
            <w:right w:val="none" w:sz="0" w:space="0" w:color="auto"/>
          </w:divBdr>
        </w:div>
      </w:divsChild>
    </w:div>
    <w:div w:id="1051883758">
      <w:bodyDiv w:val="1"/>
      <w:marLeft w:val="0"/>
      <w:marRight w:val="0"/>
      <w:marTop w:val="0"/>
      <w:marBottom w:val="0"/>
      <w:divBdr>
        <w:top w:val="none" w:sz="0" w:space="0" w:color="auto"/>
        <w:left w:val="none" w:sz="0" w:space="0" w:color="auto"/>
        <w:bottom w:val="none" w:sz="0" w:space="0" w:color="auto"/>
        <w:right w:val="none" w:sz="0" w:space="0" w:color="auto"/>
      </w:divBdr>
    </w:div>
    <w:div w:id="1325741029">
      <w:bodyDiv w:val="1"/>
      <w:marLeft w:val="0"/>
      <w:marRight w:val="0"/>
      <w:marTop w:val="0"/>
      <w:marBottom w:val="0"/>
      <w:divBdr>
        <w:top w:val="none" w:sz="0" w:space="0" w:color="auto"/>
        <w:left w:val="none" w:sz="0" w:space="0" w:color="auto"/>
        <w:bottom w:val="none" w:sz="0" w:space="0" w:color="auto"/>
        <w:right w:val="none" w:sz="0" w:space="0" w:color="auto"/>
      </w:divBdr>
    </w:div>
    <w:div w:id="1412461370">
      <w:bodyDiv w:val="1"/>
      <w:marLeft w:val="0"/>
      <w:marRight w:val="0"/>
      <w:marTop w:val="0"/>
      <w:marBottom w:val="0"/>
      <w:divBdr>
        <w:top w:val="none" w:sz="0" w:space="0" w:color="auto"/>
        <w:left w:val="none" w:sz="0" w:space="0" w:color="auto"/>
        <w:bottom w:val="none" w:sz="0" w:space="0" w:color="auto"/>
        <w:right w:val="none" w:sz="0" w:space="0" w:color="auto"/>
      </w:divBdr>
    </w:div>
    <w:div w:id="1575897062">
      <w:bodyDiv w:val="1"/>
      <w:marLeft w:val="0"/>
      <w:marRight w:val="0"/>
      <w:marTop w:val="0"/>
      <w:marBottom w:val="0"/>
      <w:divBdr>
        <w:top w:val="none" w:sz="0" w:space="0" w:color="auto"/>
        <w:left w:val="none" w:sz="0" w:space="0" w:color="auto"/>
        <w:bottom w:val="none" w:sz="0" w:space="0" w:color="auto"/>
        <w:right w:val="none" w:sz="0" w:space="0" w:color="auto"/>
      </w:divBdr>
    </w:div>
    <w:div w:id="1631205234">
      <w:bodyDiv w:val="1"/>
      <w:marLeft w:val="0"/>
      <w:marRight w:val="0"/>
      <w:marTop w:val="0"/>
      <w:marBottom w:val="0"/>
      <w:divBdr>
        <w:top w:val="none" w:sz="0" w:space="0" w:color="auto"/>
        <w:left w:val="none" w:sz="0" w:space="0" w:color="auto"/>
        <w:bottom w:val="none" w:sz="0" w:space="0" w:color="auto"/>
        <w:right w:val="none" w:sz="0" w:space="0" w:color="auto"/>
      </w:divBdr>
    </w:div>
    <w:div w:id="1673946306">
      <w:bodyDiv w:val="1"/>
      <w:marLeft w:val="0"/>
      <w:marRight w:val="0"/>
      <w:marTop w:val="0"/>
      <w:marBottom w:val="0"/>
      <w:divBdr>
        <w:top w:val="none" w:sz="0" w:space="0" w:color="auto"/>
        <w:left w:val="none" w:sz="0" w:space="0" w:color="auto"/>
        <w:bottom w:val="none" w:sz="0" w:space="0" w:color="auto"/>
        <w:right w:val="none" w:sz="0" w:space="0" w:color="auto"/>
      </w:divBdr>
    </w:div>
    <w:div w:id="18377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D14D2-EF07-A74C-90ED-74046FD1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Lankao, Patricia</dc:creator>
  <cp:keywords/>
  <dc:description/>
  <cp:lastModifiedBy>Romero Lankao, Patricia</cp:lastModifiedBy>
  <cp:revision>3</cp:revision>
  <cp:lastPrinted>2018-10-24T17:14:00Z</cp:lastPrinted>
  <dcterms:created xsi:type="dcterms:W3CDTF">2018-11-08T16:17:00Z</dcterms:created>
  <dcterms:modified xsi:type="dcterms:W3CDTF">2018-11-08T17:14:00Z</dcterms:modified>
</cp:coreProperties>
</file>