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13F89" w:rsidRDefault="00DD102E">
      <w:pPr>
        <w:spacing w:before="480" w:after="80"/>
        <w:jc w:val="center"/>
      </w:pPr>
      <w:r>
        <w:rPr>
          <w:b/>
          <w:color w:val="1B365D"/>
          <w:sz w:val="48"/>
        </w:rPr>
        <w:t>FINAL YEAR PROJECT PROPOSAL</w:t>
      </w:r>
    </w:p>
    <w:p w:rsidR="00DD102E" w:rsidRDefault="00DD102E" w:rsidP="00DD102E">
      <w:pPr>
        <w:spacing w:after="0"/>
        <w:jc w:val="center"/>
        <w:rPr>
          <w:i/>
          <w:color w:val="4A77A2"/>
          <w:sz w:val="28"/>
        </w:rPr>
      </w:pPr>
      <w:r w:rsidRPr="00DD102E">
        <w:rPr>
          <w:i/>
          <w:color w:val="4A77A2"/>
          <w:sz w:val="28"/>
        </w:rPr>
        <w:t xml:space="preserve">Advance off grid solar inverter integrating </w:t>
      </w:r>
      <w:proofErr w:type="spellStart"/>
      <w:r w:rsidRPr="00DD102E">
        <w:rPr>
          <w:i/>
          <w:color w:val="4A77A2"/>
          <w:sz w:val="28"/>
        </w:rPr>
        <w:t>supercapacitor</w:t>
      </w:r>
      <w:proofErr w:type="spellEnd"/>
      <w:r w:rsidRPr="00DD102E">
        <w:rPr>
          <w:i/>
          <w:color w:val="4A77A2"/>
          <w:sz w:val="28"/>
        </w:rPr>
        <w:t xml:space="preserve"> </w:t>
      </w:r>
    </w:p>
    <w:p w:rsidR="00D13F89" w:rsidRDefault="00DD102E" w:rsidP="00DD102E">
      <w:pPr>
        <w:spacing w:after="0"/>
        <w:jc w:val="center"/>
        <w:rPr>
          <w:i/>
          <w:color w:val="4A77A2"/>
          <w:sz w:val="28"/>
        </w:rPr>
      </w:pPr>
      <w:proofErr w:type="gramStart"/>
      <w:r w:rsidRPr="00DD102E">
        <w:rPr>
          <w:i/>
          <w:color w:val="4A77A2"/>
          <w:sz w:val="28"/>
        </w:rPr>
        <w:t>hybrid</w:t>
      </w:r>
      <w:proofErr w:type="gramEnd"/>
      <w:r w:rsidRPr="00DD102E">
        <w:rPr>
          <w:i/>
          <w:color w:val="4A77A2"/>
          <w:sz w:val="28"/>
        </w:rPr>
        <w:t xml:space="preserve"> storage with MPPT</w:t>
      </w:r>
      <w:r>
        <w:rPr>
          <w:i/>
          <w:color w:val="4A77A2"/>
          <w:sz w:val="28"/>
        </w:rPr>
        <w:t xml:space="preserve"> </w:t>
      </w:r>
      <w:r>
        <w:rPr>
          <w:i/>
          <w:color w:val="4A77A2"/>
          <w:sz w:val="28"/>
        </w:rPr>
        <w:t>and Smart Thermal Management</w:t>
      </w:r>
    </w:p>
    <w:p w:rsidR="00DD102E" w:rsidRDefault="00DD102E" w:rsidP="00DD102E">
      <w:pPr>
        <w:spacing w:after="0"/>
        <w:jc w:val="center"/>
      </w:pPr>
    </w:p>
    <w:tbl>
      <w:tblPr>
        <w:tblW w:w="0" w:type="auto"/>
        <w:jc w:val="center"/>
        <w:tblLayout w:type="fixed"/>
        <w:tblLook w:val="04A0" w:firstRow="1" w:lastRow="0" w:firstColumn="1" w:lastColumn="0" w:noHBand="0" w:noVBand="1"/>
      </w:tblPr>
      <w:tblGrid>
        <w:gridCol w:w="9360"/>
      </w:tblGrid>
      <w:tr w:rsidR="00D13F89">
        <w:trPr>
          <w:jc w:val="center"/>
        </w:trPr>
        <w:tc>
          <w:tcPr>
            <w:tcW w:w="9360" w:type="dxa"/>
            <w:tcBorders>
              <w:left w:val="single" w:sz="24" w:space="0" w:color="1B365D"/>
            </w:tcBorders>
            <w:shd w:val="clear" w:color="auto" w:fill="F4F6F9"/>
          </w:tcPr>
          <w:p w:rsidR="00D13F89" w:rsidRDefault="00DD102E">
            <w:pPr>
              <w:spacing w:before="80" w:after="80"/>
              <w:ind w:left="144" w:right="144"/>
            </w:pPr>
            <w:r>
              <w:rPr>
                <w:b/>
                <w:color w:val="1B365D"/>
              </w:rPr>
              <w:t xml:space="preserve">System Focus: </w:t>
            </w:r>
            <w:r>
              <w:rPr>
                <w:sz w:val="21"/>
              </w:rPr>
              <w:t xml:space="preserve">1.0 kW Single-Phase H-Bridge Topology governed by an ESP32 Microcontroller featuring </w:t>
            </w:r>
            <w:r>
              <w:rPr>
                <w:sz w:val="21"/>
              </w:rPr>
              <w:t>dynamic frequency-splitting energy deployment, dual-phase manual/automated MPPT validation, and variable closed-loop cooling.</w:t>
            </w:r>
          </w:p>
        </w:tc>
      </w:tr>
    </w:tbl>
    <w:p w:rsidR="00D13F89" w:rsidRDefault="00D13F89">
      <w:pPr>
        <w:spacing w:after="80"/>
      </w:pPr>
    </w:p>
    <w:p w:rsidR="00D13F89" w:rsidRDefault="00DD102E">
      <w:pPr>
        <w:keepNext/>
        <w:pBdr>
          <w:bottom w:val="single" w:sz="12" w:space="4" w:color="1B365D"/>
        </w:pBdr>
        <w:spacing w:before="240"/>
      </w:pPr>
      <w:r>
        <w:rPr>
          <w:b/>
          <w:color w:val="1B365D"/>
          <w:sz w:val="36"/>
        </w:rPr>
        <w:t>1. Introduction &amp; Project Background</w:t>
      </w:r>
      <w:bookmarkStart w:id="0" w:name="_GoBack"/>
      <w:bookmarkEnd w:id="0"/>
    </w:p>
    <w:p w:rsidR="00D13F89" w:rsidRDefault="00DD102E">
      <w:r>
        <w:t>As global distribution networks migrate rapidly toward decentralized renewable energy, sola</w:t>
      </w:r>
      <w:r>
        <w:t>r photovoltaic (PV) generation systems have taken center stage. However, standalone off-grid solar infrastructures face continuous operational challenges due to environmental dependencies and load dynamics. Traditional off-grid inverters rely strictly on i</w:t>
      </w:r>
      <w:r>
        <w:t>solated chemical battery banks (e.g., Lithium-Ion or Lead-Acid variants) to maintain balance between fluctuating generation profiles and local consumer demand. While chemical storage provides high energy density suitable for bulk energy reserves, it posses</w:t>
      </w:r>
      <w:r>
        <w:t>ses fundamental limitations in power density and charge/discharge cycling speed.</w:t>
      </w:r>
    </w:p>
    <w:p w:rsidR="00D13F89" w:rsidRDefault="00DD102E">
      <w:r>
        <w:t>In a practical domestic or industrial setting, electrical loads are highly dynamic, characterized by aggressive step changes and inrush current surges (such as starting induct</w:t>
      </w:r>
      <w:r>
        <w:t>ive motors, refrigeration systems, or power tools). When high-current surges strike the DC bus, a standalone battery bank must absorb these intense power spikes. This operational stress causes elevated thermal accumulation, accelerated solid-electrolyte in</w:t>
      </w:r>
      <w:r>
        <w:t>terphase (SEI) layer growth, and increased degradation of active chemistry. Ultimately, these factors lead to early battery lifespan decay and premature system failure. Furthermore, rapid atmospheric changes, such as passing clouds, disrupt continuous sola</w:t>
      </w:r>
      <w:r>
        <w:t>r generation, subjecting the storage grid to high-frequency micro-cycling.</w:t>
      </w:r>
    </w:p>
    <w:p w:rsidR="00D13F89" w:rsidRDefault="00DD102E">
      <w:r>
        <w:t xml:space="preserve">To decisively mitigate these architectural failure modes, this project introduces a comprehensive structural solution: an Advanced 1 kW Single-Phase Off-Grid Solar Inverter driving </w:t>
      </w:r>
      <w:r>
        <w:t xml:space="preserve">a Hybrid Energy Storage System (HESS). By combining a bulk chemical battery with a high-power-density electric double-layer supercapacitor (EDLC), the system splits power allocation dynamically. Fast-acting transient current ripples are shunted seamlessly </w:t>
      </w:r>
      <w:r>
        <w:t>into the supercapacitor, while steady-state baseload operations remain regulated across the battery structure. Crucially, to bridge the gap between safe lab bench testing and true automated field deployment, the system introduces a Dual-Phase MPPT architec</w:t>
      </w:r>
      <w:r>
        <w:t>ture—utilizing manual potentiometer characterization for hardware validation followed by fully automated ESP32 digital tracking.</w:t>
      </w:r>
    </w:p>
    <w:p w:rsidR="00D13F89" w:rsidRDefault="00DD102E">
      <w:pPr>
        <w:keepNext/>
        <w:pBdr>
          <w:bottom w:val="single" w:sz="12" w:space="4" w:color="1B365D"/>
        </w:pBdr>
        <w:spacing w:before="240"/>
      </w:pPr>
      <w:r>
        <w:rPr>
          <w:b/>
          <w:color w:val="1B365D"/>
          <w:sz w:val="36"/>
        </w:rPr>
        <w:lastRenderedPageBreak/>
        <w:t>2. Project Objectives</w:t>
      </w:r>
    </w:p>
    <w:p w:rsidR="00D13F89" w:rsidRDefault="00DD102E">
      <w:pPr>
        <w:pStyle w:val="ListBullet"/>
        <w:spacing w:after="80"/>
      </w:pPr>
      <w:r>
        <w:rPr>
          <w:b/>
          <w:color w:val="1B365D"/>
        </w:rPr>
        <w:t>Design &amp; Simulation:</w:t>
      </w:r>
      <w:r>
        <w:t xml:space="preserve"> To design and simulate a cohesive 1 kW power converter network in MATLAB/Simulink (S</w:t>
      </w:r>
      <w:r>
        <w:t>imscape Electrical), modeling the behavior of a multi-source DC bus subjected to variable solar irradiance and sudden load spikes.</w:t>
      </w:r>
    </w:p>
    <w:p w:rsidR="00D13F89" w:rsidRDefault="00DD102E">
      <w:pPr>
        <w:pStyle w:val="ListBullet"/>
        <w:spacing w:after="80"/>
      </w:pPr>
      <w:r>
        <w:rPr>
          <w:b/>
          <w:color w:val="1B365D"/>
        </w:rPr>
        <w:t>Hybrid Control Interface:</w:t>
      </w:r>
      <w:r>
        <w:t xml:space="preserve"> To construct an active frequency-splitting control framework that routes transient, high-frequency </w:t>
      </w:r>
      <w:r>
        <w:t>current demands directly to the supercapacitor bank while maintaining standard, low-frequency current demands across the battery pack.</w:t>
      </w:r>
    </w:p>
    <w:p w:rsidR="00D13F89" w:rsidRDefault="00DD102E">
      <w:pPr>
        <w:pStyle w:val="ListBullet"/>
        <w:spacing w:after="80"/>
      </w:pPr>
      <w:r>
        <w:rPr>
          <w:b/>
          <w:color w:val="1B365D"/>
        </w:rPr>
        <w:t>Dual-Phase Energy Extraction:</w:t>
      </w:r>
      <w:r>
        <w:t xml:space="preserve"> To implement a two-stage MPPT validation method: utilizing manual potentiometer tuning to s</w:t>
      </w:r>
      <w:r>
        <w:t>afely establish load-side charging characteristics during hardware bring-up, and transitioning to an automated, firmware-driven digital tracking algorithm.</w:t>
      </w:r>
    </w:p>
    <w:p w:rsidR="00D13F89" w:rsidRDefault="00DD102E">
      <w:pPr>
        <w:pStyle w:val="ListBullet"/>
        <w:spacing w:after="80"/>
      </w:pPr>
      <w:r>
        <w:rPr>
          <w:b/>
          <w:color w:val="1B365D"/>
        </w:rPr>
        <w:t>Smart Closed-Loop Cooling:</w:t>
      </w:r>
      <w:r>
        <w:t xml:space="preserve"> To develop an intelligent, automated variable-speed cooling interface uti</w:t>
      </w:r>
      <w:r>
        <w:t>lizing NTC thermistor arrays and a Pulse Width Modulation (PWM) fan driver loop to prevent local thermal runaway across power components without wasting auxiliary power.</w:t>
      </w:r>
    </w:p>
    <w:p w:rsidR="00D13F89" w:rsidRDefault="00DD102E">
      <w:pPr>
        <w:pStyle w:val="ListBullet"/>
        <w:spacing w:after="80"/>
      </w:pPr>
      <w:r>
        <w:rPr>
          <w:b/>
          <w:color w:val="1B365D"/>
        </w:rPr>
        <w:t>Hardware Firmware Realization:</w:t>
      </w:r>
      <w:r>
        <w:t xml:space="preserve"> To configure and execute firmware routines utilizing th</w:t>
      </w:r>
      <w:r>
        <w:t>e dual-core architecture of the ESP32 microcontroller under a FreeRTOS environment, isolating mission-critical switching from secondary logging functions.</w:t>
      </w:r>
    </w:p>
    <w:p w:rsidR="00D13F89" w:rsidRDefault="00DD102E">
      <w:pPr>
        <w:keepNext/>
        <w:pBdr>
          <w:bottom w:val="single" w:sz="12" w:space="4" w:color="1B365D"/>
        </w:pBdr>
        <w:spacing w:before="240"/>
      </w:pPr>
      <w:r>
        <w:rPr>
          <w:b/>
          <w:color w:val="1B365D"/>
          <w:sz w:val="36"/>
        </w:rPr>
        <w:t>3. Methodology &amp; System Architecture</w:t>
      </w:r>
    </w:p>
    <w:p w:rsidR="00D13F89" w:rsidRDefault="00DD102E">
      <w:r>
        <w:t>The functional layout of the system is divided into four primary</w:t>
      </w:r>
      <w:r>
        <w:t xml:space="preserve"> sub-systems working in unison: the Solar Front-End with Dual-Phase MPPT tracking, the Hybrid Storage Stage (HESS), the H-Bridge Single-Phase Inverter Stage, and the Smart Thermal Closed-Loop. The entire control hierarchy is supervised in real time by the </w:t>
      </w:r>
      <w:r>
        <w:t>ESP32 module.</w:t>
      </w:r>
    </w:p>
    <w:p w:rsidR="00D13F89" w:rsidRDefault="00DD102E">
      <w:pPr>
        <w:keepNext/>
        <w:spacing w:before="240"/>
      </w:pPr>
      <w:r>
        <w:rPr>
          <w:b/>
          <w:color w:val="4A77A2"/>
          <w:sz w:val="28"/>
        </w:rPr>
        <w:t>3.1 Front-End DC-DC Boost Converter and Dual-Phase MPPT Control</w:t>
      </w:r>
    </w:p>
    <w:p w:rsidR="00D13F89" w:rsidRDefault="00DD102E">
      <w:r>
        <w:t xml:space="preserve">The raw output of the solar PV array features non-linear operational curves dictated heavily by real-time atmospheric variables like temperature and localized solar irradiance. </w:t>
      </w:r>
      <w:r>
        <w:t>To ensure maximum power tracking during both lab testing and field deployment, a two-part validation framework is deployed:</w:t>
      </w:r>
    </w:p>
    <w:p w:rsidR="00D13F89" w:rsidRDefault="00DD102E">
      <w:pPr>
        <w:keepNext/>
        <w:spacing w:before="240"/>
      </w:pPr>
      <w:r>
        <w:rPr>
          <w:b/>
          <w:i/>
          <w:color w:val="1B365D"/>
          <w:sz w:val="24"/>
        </w:rPr>
        <w:t>Phase 1: Manual Bench Calibration (Potentiometer Control)</w:t>
      </w:r>
    </w:p>
    <w:p w:rsidR="00D13F89" w:rsidRDefault="00DD102E">
      <w:r>
        <w:t>Before executing autonomous automated tracking algorithms, a precision mul</w:t>
      </w:r>
      <w:r>
        <w:t>ti-turn potentiometer interface is connected to the load/charging side of the converter system. This acts as a manual, hardware-in-the-loop variable emulator. By turning the potentiometer knob, the engineer manually alters the duty cycle or the apparent lo</w:t>
      </w:r>
      <w:r>
        <w:t>ad impedance seen by the front-end boost stage ('more load demands more potentiometer adjustment'). By tracking output multimeters and oscilloscopes during manual adjustments, the system's power curve and electrical stability boundaries are mapped safely o</w:t>
      </w:r>
      <w:r>
        <w:t>n the lab bench without risking code runaway or hardware failure.</w:t>
      </w:r>
    </w:p>
    <w:p w:rsidR="00D13F89" w:rsidRDefault="00DD102E">
      <w:pPr>
        <w:keepNext/>
        <w:spacing w:before="240"/>
      </w:pPr>
      <w:r>
        <w:rPr>
          <w:b/>
          <w:i/>
          <w:color w:val="1B365D"/>
          <w:sz w:val="24"/>
        </w:rPr>
        <w:lastRenderedPageBreak/>
        <w:t>Phase 2: Automated Digital Tracking (Perturb and Observe)</w:t>
      </w:r>
    </w:p>
    <w:p w:rsidR="00D13F89" w:rsidRDefault="00DD102E">
      <w:r>
        <w:t xml:space="preserve">Once the converter's hardware thresholds are validated via manual potentiometer staging, full system control is handed over to Core </w:t>
      </w:r>
      <w:r>
        <w:t>0 of the ESP32 microcontroller. The controller continually profiles the PV output by reading isolated voltage dividers and inline current sensors. By calculating instantaneous power changes (P = V * I) against historical measurements, the algorithm perturb</w:t>
      </w:r>
      <w:r>
        <w:t>s the switching duty cycle of the boost stage's power MOSFET. If an increase in duty cycle yields a positive delta in output power, the algorithm continues shifting in that direction; conversely, if power drops, the direction of perturbation is reversed, e</w:t>
      </w:r>
      <w:r>
        <w:t>ffectively locking the system onto the Maximum Power Point.</w:t>
      </w:r>
    </w:p>
    <w:p w:rsidR="00D13F89" w:rsidRDefault="00DD102E">
      <w:pPr>
        <w:keepNext/>
        <w:spacing w:before="240"/>
      </w:pPr>
      <w:r>
        <w:rPr>
          <w:b/>
          <w:color w:val="4A77A2"/>
          <w:sz w:val="28"/>
        </w:rPr>
        <w:t>3.2 Hybrid Energy Storage System (HESS) Frequency Decoupling</w:t>
      </w:r>
    </w:p>
    <w:p w:rsidR="00D13F89" w:rsidRDefault="00DD102E">
      <w:r>
        <w:t xml:space="preserve">The integration of the battery and supercapacitor storage element requires a dedicated bi-directional buck-boost converter topology to </w:t>
      </w:r>
      <w:r>
        <w:t>mediate power levels between the energy units and the high-voltage DC bus. This design uses a frequency-splitting control strategy to preserve the chemical lifespan of the primary battery pack:</w:t>
      </w:r>
    </w:p>
    <w:p w:rsidR="00D13F89" w:rsidRDefault="00DD102E">
      <w:pPr>
        <w:pStyle w:val="ListBullet"/>
      </w:pPr>
      <w:r>
        <w:rPr>
          <w:b/>
        </w:rPr>
        <w:t xml:space="preserve">Low-Frequency Component (Steady-State Baseline): </w:t>
      </w:r>
      <w:r>
        <w:t>The slow, per</w:t>
      </w:r>
      <w:r>
        <w:t>sistent movements of power demand—such as regular baseload lighting, continuous electronics operation, or predictable steady-state loads—are routed strictly to the chemical battery. This keeps current draw uniform and linear, preventing inner temperature b</w:t>
      </w:r>
      <w:r>
        <w:t>uild-up.</w:t>
      </w:r>
    </w:p>
    <w:p w:rsidR="00D13F89" w:rsidRDefault="00DD102E">
      <w:pPr>
        <w:pStyle w:val="ListBullet"/>
      </w:pPr>
      <w:r>
        <w:rPr>
          <w:b/>
        </w:rPr>
        <w:t xml:space="preserve">High-Frequency Component (Dynamic Transients): </w:t>
      </w:r>
      <w:r>
        <w:t>When high-current spikes or inductive inrush surges occur (e.g., motor startup), a fast-acting high-pass filter within the control logic redirects these transients to the supercapacitor bank. The supe</w:t>
      </w:r>
      <w:r>
        <w:t>rcapacitor's ultra-low internal resistance handles the rapid charge/discharge profile without experiencing structural degradation.</w:t>
      </w:r>
    </w:p>
    <w:p w:rsidR="00D13F89" w:rsidRDefault="00DD102E">
      <w:pPr>
        <w:keepNext/>
        <w:spacing w:before="240"/>
      </w:pPr>
      <w:r>
        <w:rPr>
          <w:b/>
          <w:color w:val="4A77A2"/>
          <w:sz w:val="28"/>
        </w:rPr>
        <w:t>3.3 Single-Phase H-Bridge Inverter Topology</w:t>
      </w:r>
    </w:p>
    <w:p w:rsidR="00D13F89" w:rsidRDefault="00DD102E">
      <w:r>
        <w:t>The transformation of regulated DC bus energy into a usable, utility-grade AC wav</w:t>
      </w:r>
      <w:r>
        <w:t>e profile is managed by a single-phase H-bridge configuration consisting of four discrete high-speed power switches (MOSFETs or IGBTs). The switching sequences are driven directly by specialized complementary Sinusoidal Pulse Width Modulation (SPWM) output</w:t>
      </w:r>
      <w:r>
        <w:t>s sourced natively from the ESP32's hardware LED PWM peripheral blocks.</w:t>
      </w:r>
    </w:p>
    <w:p w:rsidR="00D13F89" w:rsidRDefault="00DD102E">
      <w:r>
        <w:t xml:space="preserve">To protect against dangerous short circuits across individual legs of the bridge, the ESP32 firmware incorporates hardware dead-time insertion. This ensures that the upper switch in a </w:t>
      </w:r>
      <w:r>
        <w:t xml:space="preserve">vertical leg is completely deactivated before the lower switch is allowed to activate. The raw high-frequency AC pulse train is then passed through an appropriately rated low-pass LC filter network to remove high-frequency switching harmonics, providing a </w:t>
      </w:r>
      <w:r>
        <w:t>clean 220V, 50Hz sine wave to the single-phase terminal load.</w:t>
      </w:r>
    </w:p>
    <w:p w:rsidR="00D13F89" w:rsidRDefault="00DD102E">
      <w:pPr>
        <w:keepNext/>
        <w:spacing w:before="240"/>
      </w:pPr>
      <w:r>
        <w:rPr>
          <w:b/>
          <w:color w:val="4A77A2"/>
          <w:sz w:val="28"/>
        </w:rPr>
        <w:t>3.4 Smart Closed-Loop Cooling System</w:t>
      </w:r>
    </w:p>
    <w:p w:rsidR="00D13F89" w:rsidRDefault="00DD102E">
      <w:r>
        <w:t>Thermal accumulation inside the H-bridge enclosure decreases power conversion efficiency and accelerates component failures. To establish a self-regulating t</w:t>
      </w:r>
      <w:r>
        <w:t>hermal environment, a multi-</w:t>
      </w:r>
      <w:r>
        <w:lastRenderedPageBreak/>
        <w:t>point NTC thermistor network is attached directly onto the extruded aluminum power heatsinks. The temperature signals are captured via the ESP32's internal Analog-to-Digital Converter (ADC) channels.</w:t>
      </w:r>
    </w:p>
    <w:p w:rsidR="00D13F89" w:rsidRDefault="00DD102E">
      <w:r>
        <w:t>The embedded control softwar</w:t>
      </w:r>
      <w:r>
        <w:t>e maps these real-time thermal values to an automated variable PWM duty cycle. This signal drives a dedicated 12V high-CFM cooling fan via an isolated logic-level gate circuit, implementing a multi-tier thermal strategy:</w:t>
      </w:r>
    </w:p>
    <w:p w:rsidR="00D13F89" w:rsidRDefault="00DD102E">
      <w:pPr>
        <w:ind w:left="360"/>
      </w:pPr>
      <w:r>
        <w:rPr>
          <w:b/>
        </w:rPr>
        <w:t xml:space="preserve">1. Standby Thermal Tier (&lt; 40°C): </w:t>
      </w:r>
      <w:r>
        <w:t>T</w:t>
      </w:r>
      <w:r>
        <w:t>he cooling fan remains deactivated or ticks at its lower threshold, maintaining quiet operations and eliminating unnecessary auxiliary standby power draw.</w:t>
      </w:r>
    </w:p>
    <w:p w:rsidR="00D13F89" w:rsidRDefault="00DD102E">
      <w:pPr>
        <w:ind w:left="360"/>
      </w:pPr>
      <w:r>
        <w:rPr>
          <w:b/>
        </w:rPr>
        <w:t xml:space="preserve">2. Proportional Scaling Tier (40°C to 70°C): </w:t>
      </w:r>
      <w:r>
        <w:t>The fan speed scales continuously and proportionally wit</w:t>
      </w:r>
      <w:r>
        <w:t>h the temperature reading. As power processing climbs, thermal dissipation increases, and fan airflow automatically intensifies to match.</w:t>
      </w:r>
    </w:p>
    <w:p w:rsidR="00D13F89" w:rsidRDefault="00DD102E">
      <w:pPr>
        <w:ind w:left="360"/>
      </w:pPr>
      <w:r>
        <w:rPr>
          <w:b/>
        </w:rPr>
        <w:t xml:space="preserve">3. Peak Thermal Protection Tier (&gt; 70°C): </w:t>
      </w:r>
      <w:r>
        <w:t xml:space="preserve">The cooling fan is locked to 100% capacity to maximize convective cooling </w:t>
      </w:r>
      <w:r>
        <w:t>and prevent thermal runaway across the semiconductor junctions.</w:t>
      </w:r>
    </w:p>
    <w:p w:rsidR="00D13F89" w:rsidRDefault="00DD102E">
      <w:pPr>
        <w:keepNext/>
        <w:pBdr>
          <w:bottom w:val="single" w:sz="12" w:space="4" w:color="1B365D"/>
        </w:pBdr>
        <w:spacing w:before="240"/>
      </w:pPr>
      <w:r>
        <w:rPr>
          <w:b/>
          <w:color w:val="1B365D"/>
          <w:sz w:val="36"/>
        </w:rPr>
        <w:t>4. System Implementation Tools &amp; Bill of Materials</w:t>
      </w:r>
    </w:p>
    <w:p w:rsidR="00D13F89" w:rsidRDefault="00DD102E">
      <w:r>
        <w:t xml:space="preserve">To achieve proper convergence between simulation profiles and field deployment, the project utilizes industry-standard software modeling and </w:t>
      </w:r>
      <w:r>
        <w:t>high-grade hardware modules.</w:t>
      </w:r>
    </w:p>
    <w:p w:rsidR="00D13F89" w:rsidRDefault="00DD102E">
      <w:pPr>
        <w:keepNext/>
        <w:spacing w:before="240"/>
      </w:pPr>
      <w:r>
        <w:rPr>
          <w:b/>
          <w:color w:val="4A77A2"/>
          <w:sz w:val="28"/>
        </w:rPr>
        <w:t>4.1 Software Engineering Tools</w:t>
      </w:r>
    </w:p>
    <w:p w:rsidR="00D13F89" w:rsidRDefault="00DD102E">
      <w:r>
        <w:t>MATLAB / Simulink (Simscape Electrical): Used for modeling the complete power stage dynamics, adjusting PI control coefficients, and checking the frequency response of the HESS splitting filter un</w:t>
      </w:r>
      <w:r>
        <w:t>der dynamic steps.</w:t>
      </w:r>
    </w:p>
    <w:p w:rsidR="00D13F89" w:rsidRDefault="00DD102E">
      <w:r>
        <w:t>VS Code (PlatformIO Environment): Selected for programming the ESP32 core firmware in C++. It utilizes standard FreeRTOS task schedules to separate time-sensitive SPWM generation from secondary tasks like reading temperature values.</w:t>
      </w:r>
    </w:p>
    <w:p w:rsidR="00D13F89" w:rsidRDefault="00DD102E">
      <w:r>
        <w:t>Alti</w:t>
      </w:r>
      <w:r>
        <w:t>um Designer / KiCAD: Used for designing multi-layer power PCB copper routing, ensuring appropriate trace widths for the 1 kW capacity, and isolating logic components from high-current switching loops.</w:t>
      </w:r>
    </w:p>
    <w:p w:rsidR="00D13F89" w:rsidRDefault="00DD102E">
      <w:pPr>
        <w:keepNext/>
        <w:spacing w:before="240"/>
      </w:pPr>
      <w:r>
        <w:rPr>
          <w:b/>
          <w:color w:val="4A77A2"/>
          <w:sz w:val="28"/>
        </w:rPr>
        <w:t>4.2 Bill of Materials (BOM) Estimation</w:t>
      </w:r>
    </w:p>
    <w:tbl>
      <w:tblPr>
        <w:tblW w:w="0" w:type="auto"/>
        <w:jc w:val="center"/>
        <w:tblLayout w:type="fixed"/>
        <w:tblLook w:val="04A0" w:firstRow="1" w:lastRow="0" w:firstColumn="1" w:lastColumn="0" w:noHBand="0" w:noVBand="1"/>
      </w:tblPr>
      <w:tblGrid>
        <w:gridCol w:w="2592"/>
        <w:gridCol w:w="3168"/>
        <w:gridCol w:w="2448"/>
        <w:gridCol w:w="1152"/>
      </w:tblGrid>
      <w:tr w:rsidR="00D13F89">
        <w:trPr>
          <w:jc w:val="center"/>
        </w:trPr>
        <w:tc>
          <w:tcPr>
            <w:tcW w:w="2592" w:type="dxa"/>
            <w:shd w:val="clear" w:color="auto" w:fill="1B365D"/>
          </w:tcPr>
          <w:p w:rsidR="00D13F89" w:rsidRDefault="00DD102E">
            <w:pPr>
              <w:jc w:val="center"/>
            </w:pPr>
            <w:r>
              <w:rPr>
                <w:b/>
                <w:color w:val="FFFFFF"/>
                <w:sz w:val="20"/>
              </w:rPr>
              <w:t xml:space="preserve">Component </w:t>
            </w:r>
            <w:r>
              <w:rPr>
                <w:b/>
                <w:color w:val="FFFFFF"/>
                <w:sz w:val="20"/>
              </w:rPr>
              <w:t>Classification</w:t>
            </w:r>
          </w:p>
        </w:tc>
        <w:tc>
          <w:tcPr>
            <w:tcW w:w="3168" w:type="dxa"/>
            <w:shd w:val="clear" w:color="auto" w:fill="1B365D"/>
          </w:tcPr>
          <w:p w:rsidR="00D13F89" w:rsidRDefault="00DD102E">
            <w:pPr>
              <w:jc w:val="center"/>
            </w:pPr>
            <w:r>
              <w:rPr>
                <w:b/>
                <w:color w:val="FFFFFF"/>
                <w:sz w:val="20"/>
              </w:rPr>
              <w:t>Technical Specifications</w:t>
            </w:r>
          </w:p>
        </w:tc>
        <w:tc>
          <w:tcPr>
            <w:tcW w:w="2448" w:type="dxa"/>
            <w:shd w:val="clear" w:color="auto" w:fill="1B365D"/>
          </w:tcPr>
          <w:p w:rsidR="00D13F89" w:rsidRDefault="00DD102E">
            <w:pPr>
              <w:jc w:val="center"/>
            </w:pPr>
            <w:r>
              <w:rPr>
                <w:b/>
                <w:color w:val="FFFFFF"/>
                <w:sz w:val="20"/>
              </w:rPr>
              <w:t>Core Application</w:t>
            </w:r>
          </w:p>
        </w:tc>
        <w:tc>
          <w:tcPr>
            <w:tcW w:w="1152" w:type="dxa"/>
            <w:shd w:val="clear" w:color="auto" w:fill="1B365D"/>
          </w:tcPr>
          <w:p w:rsidR="00D13F89" w:rsidRDefault="00DD102E">
            <w:pPr>
              <w:jc w:val="center"/>
            </w:pPr>
            <w:r>
              <w:rPr>
                <w:b/>
                <w:color w:val="FFFFFF"/>
                <w:sz w:val="20"/>
              </w:rPr>
              <w:t>Estimated Qty</w:t>
            </w:r>
          </w:p>
        </w:tc>
      </w:tr>
      <w:tr w:rsidR="00D13F89">
        <w:trPr>
          <w:jc w:val="center"/>
        </w:trPr>
        <w:tc>
          <w:tcPr>
            <w:tcW w:w="2592" w:type="dxa"/>
            <w:tcBorders>
              <w:top w:val="single" w:sz="4" w:space="0" w:color="D1D5DB"/>
              <w:bottom w:val="single" w:sz="4" w:space="0" w:color="D1D5DB"/>
            </w:tcBorders>
            <w:shd w:val="clear" w:color="auto" w:fill="FFFFFF"/>
          </w:tcPr>
          <w:p w:rsidR="00D13F89" w:rsidRDefault="00DD102E">
            <w:pPr>
              <w:spacing w:before="40" w:after="40"/>
            </w:pPr>
            <w:r>
              <w:rPr>
                <w:sz w:val="19"/>
              </w:rPr>
              <w:t>Microcontroller Node</w:t>
            </w:r>
          </w:p>
        </w:tc>
        <w:tc>
          <w:tcPr>
            <w:tcW w:w="3168" w:type="dxa"/>
            <w:tcBorders>
              <w:top w:val="single" w:sz="4" w:space="0" w:color="D1D5DB"/>
              <w:bottom w:val="single" w:sz="4" w:space="0" w:color="D1D5DB"/>
            </w:tcBorders>
            <w:shd w:val="clear" w:color="auto" w:fill="FFFFFF"/>
          </w:tcPr>
          <w:p w:rsidR="00D13F89" w:rsidRDefault="00DD102E">
            <w:pPr>
              <w:spacing w:before="40" w:after="40"/>
            </w:pPr>
            <w:r>
              <w:rPr>
                <w:sz w:val="19"/>
              </w:rPr>
              <w:t>ESP32 DevKitC (Dual-Core, 240MHz, 4MB Flash)</w:t>
            </w:r>
          </w:p>
        </w:tc>
        <w:tc>
          <w:tcPr>
            <w:tcW w:w="2448" w:type="dxa"/>
            <w:tcBorders>
              <w:top w:val="single" w:sz="4" w:space="0" w:color="D1D5DB"/>
              <w:bottom w:val="single" w:sz="4" w:space="0" w:color="D1D5DB"/>
            </w:tcBorders>
            <w:shd w:val="clear" w:color="auto" w:fill="FFFFFF"/>
          </w:tcPr>
          <w:p w:rsidR="00D13F89" w:rsidRDefault="00DD102E">
            <w:pPr>
              <w:spacing w:before="40" w:after="40"/>
            </w:pPr>
            <w:r>
              <w:rPr>
                <w:sz w:val="19"/>
              </w:rPr>
              <w:t>Central SPWM generation, MPPT control, and cooling logic</w:t>
            </w:r>
          </w:p>
        </w:tc>
        <w:tc>
          <w:tcPr>
            <w:tcW w:w="1152" w:type="dxa"/>
            <w:tcBorders>
              <w:top w:val="single" w:sz="4" w:space="0" w:color="D1D5DB"/>
              <w:bottom w:val="single" w:sz="4" w:space="0" w:color="D1D5DB"/>
            </w:tcBorders>
            <w:shd w:val="clear" w:color="auto" w:fill="FFFFFF"/>
          </w:tcPr>
          <w:p w:rsidR="00D13F89" w:rsidRDefault="00DD102E">
            <w:pPr>
              <w:spacing w:before="40" w:after="40"/>
              <w:jc w:val="center"/>
            </w:pPr>
            <w:r>
              <w:rPr>
                <w:sz w:val="19"/>
              </w:rPr>
              <w:t>1 Unit</w:t>
            </w:r>
          </w:p>
        </w:tc>
      </w:tr>
      <w:tr w:rsidR="00D13F89">
        <w:trPr>
          <w:jc w:val="center"/>
        </w:trPr>
        <w:tc>
          <w:tcPr>
            <w:tcW w:w="2592" w:type="dxa"/>
            <w:tcBorders>
              <w:top w:val="single" w:sz="4" w:space="0" w:color="D1D5DB"/>
              <w:bottom w:val="single" w:sz="4" w:space="0" w:color="D1D5DB"/>
            </w:tcBorders>
            <w:shd w:val="clear" w:color="auto" w:fill="F4F6F9"/>
          </w:tcPr>
          <w:p w:rsidR="00D13F89" w:rsidRDefault="00DD102E">
            <w:pPr>
              <w:spacing w:before="40" w:after="40"/>
            </w:pPr>
            <w:r>
              <w:rPr>
                <w:sz w:val="19"/>
              </w:rPr>
              <w:t>Power Semiconductors</w:t>
            </w:r>
          </w:p>
        </w:tc>
        <w:tc>
          <w:tcPr>
            <w:tcW w:w="3168" w:type="dxa"/>
            <w:tcBorders>
              <w:top w:val="single" w:sz="4" w:space="0" w:color="D1D5DB"/>
              <w:bottom w:val="single" w:sz="4" w:space="0" w:color="D1D5DB"/>
            </w:tcBorders>
            <w:shd w:val="clear" w:color="auto" w:fill="F4F6F9"/>
          </w:tcPr>
          <w:p w:rsidR="00D13F89" w:rsidRDefault="00DD102E">
            <w:pPr>
              <w:spacing w:before="40" w:after="40"/>
            </w:pPr>
            <w:r>
              <w:rPr>
                <w:sz w:val="19"/>
              </w:rPr>
              <w:t xml:space="preserve">High-Voltage MOSFETs (e.g., </w:t>
            </w:r>
            <w:r>
              <w:rPr>
                <w:sz w:val="19"/>
              </w:rPr>
              <w:t>IRFP460, 500V, 20A)</w:t>
            </w:r>
          </w:p>
        </w:tc>
        <w:tc>
          <w:tcPr>
            <w:tcW w:w="2448" w:type="dxa"/>
            <w:tcBorders>
              <w:top w:val="single" w:sz="4" w:space="0" w:color="D1D5DB"/>
              <w:bottom w:val="single" w:sz="4" w:space="0" w:color="D1D5DB"/>
            </w:tcBorders>
            <w:shd w:val="clear" w:color="auto" w:fill="F4F6F9"/>
          </w:tcPr>
          <w:p w:rsidR="00D13F89" w:rsidRDefault="00DD102E">
            <w:pPr>
              <w:spacing w:before="40" w:after="40"/>
            </w:pPr>
            <w:r>
              <w:rPr>
                <w:sz w:val="19"/>
              </w:rPr>
              <w:t>H-Bridge bridge configuration and front-</w:t>
            </w:r>
            <w:r>
              <w:rPr>
                <w:sz w:val="19"/>
              </w:rPr>
              <w:lastRenderedPageBreak/>
              <w:t>end Boost tracking</w:t>
            </w:r>
          </w:p>
        </w:tc>
        <w:tc>
          <w:tcPr>
            <w:tcW w:w="1152" w:type="dxa"/>
            <w:tcBorders>
              <w:top w:val="single" w:sz="4" w:space="0" w:color="D1D5DB"/>
              <w:bottom w:val="single" w:sz="4" w:space="0" w:color="D1D5DB"/>
            </w:tcBorders>
            <w:shd w:val="clear" w:color="auto" w:fill="F4F6F9"/>
          </w:tcPr>
          <w:p w:rsidR="00D13F89" w:rsidRDefault="00DD102E">
            <w:pPr>
              <w:spacing w:before="40" w:after="40"/>
              <w:jc w:val="center"/>
            </w:pPr>
            <w:r>
              <w:rPr>
                <w:sz w:val="19"/>
              </w:rPr>
              <w:lastRenderedPageBreak/>
              <w:t>6 Units</w:t>
            </w:r>
          </w:p>
        </w:tc>
      </w:tr>
      <w:tr w:rsidR="00D13F89">
        <w:trPr>
          <w:jc w:val="center"/>
        </w:trPr>
        <w:tc>
          <w:tcPr>
            <w:tcW w:w="2592" w:type="dxa"/>
            <w:tcBorders>
              <w:top w:val="single" w:sz="4" w:space="0" w:color="D1D5DB"/>
              <w:bottom w:val="single" w:sz="4" w:space="0" w:color="D1D5DB"/>
            </w:tcBorders>
            <w:shd w:val="clear" w:color="auto" w:fill="FFFFFF"/>
          </w:tcPr>
          <w:p w:rsidR="00D13F89" w:rsidRDefault="00DD102E">
            <w:pPr>
              <w:spacing w:before="40" w:after="40"/>
            </w:pPr>
            <w:r>
              <w:rPr>
                <w:sz w:val="19"/>
              </w:rPr>
              <w:lastRenderedPageBreak/>
              <w:t>Manual Calibration Unit</w:t>
            </w:r>
          </w:p>
        </w:tc>
        <w:tc>
          <w:tcPr>
            <w:tcW w:w="3168" w:type="dxa"/>
            <w:tcBorders>
              <w:top w:val="single" w:sz="4" w:space="0" w:color="D1D5DB"/>
              <w:bottom w:val="single" w:sz="4" w:space="0" w:color="D1D5DB"/>
            </w:tcBorders>
            <w:shd w:val="clear" w:color="auto" w:fill="FFFFFF"/>
          </w:tcPr>
          <w:p w:rsidR="00D13F89" w:rsidRDefault="00DD102E">
            <w:pPr>
              <w:spacing w:before="40" w:after="40"/>
            </w:pPr>
            <w:r>
              <w:rPr>
                <w:sz w:val="19"/>
              </w:rPr>
              <w:t>Precision 10-turn Potentiometers (with breakout divider links)</w:t>
            </w:r>
          </w:p>
        </w:tc>
        <w:tc>
          <w:tcPr>
            <w:tcW w:w="2448" w:type="dxa"/>
            <w:tcBorders>
              <w:top w:val="single" w:sz="4" w:space="0" w:color="D1D5DB"/>
              <w:bottom w:val="single" w:sz="4" w:space="0" w:color="D1D5DB"/>
            </w:tcBorders>
            <w:shd w:val="clear" w:color="auto" w:fill="FFFFFF"/>
          </w:tcPr>
          <w:p w:rsidR="00D13F89" w:rsidRDefault="00DD102E">
            <w:pPr>
              <w:spacing w:before="40" w:after="40"/>
            </w:pPr>
            <w:r>
              <w:rPr>
                <w:sz w:val="19"/>
              </w:rPr>
              <w:t>Implements hardware-in-the-loop manual load/duty-cycle tracking steps</w:t>
            </w:r>
          </w:p>
        </w:tc>
        <w:tc>
          <w:tcPr>
            <w:tcW w:w="1152" w:type="dxa"/>
            <w:tcBorders>
              <w:top w:val="single" w:sz="4" w:space="0" w:color="D1D5DB"/>
              <w:bottom w:val="single" w:sz="4" w:space="0" w:color="D1D5DB"/>
            </w:tcBorders>
            <w:shd w:val="clear" w:color="auto" w:fill="FFFFFF"/>
          </w:tcPr>
          <w:p w:rsidR="00D13F89" w:rsidRDefault="00DD102E">
            <w:pPr>
              <w:spacing w:before="40" w:after="40"/>
              <w:jc w:val="center"/>
            </w:pPr>
            <w:r>
              <w:rPr>
                <w:sz w:val="19"/>
              </w:rPr>
              <w:t>2 Units</w:t>
            </w:r>
          </w:p>
        </w:tc>
      </w:tr>
      <w:tr w:rsidR="00D13F89">
        <w:trPr>
          <w:jc w:val="center"/>
        </w:trPr>
        <w:tc>
          <w:tcPr>
            <w:tcW w:w="2592" w:type="dxa"/>
            <w:tcBorders>
              <w:top w:val="single" w:sz="4" w:space="0" w:color="D1D5DB"/>
              <w:bottom w:val="single" w:sz="4" w:space="0" w:color="D1D5DB"/>
            </w:tcBorders>
            <w:shd w:val="clear" w:color="auto" w:fill="F4F6F9"/>
          </w:tcPr>
          <w:p w:rsidR="00D13F89" w:rsidRDefault="00DD102E">
            <w:pPr>
              <w:spacing w:before="40" w:after="40"/>
            </w:pPr>
            <w:r>
              <w:rPr>
                <w:sz w:val="19"/>
              </w:rPr>
              <w:t>Gate Driver Interface</w:t>
            </w:r>
          </w:p>
        </w:tc>
        <w:tc>
          <w:tcPr>
            <w:tcW w:w="3168" w:type="dxa"/>
            <w:tcBorders>
              <w:top w:val="single" w:sz="4" w:space="0" w:color="D1D5DB"/>
              <w:bottom w:val="single" w:sz="4" w:space="0" w:color="D1D5DB"/>
            </w:tcBorders>
            <w:shd w:val="clear" w:color="auto" w:fill="F4F6F9"/>
          </w:tcPr>
          <w:p w:rsidR="00D13F89" w:rsidRDefault="00DD102E">
            <w:pPr>
              <w:spacing w:before="40" w:after="40"/>
            </w:pPr>
            <w:r>
              <w:rPr>
                <w:sz w:val="19"/>
              </w:rPr>
              <w:t>Optocoupler Isolated Gate Drivers (e.g., TLP250 / IR2110)</w:t>
            </w:r>
          </w:p>
        </w:tc>
        <w:tc>
          <w:tcPr>
            <w:tcW w:w="2448" w:type="dxa"/>
            <w:tcBorders>
              <w:top w:val="single" w:sz="4" w:space="0" w:color="D1D5DB"/>
              <w:bottom w:val="single" w:sz="4" w:space="0" w:color="D1D5DB"/>
            </w:tcBorders>
            <w:shd w:val="clear" w:color="auto" w:fill="F4F6F9"/>
          </w:tcPr>
          <w:p w:rsidR="00D13F89" w:rsidRDefault="00DD102E">
            <w:pPr>
              <w:spacing w:before="40" w:after="40"/>
            </w:pPr>
            <w:r>
              <w:rPr>
                <w:sz w:val="19"/>
              </w:rPr>
              <w:t>Steps up 3.3V logic signals safely to 15V power gating levels</w:t>
            </w:r>
          </w:p>
        </w:tc>
        <w:tc>
          <w:tcPr>
            <w:tcW w:w="1152" w:type="dxa"/>
            <w:tcBorders>
              <w:top w:val="single" w:sz="4" w:space="0" w:color="D1D5DB"/>
              <w:bottom w:val="single" w:sz="4" w:space="0" w:color="D1D5DB"/>
            </w:tcBorders>
            <w:shd w:val="clear" w:color="auto" w:fill="F4F6F9"/>
          </w:tcPr>
          <w:p w:rsidR="00D13F89" w:rsidRDefault="00DD102E">
            <w:pPr>
              <w:spacing w:before="40" w:after="40"/>
              <w:jc w:val="center"/>
            </w:pPr>
            <w:r>
              <w:rPr>
                <w:sz w:val="19"/>
              </w:rPr>
              <w:t>4 Units</w:t>
            </w:r>
          </w:p>
        </w:tc>
      </w:tr>
      <w:tr w:rsidR="00D13F89">
        <w:trPr>
          <w:jc w:val="center"/>
        </w:trPr>
        <w:tc>
          <w:tcPr>
            <w:tcW w:w="2592" w:type="dxa"/>
            <w:tcBorders>
              <w:top w:val="single" w:sz="4" w:space="0" w:color="D1D5DB"/>
              <w:bottom w:val="single" w:sz="4" w:space="0" w:color="D1D5DB"/>
            </w:tcBorders>
            <w:shd w:val="clear" w:color="auto" w:fill="FFFFFF"/>
          </w:tcPr>
          <w:p w:rsidR="00D13F89" w:rsidRDefault="00DD102E">
            <w:pPr>
              <w:spacing w:before="40" w:after="40"/>
            </w:pPr>
            <w:r>
              <w:rPr>
                <w:sz w:val="19"/>
              </w:rPr>
              <w:t>Chemical Battery Bank</w:t>
            </w:r>
          </w:p>
        </w:tc>
        <w:tc>
          <w:tcPr>
            <w:tcW w:w="3168" w:type="dxa"/>
            <w:tcBorders>
              <w:top w:val="single" w:sz="4" w:space="0" w:color="D1D5DB"/>
              <w:bottom w:val="single" w:sz="4" w:space="0" w:color="D1D5DB"/>
            </w:tcBorders>
            <w:shd w:val="clear" w:color="auto" w:fill="FFFFFF"/>
          </w:tcPr>
          <w:p w:rsidR="00D13F89" w:rsidRDefault="00DD102E">
            <w:pPr>
              <w:spacing w:before="40" w:after="40"/>
            </w:pPr>
            <w:r>
              <w:rPr>
                <w:sz w:val="19"/>
              </w:rPr>
              <w:t>Deep-Cycle Lead-Acid / LiFePO4 Array (24V System Nominal)</w:t>
            </w:r>
          </w:p>
        </w:tc>
        <w:tc>
          <w:tcPr>
            <w:tcW w:w="2448" w:type="dxa"/>
            <w:tcBorders>
              <w:top w:val="single" w:sz="4" w:space="0" w:color="D1D5DB"/>
              <w:bottom w:val="single" w:sz="4" w:space="0" w:color="D1D5DB"/>
            </w:tcBorders>
            <w:shd w:val="clear" w:color="auto" w:fill="FFFFFF"/>
          </w:tcPr>
          <w:p w:rsidR="00D13F89" w:rsidRDefault="00DD102E">
            <w:pPr>
              <w:spacing w:before="40" w:after="40"/>
            </w:pPr>
            <w:r>
              <w:rPr>
                <w:sz w:val="19"/>
              </w:rPr>
              <w:t xml:space="preserve">Handles steady-state </w:t>
            </w:r>
            <w:r>
              <w:rPr>
                <w:sz w:val="19"/>
              </w:rPr>
              <w:t>low-frequency bulk electrical storage</w:t>
            </w:r>
          </w:p>
        </w:tc>
        <w:tc>
          <w:tcPr>
            <w:tcW w:w="1152" w:type="dxa"/>
            <w:tcBorders>
              <w:top w:val="single" w:sz="4" w:space="0" w:color="D1D5DB"/>
              <w:bottom w:val="single" w:sz="4" w:space="0" w:color="D1D5DB"/>
            </w:tcBorders>
            <w:shd w:val="clear" w:color="auto" w:fill="FFFFFF"/>
          </w:tcPr>
          <w:p w:rsidR="00D13F89" w:rsidRDefault="00DD102E">
            <w:pPr>
              <w:spacing w:before="40" w:after="40"/>
              <w:jc w:val="center"/>
            </w:pPr>
            <w:r>
              <w:rPr>
                <w:sz w:val="19"/>
              </w:rPr>
              <w:t>1 System</w:t>
            </w:r>
          </w:p>
        </w:tc>
      </w:tr>
      <w:tr w:rsidR="00D13F89">
        <w:trPr>
          <w:jc w:val="center"/>
        </w:trPr>
        <w:tc>
          <w:tcPr>
            <w:tcW w:w="2592" w:type="dxa"/>
            <w:tcBorders>
              <w:top w:val="single" w:sz="4" w:space="0" w:color="D1D5DB"/>
              <w:bottom w:val="single" w:sz="4" w:space="0" w:color="D1D5DB"/>
            </w:tcBorders>
            <w:shd w:val="clear" w:color="auto" w:fill="F4F6F9"/>
          </w:tcPr>
          <w:p w:rsidR="00D13F89" w:rsidRDefault="00DD102E">
            <w:pPr>
              <w:spacing w:before="40" w:after="40"/>
            </w:pPr>
            <w:r>
              <w:rPr>
                <w:sz w:val="19"/>
              </w:rPr>
              <w:t>Supercapacitor Bank</w:t>
            </w:r>
          </w:p>
        </w:tc>
        <w:tc>
          <w:tcPr>
            <w:tcW w:w="3168" w:type="dxa"/>
            <w:tcBorders>
              <w:top w:val="single" w:sz="4" w:space="0" w:color="D1D5DB"/>
              <w:bottom w:val="single" w:sz="4" w:space="0" w:color="D1D5DB"/>
            </w:tcBorders>
            <w:shd w:val="clear" w:color="auto" w:fill="F4F6F9"/>
          </w:tcPr>
          <w:p w:rsidR="00D13F89" w:rsidRDefault="00DD102E">
            <w:pPr>
              <w:spacing w:before="40" w:after="40"/>
            </w:pPr>
            <w:r>
              <w:rPr>
                <w:sz w:val="19"/>
              </w:rPr>
              <w:t>Electric Double-Layer Module (16V-48V, Ultra-low ESR)</w:t>
            </w:r>
          </w:p>
        </w:tc>
        <w:tc>
          <w:tcPr>
            <w:tcW w:w="2448" w:type="dxa"/>
            <w:tcBorders>
              <w:top w:val="single" w:sz="4" w:space="0" w:color="D1D5DB"/>
              <w:bottom w:val="single" w:sz="4" w:space="0" w:color="D1D5DB"/>
            </w:tcBorders>
            <w:shd w:val="clear" w:color="auto" w:fill="F4F6F9"/>
          </w:tcPr>
          <w:p w:rsidR="00D13F89" w:rsidRDefault="00DD102E">
            <w:pPr>
              <w:spacing w:before="40" w:after="40"/>
            </w:pPr>
            <w:r>
              <w:rPr>
                <w:sz w:val="19"/>
              </w:rPr>
              <w:t>Suppresses high-frequency dynamic load transients</w:t>
            </w:r>
          </w:p>
        </w:tc>
        <w:tc>
          <w:tcPr>
            <w:tcW w:w="1152" w:type="dxa"/>
            <w:tcBorders>
              <w:top w:val="single" w:sz="4" w:space="0" w:color="D1D5DB"/>
              <w:bottom w:val="single" w:sz="4" w:space="0" w:color="D1D5DB"/>
            </w:tcBorders>
            <w:shd w:val="clear" w:color="auto" w:fill="F4F6F9"/>
          </w:tcPr>
          <w:p w:rsidR="00D13F89" w:rsidRDefault="00DD102E">
            <w:pPr>
              <w:spacing w:before="40" w:after="40"/>
              <w:jc w:val="center"/>
            </w:pPr>
            <w:r>
              <w:rPr>
                <w:sz w:val="19"/>
              </w:rPr>
              <w:t>1 Module</w:t>
            </w:r>
          </w:p>
        </w:tc>
      </w:tr>
      <w:tr w:rsidR="00D13F89">
        <w:trPr>
          <w:jc w:val="center"/>
        </w:trPr>
        <w:tc>
          <w:tcPr>
            <w:tcW w:w="2592" w:type="dxa"/>
            <w:tcBorders>
              <w:top w:val="single" w:sz="4" w:space="0" w:color="D1D5DB"/>
              <w:bottom w:val="single" w:sz="4" w:space="0" w:color="D1D5DB"/>
            </w:tcBorders>
            <w:shd w:val="clear" w:color="auto" w:fill="FFFFFF"/>
          </w:tcPr>
          <w:p w:rsidR="00D13F89" w:rsidRDefault="00DD102E">
            <w:pPr>
              <w:spacing w:before="40" w:after="40"/>
            </w:pPr>
            <w:r>
              <w:rPr>
                <w:sz w:val="19"/>
              </w:rPr>
              <w:t>Thermal Subsystem</w:t>
            </w:r>
          </w:p>
        </w:tc>
        <w:tc>
          <w:tcPr>
            <w:tcW w:w="3168" w:type="dxa"/>
            <w:tcBorders>
              <w:top w:val="single" w:sz="4" w:space="0" w:color="D1D5DB"/>
              <w:bottom w:val="single" w:sz="4" w:space="0" w:color="D1D5DB"/>
            </w:tcBorders>
            <w:shd w:val="clear" w:color="auto" w:fill="FFFFFF"/>
          </w:tcPr>
          <w:p w:rsidR="00D13F89" w:rsidRDefault="00DD102E">
            <w:pPr>
              <w:spacing w:before="40" w:after="40"/>
            </w:pPr>
            <w:r>
              <w:rPr>
                <w:sz w:val="19"/>
              </w:rPr>
              <w:t>10K NTC Thermistors &amp; 12V Brushless DC High-CFM Fan</w:t>
            </w:r>
          </w:p>
        </w:tc>
        <w:tc>
          <w:tcPr>
            <w:tcW w:w="2448" w:type="dxa"/>
            <w:tcBorders>
              <w:top w:val="single" w:sz="4" w:space="0" w:color="D1D5DB"/>
              <w:bottom w:val="single" w:sz="4" w:space="0" w:color="D1D5DB"/>
            </w:tcBorders>
            <w:shd w:val="clear" w:color="auto" w:fill="FFFFFF"/>
          </w:tcPr>
          <w:p w:rsidR="00D13F89" w:rsidRDefault="00DD102E">
            <w:pPr>
              <w:spacing w:before="40" w:after="40"/>
            </w:pPr>
            <w:r>
              <w:rPr>
                <w:sz w:val="19"/>
              </w:rPr>
              <w:t>Monitors heatsink profiles and provides forced-air cooling</w:t>
            </w:r>
          </w:p>
        </w:tc>
        <w:tc>
          <w:tcPr>
            <w:tcW w:w="1152" w:type="dxa"/>
            <w:tcBorders>
              <w:top w:val="single" w:sz="4" w:space="0" w:color="D1D5DB"/>
              <w:bottom w:val="single" w:sz="4" w:space="0" w:color="D1D5DB"/>
            </w:tcBorders>
            <w:shd w:val="clear" w:color="auto" w:fill="FFFFFF"/>
          </w:tcPr>
          <w:p w:rsidR="00D13F89" w:rsidRDefault="00DD102E">
            <w:pPr>
              <w:spacing w:before="40" w:after="40"/>
              <w:jc w:val="center"/>
            </w:pPr>
            <w:r>
              <w:rPr>
                <w:sz w:val="19"/>
              </w:rPr>
              <w:t>1 Set</w:t>
            </w:r>
          </w:p>
        </w:tc>
      </w:tr>
      <w:tr w:rsidR="00D13F89">
        <w:trPr>
          <w:jc w:val="center"/>
        </w:trPr>
        <w:tc>
          <w:tcPr>
            <w:tcW w:w="2592" w:type="dxa"/>
            <w:tcBorders>
              <w:top w:val="single" w:sz="4" w:space="0" w:color="D1D5DB"/>
              <w:bottom w:val="single" w:sz="4" w:space="0" w:color="D1D5DB"/>
            </w:tcBorders>
            <w:shd w:val="clear" w:color="auto" w:fill="F4F6F9"/>
          </w:tcPr>
          <w:p w:rsidR="00D13F89" w:rsidRDefault="00DD102E">
            <w:pPr>
              <w:spacing w:before="40" w:after="40"/>
            </w:pPr>
            <w:r>
              <w:rPr>
                <w:sz w:val="19"/>
              </w:rPr>
              <w:t>Passive Filtering Components</w:t>
            </w:r>
          </w:p>
        </w:tc>
        <w:tc>
          <w:tcPr>
            <w:tcW w:w="3168" w:type="dxa"/>
            <w:tcBorders>
              <w:top w:val="single" w:sz="4" w:space="0" w:color="D1D5DB"/>
              <w:bottom w:val="single" w:sz="4" w:space="0" w:color="D1D5DB"/>
            </w:tcBorders>
            <w:shd w:val="clear" w:color="auto" w:fill="F4F6F9"/>
          </w:tcPr>
          <w:p w:rsidR="00D13F89" w:rsidRDefault="00DD102E">
            <w:pPr>
              <w:spacing w:before="40" w:after="40"/>
            </w:pPr>
            <w:r>
              <w:rPr>
                <w:sz w:val="19"/>
              </w:rPr>
              <w:t>High-Current Iron Powder Toroidal Inductors &amp; Film Capacitors</w:t>
            </w:r>
          </w:p>
        </w:tc>
        <w:tc>
          <w:tcPr>
            <w:tcW w:w="2448" w:type="dxa"/>
            <w:tcBorders>
              <w:top w:val="single" w:sz="4" w:space="0" w:color="D1D5DB"/>
              <w:bottom w:val="single" w:sz="4" w:space="0" w:color="D1D5DB"/>
            </w:tcBorders>
            <w:shd w:val="clear" w:color="auto" w:fill="F4F6F9"/>
          </w:tcPr>
          <w:p w:rsidR="00D13F89" w:rsidRDefault="00DD102E">
            <w:pPr>
              <w:spacing w:before="40" w:after="40"/>
            </w:pPr>
            <w:r>
              <w:rPr>
                <w:sz w:val="19"/>
              </w:rPr>
              <w:t>LC Output filtering to construct a pure 50Hz sine wave</w:t>
            </w:r>
          </w:p>
        </w:tc>
        <w:tc>
          <w:tcPr>
            <w:tcW w:w="1152" w:type="dxa"/>
            <w:tcBorders>
              <w:top w:val="single" w:sz="4" w:space="0" w:color="D1D5DB"/>
              <w:bottom w:val="single" w:sz="4" w:space="0" w:color="D1D5DB"/>
            </w:tcBorders>
            <w:shd w:val="clear" w:color="auto" w:fill="F4F6F9"/>
          </w:tcPr>
          <w:p w:rsidR="00D13F89" w:rsidRDefault="00DD102E">
            <w:pPr>
              <w:spacing w:before="40" w:after="40"/>
              <w:jc w:val="center"/>
            </w:pPr>
            <w:r>
              <w:rPr>
                <w:sz w:val="19"/>
              </w:rPr>
              <w:t>1 Set</w:t>
            </w:r>
          </w:p>
        </w:tc>
      </w:tr>
    </w:tbl>
    <w:p w:rsidR="00D13F89" w:rsidRDefault="00D13F89"/>
    <w:p w:rsidR="00D13F89" w:rsidRDefault="00DD102E">
      <w:pPr>
        <w:keepNext/>
        <w:pBdr>
          <w:bottom w:val="single" w:sz="12" w:space="4" w:color="1B365D"/>
        </w:pBdr>
        <w:spacing w:before="240"/>
      </w:pPr>
      <w:r>
        <w:rPr>
          <w:b/>
          <w:color w:val="1B365D"/>
          <w:sz w:val="36"/>
        </w:rPr>
        <w:t>5. Expected Project Deliverables</w:t>
      </w:r>
    </w:p>
    <w:p w:rsidR="00D13F89" w:rsidRDefault="00DD102E">
      <w:pPr>
        <w:pStyle w:val="ListBullet"/>
        <w:spacing w:after="80"/>
      </w:pPr>
      <w:r>
        <w:rPr>
          <w:b/>
          <w:color w:val="1B365D"/>
        </w:rPr>
        <w:t xml:space="preserve">Validated MATLAB/Simulink Workspace: </w:t>
      </w:r>
      <w:r>
        <w:t>A comprehensive simulation model containing the detailed multi-source configuration. This model will demonstrate clean frequency-splitting performance, with visual plots showing the supercapacitor absorbing current step</w:t>
      </w:r>
      <w:r>
        <w:t>s during sudden 1 kW changes while the battery's current profile remains smooth.</w:t>
      </w:r>
    </w:p>
    <w:p w:rsidR="00D13F89" w:rsidRDefault="00DD102E">
      <w:pPr>
        <w:pStyle w:val="ListBullet"/>
        <w:spacing w:after="80"/>
      </w:pPr>
      <w:r>
        <w:rPr>
          <w:b/>
          <w:color w:val="1B365D"/>
        </w:rPr>
        <w:t xml:space="preserve">Production-Ready ESP32 Firmware: </w:t>
      </w:r>
      <w:r>
        <w:t>A structured C++ firmware codebase designed for the PlatformIO ecosystem. It features functional FreeRTOS tasks that successfully separate hig</w:t>
      </w:r>
      <w:r>
        <w:t>h-speed SPWM complement tracking, manual analog potentiometer input mappings, real-time P&amp;O MPPT modifications, and closed-loop proportional thermal fan monitoring.</w:t>
      </w:r>
    </w:p>
    <w:p w:rsidR="00D13F89" w:rsidRDefault="00DD102E">
      <w:pPr>
        <w:pStyle w:val="ListBullet"/>
        <w:spacing w:after="80"/>
      </w:pPr>
      <w:r>
        <w:rPr>
          <w:b/>
          <w:color w:val="1B365D"/>
        </w:rPr>
        <w:t xml:space="preserve">Physical 1 kW Inverter Prototype: </w:t>
      </w:r>
      <w:r>
        <w:t>A bench-tested, hardware-validated inverter setup built a</w:t>
      </w:r>
      <w:r>
        <w:t>round the ESP32. It will demonstrate operational solar tracking, manual testing compatibility using potentiometer control links, active transient energy buffering via the supercapacitor, and variable, temperature-dependent cooling fan response under varyin</w:t>
      </w:r>
      <w:r>
        <w:t>g single-phase electrical loads.</w:t>
      </w:r>
    </w:p>
    <w:sectPr w:rsidR="00D13F8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D13F89"/>
    <w:rsid w:val="00DD102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72F80FB4-31EC-46DA-89C0-99474D836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pPr>
    <w:rPr>
      <w:rFonts w:ascii="Arial" w:hAnsi="Arial"/>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2D3179-9468-4001-B2D2-DBD2B7526A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1909</Words>
  <Characters>10884</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12768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2013-12-23T23:15:00Z</dcterms:created>
  <dcterms:modified xsi:type="dcterms:W3CDTF">2026-06-05T19:10:00Z</dcterms:modified>
  <cp:category/>
</cp:coreProperties>
</file>