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84D30" w14:textId="77777777" w:rsidR="002F7977" w:rsidRPr="004F14F1" w:rsidRDefault="006573AD" w:rsidP="004F14F1">
      <w:pPr>
        <w:pStyle w:val="Heading1"/>
        <w:jc w:val="center"/>
        <w:rPr>
          <w:b w:val="0"/>
          <w:color w:val="2F5496" w:themeColor="accent1" w:themeShade="BF"/>
          <w:sz w:val="36"/>
        </w:rPr>
      </w:pPr>
      <w:bookmarkStart w:id="0" w:name="_Hlk496277998"/>
      <w:bookmarkEnd w:id="0"/>
      <w:r>
        <w:rPr>
          <w:b w:val="0"/>
          <w:noProof/>
          <w:color w:val="2F5496" w:themeColor="accent1" w:themeShade="BF"/>
          <w:sz w:val="36"/>
        </w:rPr>
        <w:drawing>
          <wp:anchor distT="0" distB="0" distL="114300" distR="114300" simplePos="0" relativeHeight="251709440" behindDoc="0" locked="0" layoutInCell="1" allowOverlap="1" wp14:anchorId="6A230224" wp14:editId="2D290DB5">
            <wp:simplePos x="0" y="0"/>
            <wp:positionH relativeFrom="column">
              <wp:posOffset>-933450</wp:posOffset>
            </wp:positionH>
            <wp:positionV relativeFrom="paragraph">
              <wp:posOffset>-594360</wp:posOffset>
            </wp:positionV>
            <wp:extent cx="7579360" cy="10356215"/>
            <wp:effectExtent l="0" t="0" r="0" b="0"/>
            <wp:wrapSquare wrapText="bothSides"/>
            <wp:docPr id="5" name="图片 5" descr="Macintosh HD:Users:imac:Desktop:日常工作:季刊:2017二季度: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mac:Desktop:日常工作:季刊:2017二季度:封面.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9360" cy="1035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D89C3" w14:textId="77777777" w:rsidR="00B068FD" w:rsidRDefault="00B068FD" w:rsidP="00BB79E0">
      <w:pPr>
        <w:spacing w:line="400" w:lineRule="exact"/>
        <w:ind w:leftChars="800" w:left="1680"/>
        <w:rPr>
          <w:rFonts w:ascii="微软雅黑" w:eastAsia="微软雅黑" w:hAnsi="微软雅黑"/>
          <w:color w:val="182B87"/>
          <w:sz w:val="32"/>
          <w:szCs w:val="32"/>
        </w:rPr>
      </w:pPr>
    </w:p>
    <w:p w14:paraId="42B5FC8F" w14:textId="3A3EA85D" w:rsidR="00AB55AF" w:rsidRPr="00085E14" w:rsidRDefault="00A62CEB" w:rsidP="00455400">
      <w:pPr>
        <w:rPr>
          <w:rFonts w:ascii="微软雅黑" w:eastAsia="微软雅黑" w:hAnsi="微软雅黑"/>
          <w:color w:val="182B87"/>
          <w:sz w:val="32"/>
          <w:szCs w:val="32"/>
        </w:rPr>
      </w:pPr>
      <w:r w:rsidRPr="002F7977">
        <w:rPr>
          <w:rFonts w:ascii="微软雅黑" w:eastAsia="微软雅黑" w:hAnsi="微软雅黑" w:hint="eastAsia"/>
          <w:color w:val="182B87"/>
          <w:sz w:val="32"/>
          <w:szCs w:val="32"/>
        </w:rPr>
        <w:t>一、</w:t>
      </w:r>
      <w:r w:rsidRPr="002F7977">
        <w:rPr>
          <w:rFonts w:ascii="微软雅黑" w:eastAsia="微软雅黑" w:hAnsi="微软雅黑"/>
          <w:color w:val="182B87"/>
          <w:sz w:val="32"/>
          <w:szCs w:val="32"/>
        </w:rPr>
        <w:softHyphen/>
      </w:r>
      <w:r w:rsidR="00455400">
        <w:rPr>
          <w:rFonts w:ascii="微软雅黑" w:eastAsia="微软雅黑" w:hAnsi="微软雅黑" w:hint="eastAsia"/>
          <w:color w:val="182B87"/>
          <w:sz w:val="32"/>
          <w:szCs w:val="32"/>
        </w:rPr>
        <w:t>三</w:t>
      </w:r>
      <w:r w:rsidR="00255D72" w:rsidRPr="00600543">
        <w:rPr>
          <w:rFonts w:ascii="微软雅黑" w:eastAsia="微软雅黑" w:hAnsi="微软雅黑" w:hint="eastAsia"/>
          <w:color w:val="182B87"/>
          <w:sz w:val="32"/>
          <w:szCs w:val="32"/>
        </w:rPr>
        <w:t>季度</w:t>
      </w:r>
      <w:r w:rsidR="00C72132" w:rsidRPr="002F7977">
        <w:rPr>
          <w:rFonts w:ascii="微软雅黑" w:eastAsia="微软雅黑" w:hAnsi="微软雅黑" w:hint="eastAsia"/>
          <w:color w:val="182B87"/>
          <w:sz w:val="32"/>
          <w:szCs w:val="32"/>
        </w:rPr>
        <w:t>策略</w:t>
      </w:r>
      <w:r w:rsidR="00394AD0" w:rsidRPr="002F7977">
        <w:rPr>
          <w:rFonts w:ascii="微软雅黑" w:eastAsia="微软雅黑" w:hAnsi="微软雅黑" w:hint="eastAsia"/>
          <w:color w:val="182B87"/>
          <w:sz w:val="32"/>
          <w:szCs w:val="32"/>
        </w:rPr>
        <w:t>表现</w:t>
      </w:r>
      <w:r w:rsidR="00C72132" w:rsidRPr="002F7977">
        <w:rPr>
          <w:rFonts w:ascii="微软雅黑" w:eastAsia="微软雅黑" w:hAnsi="微软雅黑" w:hint="eastAsia"/>
          <w:color w:val="182B87"/>
          <w:sz w:val="32"/>
          <w:szCs w:val="32"/>
        </w:rPr>
        <w:t>回顾</w:t>
      </w:r>
    </w:p>
    <w:p w14:paraId="5AA6D6C9" w14:textId="4D348A9B" w:rsidR="004C00B7" w:rsidRPr="00255D72" w:rsidRDefault="002B1214" w:rsidP="00D0180A">
      <w:pPr>
        <w:spacing w:beforeLines="50" w:before="156" w:line="400" w:lineRule="exact"/>
        <w:ind w:firstLineChars="200" w:firstLine="440"/>
        <w:rPr>
          <w:rFonts w:ascii="微软雅黑" w:eastAsia="微软雅黑" w:hAnsi="微软雅黑"/>
          <w:sz w:val="22"/>
        </w:rPr>
      </w:pPr>
      <w:r>
        <w:rPr>
          <w:rFonts w:ascii="微软雅黑" w:eastAsia="微软雅黑" w:hAnsi="微软雅黑" w:hint="eastAsia"/>
          <w:sz w:val="22"/>
        </w:rPr>
        <w:t>2017年</w:t>
      </w:r>
      <w:r w:rsidRPr="002B1214">
        <w:rPr>
          <w:rFonts w:ascii="微软雅黑" w:eastAsia="微软雅黑" w:hAnsi="微软雅黑" w:hint="eastAsia"/>
          <w:sz w:val="22"/>
        </w:rPr>
        <w:t>三季度</w:t>
      </w:r>
      <w:r w:rsidRPr="002B1214">
        <w:rPr>
          <w:rFonts w:ascii="微软雅黑" w:eastAsia="微软雅黑" w:hAnsi="微软雅黑"/>
          <w:sz w:val="22"/>
        </w:rPr>
        <w:t>GDP增速同比小幅回落至6.8%，经济增长乏力主要体现在投资增速的下滑，其中民间投资、制造业投资和农林牧渔业投资增速均有所回落。9月基建投资季末发力再现，当月增速达15.7%，带动三季度基建投资同比增长15.9%，在房地产下行压力逐渐显现时，基建投资仍将为经济托底。整体来看，我国经济仍处于结构转型、动能切换的过程中，边际下行趋势未改，但经济增长不乏亮点，其中消费表现稳定且占比走高，同时第三产业同比增速明显高于整体GDP增速。</w:t>
      </w:r>
    </w:p>
    <w:p w14:paraId="5BE844E3" w14:textId="2C001103" w:rsidR="00455400" w:rsidRPr="00455400" w:rsidRDefault="00817EA3" w:rsidP="00D0180A">
      <w:pPr>
        <w:spacing w:beforeLines="50" w:before="156" w:line="400" w:lineRule="exact"/>
        <w:ind w:firstLineChars="200" w:firstLine="440"/>
        <w:rPr>
          <w:rFonts w:ascii="微软雅黑" w:eastAsia="微软雅黑" w:hAnsi="微软雅黑"/>
          <w:sz w:val="22"/>
        </w:rPr>
      </w:pPr>
      <w:r w:rsidRPr="00817EA3">
        <w:rPr>
          <w:rFonts w:ascii="微软雅黑" w:eastAsia="微软雅黑" w:hAnsi="微软雅黑"/>
          <w:sz w:val="22"/>
        </w:rPr>
        <w:t>2017年三季度，股票多头策略完整公布业绩数据的</w:t>
      </w:r>
      <w:r w:rsidR="008A0D73">
        <w:rPr>
          <w:rFonts w:ascii="微软雅黑" w:eastAsia="微软雅黑" w:hAnsi="微软雅黑" w:hint="eastAsia"/>
          <w:sz w:val="22"/>
        </w:rPr>
        <w:t>728</w:t>
      </w:r>
      <w:r>
        <w:rPr>
          <w:rFonts w:ascii="微软雅黑" w:eastAsia="微软雅黑" w:hAnsi="微软雅黑"/>
          <w:sz w:val="22"/>
        </w:rPr>
        <w:t>家</w:t>
      </w:r>
      <w:r>
        <w:rPr>
          <w:rFonts w:ascii="微软雅黑" w:eastAsia="微软雅黑" w:hAnsi="微软雅黑" w:hint="eastAsia"/>
          <w:sz w:val="22"/>
        </w:rPr>
        <w:t>机构</w:t>
      </w:r>
      <w:r>
        <w:rPr>
          <w:rFonts w:ascii="微软雅黑" w:eastAsia="微软雅黑" w:hAnsi="微软雅黑"/>
          <w:sz w:val="22"/>
        </w:rPr>
        <w:t>中获得正收益的</w:t>
      </w:r>
      <w:r w:rsidRPr="00817EA3">
        <w:rPr>
          <w:rFonts w:ascii="微软雅黑" w:eastAsia="微软雅黑" w:hAnsi="微软雅黑"/>
          <w:sz w:val="22"/>
        </w:rPr>
        <w:t>有</w:t>
      </w:r>
      <w:r w:rsidR="008A0D73">
        <w:rPr>
          <w:rFonts w:ascii="微软雅黑" w:eastAsia="微软雅黑" w:hAnsi="微软雅黑" w:hint="eastAsia"/>
          <w:sz w:val="22"/>
        </w:rPr>
        <w:t>552</w:t>
      </w:r>
      <w:r w:rsidRPr="00817EA3">
        <w:rPr>
          <w:rFonts w:ascii="微软雅黑" w:eastAsia="微软雅黑" w:hAnsi="微软雅黑"/>
          <w:sz w:val="22"/>
        </w:rPr>
        <w:t>家，收益超过</w:t>
      </w:r>
      <w:r w:rsidR="008A0D73">
        <w:rPr>
          <w:rFonts w:ascii="微软雅黑" w:eastAsia="微软雅黑" w:hAnsi="微软雅黑" w:hint="eastAsia"/>
          <w:sz w:val="22"/>
        </w:rPr>
        <w:t>1</w:t>
      </w:r>
      <w:r w:rsidRPr="00817EA3">
        <w:rPr>
          <w:rFonts w:ascii="微软雅黑" w:eastAsia="微软雅黑" w:hAnsi="微软雅黑"/>
          <w:sz w:val="22"/>
        </w:rPr>
        <w:t>%的有</w:t>
      </w:r>
      <w:r w:rsidR="008A0D73">
        <w:rPr>
          <w:rFonts w:ascii="微软雅黑" w:eastAsia="微软雅黑" w:hAnsi="微软雅黑" w:hint="eastAsia"/>
          <w:sz w:val="22"/>
        </w:rPr>
        <w:t>490</w:t>
      </w:r>
      <w:r w:rsidRPr="00817EA3">
        <w:rPr>
          <w:rFonts w:ascii="微软雅黑" w:eastAsia="微软雅黑" w:hAnsi="微软雅黑"/>
          <w:sz w:val="22"/>
        </w:rPr>
        <w:t xml:space="preserve"> 家，占比</w:t>
      </w:r>
      <w:r w:rsidR="008A0D73">
        <w:rPr>
          <w:rFonts w:ascii="微软雅黑" w:eastAsia="微软雅黑" w:hAnsi="微软雅黑" w:hint="eastAsia"/>
          <w:sz w:val="22"/>
        </w:rPr>
        <w:t>67</w:t>
      </w:r>
      <w:r w:rsidRPr="00817EA3">
        <w:rPr>
          <w:rFonts w:ascii="微软雅黑" w:eastAsia="微软雅黑" w:hAnsi="微软雅黑"/>
          <w:sz w:val="22"/>
        </w:rPr>
        <w:t>%；亏损超过-1%的有</w:t>
      </w:r>
      <w:r w:rsidR="008A0D73">
        <w:rPr>
          <w:rFonts w:ascii="微软雅黑" w:eastAsia="微软雅黑" w:hAnsi="微软雅黑" w:hint="eastAsia"/>
          <w:sz w:val="22"/>
        </w:rPr>
        <w:t>128</w:t>
      </w:r>
      <w:r w:rsidRPr="00817EA3">
        <w:rPr>
          <w:rFonts w:ascii="微软雅黑" w:eastAsia="微软雅黑" w:hAnsi="微软雅黑"/>
          <w:sz w:val="22"/>
        </w:rPr>
        <w:t>家，占比</w:t>
      </w:r>
      <w:r w:rsidR="008A0D73">
        <w:rPr>
          <w:rFonts w:ascii="微软雅黑" w:eastAsia="微软雅黑" w:hAnsi="微软雅黑" w:hint="eastAsia"/>
          <w:sz w:val="22"/>
        </w:rPr>
        <w:t>18</w:t>
      </w:r>
      <w:r w:rsidRPr="00817EA3">
        <w:rPr>
          <w:rFonts w:ascii="微软雅黑" w:eastAsia="微软雅黑" w:hAnsi="微软雅黑"/>
          <w:sz w:val="22"/>
        </w:rPr>
        <w:t>%</w:t>
      </w:r>
      <w:r w:rsidR="00455400">
        <w:rPr>
          <w:rFonts w:ascii="微软雅黑" w:eastAsia="微软雅黑" w:hAnsi="微软雅黑" w:hint="eastAsia"/>
          <w:sz w:val="22"/>
        </w:rPr>
        <w:t>，整体表现比较好</w:t>
      </w:r>
      <w:r w:rsidR="00455400" w:rsidRPr="00455400">
        <w:rPr>
          <w:rFonts w:ascii="微软雅黑" w:eastAsia="微软雅黑" w:hAnsi="微软雅黑"/>
          <w:sz w:val="22"/>
        </w:rPr>
        <w:t>。我</w:t>
      </w:r>
      <w:r w:rsidR="00D652A4">
        <w:rPr>
          <w:rFonts w:ascii="微软雅黑" w:eastAsia="微软雅黑" w:hAnsi="微软雅黑"/>
          <w:sz w:val="22"/>
        </w:rPr>
        <w:t>们依然看好供给</w:t>
      </w:r>
      <w:proofErr w:type="gramStart"/>
      <w:r w:rsidR="00D652A4">
        <w:rPr>
          <w:rFonts w:ascii="微软雅黑" w:eastAsia="微软雅黑" w:hAnsi="微软雅黑"/>
          <w:sz w:val="22"/>
        </w:rPr>
        <w:t>侧改革</w:t>
      </w:r>
      <w:proofErr w:type="gramEnd"/>
      <w:r w:rsidR="00D652A4">
        <w:rPr>
          <w:rFonts w:ascii="微软雅黑" w:eastAsia="微软雅黑" w:hAnsi="微软雅黑"/>
          <w:sz w:val="22"/>
        </w:rPr>
        <w:t>和经济转型对中国经济的正面影响，国有企业</w:t>
      </w:r>
      <w:r w:rsidR="00D652A4">
        <w:rPr>
          <w:rFonts w:ascii="微软雅黑" w:eastAsia="微软雅黑" w:hAnsi="微软雅黑" w:hint="eastAsia"/>
          <w:sz w:val="22"/>
        </w:rPr>
        <w:t>部门</w:t>
      </w:r>
      <w:r w:rsidR="00455400" w:rsidRPr="00455400">
        <w:rPr>
          <w:rFonts w:ascii="微软雅黑" w:eastAsia="微软雅黑" w:hAnsi="微软雅黑"/>
          <w:sz w:val="22"/>
        </w:rPr>
        <w:t>的资产负债表持续改善，经济韧性十足，短期的调整都是加仓的好时机</w:t>
      </w:r>
      <w:r w:rsidR="00455400">
        <w:rPr>
          <w:rFonts w:ascii="微软雅黑" w:eastAsia="微软雅黑" w:hAnsi="微软雅黑" w:hint="eastAsia"/>
          <w:sz w:val="22"/>
        </w:rPr>
        <w:t>。</w:t>
      </w:r>
    </w:p>
    <w:p w14:paraId="544A9677" w14:textId="2FE295DD" w:rsidR="00455400" w:rsidRPr="00455400" w:rsidRDefault="00424412" w:rsidP="00D0180A">
      <w:pPr>
        <w:spacing w:beforeLines="50" w:before="156" w:line="400" w:lineRule="exact"/>
        <w:ind w:firstLineChars="200" w:firstLine="440"/>
        <w:rPr>
          <w:rFonts w:ascii="微软雅黑" w:eastAsia="微软雅黑" w:hAnsi="微软雅黑"/>
          <w:sz w:val="22"/>
        </w:rPr>
      </w:pPr>
      <w:r w:rsidRPr="00424412">
        <w:rPr>
          <w:rFonts w:ascii="微软雅黑" w:eastAsia="微软雅黑" w:hAnsi="微软雅黑" w:hint="eastAsia"/>
          <w:sz w:val="22"/>
        </w:rPr>
        <w:t>股票中性策略基金完整公布业绩数据的</w:t>
      </w:r>
      <w:r w:rsidRPr="00424412">
        <w:rPr>
          <w:rFonts w:ascii="微软雅黑" w:eastAsia="微软雅黑" w:hAnsi="微软雅黑"/>
          <w:sz w:val="22"/>
        </w:rPr>
        <w:t>19家</w:t>
      </w:r>
      <w:r w:rsidR="00817EA3">
        <w:rPr>
          <w:rFonts w:ascii="微软雅黑" w:eastAsia="微软雅黑" w:hAnsi="微软雅黑" w:hint="eastAsia"/>
          <w:sz w:val="22"/>
        </w:rPr>
        <w:t>机构</w:t>
      </w:r>
      <w:r w:rsidRPr="00424412">
        <w:rPr>
          <w:rFonts w:ascii="微软雅黑" w:eastAsia="微软雅黑" w:hAnsi="微软雅黑"/>
          <w:sz w:val="22"/>
        </w:rPr>
        <w:t>中获得正收益的私募基金有12家，占比63%，收益超过1%的私募基金有8家，占比42%，亏损超过-1%的有3 家，占比16%。</w:t>
      </w:r>
      <w:r w:rsidR="00455400" w:rsidRPr="00455400">
        <w:rPr>
          <w:rFonts w:ascii="微软雅黑" w:eastAsia="微软雅黑" w:hAnsi="微软雅黑"/>
          <w:sz w:val="22"/>
        </w:rPr>
        <w:t>我们预期第四季度阿尔法策略可能表现稍弱于第三季度，部分典型选股因子可能表现出现回落</w:t>
      </w:r>
      <w:r w:rsidR="00455400">
        <w:rPr>
          <w:rFonts w:ascii="微软雅黑" w:eastAsia="微软雅黑" w:hAnsi="微软雅黑" w:hint="eastAsia"/>
          <w:sz w:val="22"/>
        </w:rPr>
        <w:t>。</w:t>
      </w:r>
    </w:p>
    <w:p w14:paraId="05DC6D25" w14:textId="0BB88644" w:rsidR="00455400" w:rsidRPr="00455400" w:rsidRDefault="00424412" w:rsidP="00D0180A">
      <w:pPr>
        <w:spacing w:beforeLines="50" w:before="156" w:line="400" w:lineRule="exact"/>
        <w:ind w:firstLineChars="200" w:firstLine="440"/>
        <w:rPr>
          <w:rFonts w:ascii="微软雅黑" w:eastAsia="微软雅黑" w:hAnsi="微软雅黑"/>
          <w:sz w:val="22"/>
        </w:rPr>
      </w:pPr>
      <w:r w:rsidRPr="00424412">
        <w:rPr>
          <w:rFonts w:ascii="微软雅黑" w:eastAsia="微软雅黑" w:hAnsi="微软雅黑"/>
          <w:sz w:val="22"/>
        </w:rPr>
        <w:t>CTA策略完整公布业绩数据的41家</w:t>
      </w:r>
      <w:r w:rsidR="00817EA3">
        <w:rPr>
          <w:rFonts w:ascii="微软雅黑" w:eastAsia="微软雅黑" w:hAnsi="微软雅黑" w:hint="eastAsia"/>
          <w:sz w:val="22"/>
        </w:rPr>
        <w:t>机构</w:t>
      </w:r>
      <w:r w:rsidRPr="00424412">
        <w:rPr>
          <w:rFonts w:ascii="微软雅黑" w:eastAsia="微软雅黑" w:hAnsi="微软雅黑"/>
          <w:sz w:val="22"/>
        </w:rPr>
        <w:t>中获得正收益的有29 家，占比71%，收益超过1%的产品有25 家，占比61%，亏损超过-1%的有9家，占比22%。</w:t>
      </w:r>
      <w:r w:rsidR="00455400" w:rsidRPr="00455400">
        <w:rPr>
          <w:rFonts w:ascii="微软雅黑" w:eastAsia="微软雅黑" w:hAnsi="微软雅黑"/>
          <w:sz w:val="22"/>
        </w:rPr>
        <w:t>黑色</w:t>
      </w:r>
      <w:proofErr w:type="gramStart"/>
      <w:r w:rsidR="00455400" w:rsidRPr="00455400">
        <w:rPr>
          <w:rFonts w:ascii="微软雅黑" w:eastAsia="微软雅黑" w:hAnsi="微软雅黑"/>
          <w:sz w:val="22"/>
        </w:rPr>
        <w:t>系板块供给侧改革</w:t>
      </w:r>
      <w:proofErr w:type="gramEnd"/>
      <w:r w:rsidR="00455400" w:rsidRPr="00455400">
        <w:rPr>
          <w:rFonts w:ascii="微软雅黑" w:eastAsia="微软雅黑" w:hAnsi="微软雅黑"/>
          <w:sz w:val="22"/>
        </w:rPr>
        <w:t>和</w:t>
      </w:r>
      <w:r w:rsidR="00455400">
        <w:rPr>
          <w:rFonts w:ascii="微软雅黑" w:eastAsia="微软雅黑" w:hAnsi="微软雅黑"/>
          <w:sz w:val="22"/>
        </w:rPr>
        <w:t>环保限产</w:t>
      </w:r>
      <w:r w:rsidR="00455400">
        <w:rPr>
          <w:rFonts w:ascii="微软雅黑" w:eastAsia="微软雅黑" w:hAnsi="微软雅黑" w:hint="eastAsia"/>
          <w:sz w:val="22"/>
        </w:rPr>
        <w:t>的</w:t>
      </w:r>
      <w:r w:rsidR="00E3185A">
        <w:rPr>
          <w:rFonts w:ascii="微软雅黑" w:eastAsia="微软雅黑" w:hAnsi="微软雅黑" w:hint="eastAsia"/>
          <w:sz w:val="22"/>
        </w:rPr>
        <w:t>因素还在发酵</w:t>
      </w:r>
      <w:r w:rsidR="00455400">
        <w:rPr>
          <w:rFonts w:ascii="微软雅黑" w:eastAsia="微软雅黑" w:hAnsi="微软雅黑"/>
          <w:sz w:val="22"/>
        </w:rPr>
        <w:t>，四季度商品市场有较好的交易机会</w:t>
      </w:r>
      <w:r w:rsidR="00455400" w:rsidRPr="00455400">
        <w:rPr>
          <w:rFonts w:ascii="微软雅黑" w:eastAsia="微软雅黑" w:hAnsi="微软雅黑"/>
          <w:sz w:val="22"/>
        </w:rPr>
        <w:t>。</w:t>
      </w:r>
    </w:p>
    <w:p w14:paraId="512471CF" w14:textId="2413FEFC" w:rsidR="00455400" w:rsidRPr="00455400" w:rsidRDefault="00817EA3" w:rsidP="0038141B">
      <w:pPr>
        <w:spacing w:beforeLines="50" w:before="156" w:line="400" w:lineRule="exact"/>
        <w:ind w:firstLineChars="200" w:firstLine="440"/>
        <w:jc w:val="left"/>
        <w:rPr>
          <w:rFonts w:ascii="微软雅黑" w:eastAsia="微软雅黑" w:hAnsi="微软雅黑"/>
          <w:sz w:val="22"/>
        </w:rPr>
      </w:pPr>
      <w:r>
        <w:rPr>
          <w:rFonts w:ascii="微软雅黑" w:eastAsia="微软雅黑" w:hAnsi="微软雅黑" w:hint="eastAsia"/>
          <w:sz w:val="22"/>
        </w:rPr>
        <w:t>套利策略</w:t>
      </w:r>
      <w:r w:rsidR="00424412" w:rsidRPr="00424412">
        <w:rPr>
          <w:rFonts w:ascii="微软雅黑" w:eastAsia="微软雅黑" w:hAnsi="微软雅黑" w:hint="eastAsia"/>
          <w:sz w:val="22"/>
        </w:rPr>
        <w:t>完整公布业绩数据的</w:t>
      </w:r>
      <w:r w:rsidR="00424412" w:rsidRPr="00424412">
        <w:rPr>
          <w:rFonts w:ascii="微软雅黑" w:eastAsia="微软雅黑" w:hAnsi="微软雅黑"/>
          <w:sz w:val="22"/>
        </w:rPr>
        <w:t>1</w:t>
      </w:r>
      <w:r w:rsidR="008A0D73">
        <w:rPr>
          <w:rFonts w:ascii="微软雅黑" w:eastAsia="微软雅黑" w:hAnsi="微软雅黑" w:hint="eastAsia"/>
          <w:sz w:val="22"/>
        </w:rPr>
        <w:t>4</w:t>
      </w:r>
      <w:r w:rsidR="00424412" w:rsidRPr="00424412">
        <w:rPr>
          <w:rFonts w:ascii="微软雅黑" w:eastAsia="微软雅黑" w:hAnsi="微软雅黑"/>
          <w:sz w:val="22"/>
        </w:rPr>
        <w:t>家</w:t>
      </w:r>
      <w:r>
        <w:rPr>
          <w:rFonts w:ascii="微软雅黑" w:eastAsia="微软雅黑" w:hAnsi="微软雅黑" w:hint="eastAsia"/>
          <w:sz w:val="22"/>
        </w:rPr>
        <w:t>机构</w:t>
      </w:r>
      <w:r w:rsidR="00424412" w:rsidRPr="00424412">
        <w:rPr>
          <w:rFonts w:ascii="微软雅黑" w:eastAsia="微软雅黑" w:hAnsi="微软雅黑"/>
          <w:sz w:val="22"/>
        </w:rPr>
        <w:t>中获得正收益的产品有9家，占比60%，收益超过1%的产品有8家，占比53%，</w:t>
      </w:r>
      <w:r w:rsidR="005D0989">
        <w:rPr>
          <w:rFonts w:ascii="微软雅黑" w:eastAsia="微软雅黑" w:hAnsi="微软雅黑" w:hint="eastAsia"/>
          <w:sz w:val="22"/>
          <w:szCs w:val="28"/>
        </w:rPr>
        <w:t>没有</w:t>
      </w:r>
      <w:r w:rsidR="005D0989" w:rsidRPr="00B70C33">
        <w:rPr>
          <w:rFonts w:ascii="微软雅黑" w:eastAsia="微软雅黑" w:hAnsi="微软雅黑" w:hint="eastAsia"/>
          <w:sz w:val="22"/>
          <w:szCs w:val="28"/>
        </w:rPr>
        <w:t>亏损超过</w:t>
      </w:r>
      <w:r w:rsidR="005D0989">
        <w:rPr>
          <w:rFonts w:ascii="微软雅黑" w:eastAsia="微软雅黑" w:hAnsi="微软雅黑" w:hint="eastAsia"/>
          <w:sz w:val="22"/>
          <w:szCs w:val="28"/>
        </w:rPr>
        <w:t>-1%的机构</w:t>
      </w:r>
      <w:r w:rsidR="00424412" w:rsidRPr="00424412">
        <w:rPr>
          <w:rFonts w:ascii="微软雅黑" w:eastAsia="微软雅黑" w:hAnsi="微软雅黑"/>
          <w:sz w:val="22"/>
        </w:rPr>
        <w:t>。</w:t>
      </w:r>
      <w:r w:rsidR="00455400" w:rsidRPr="00455400">
        <w:rPr>
          <w:rFonts w:ascii="微软雅黑" w:eastAsia="微软雅黑" w:hAnsi="微软雅黑"/>
          <w:sz w:val="22"/>
        </w:rPr>
        <w:t>股指期货市场逐渐活跃起来，商品市场今年波动性明显大于往年，套利类策略盈利状况逐渐好转。</w:t>
      </w:r>
    </w:p>
    <w:p w14:paraId="4D64BD05" w14:textId="25472968" w:rsidR="00255D72" w:rsidRDefault="00424412" w:rsidP="00D0180A">
      <w:pPr>
        <w:spacing w:beforeLines="50" w:before="156" w:line="400" w:lineRule="exact"/>
        <w:ind w:firstLineChars="200" w:firstLine="440"/>
        <w:rPr>
          <w:rFonts w:ascii="微软雅黑" w:eastAsia="微软雅黑" w:hAnsi="微软雅黑"/>
          <w:sz w:val="22"/>
        </w:rPr>
      </w:pPr>
      <w:r w:rsidRPr="00424412">
        <w:rPr>
          <w:rFonts w:ascii="微软雅黑" w:eastAsia="微软雅黑" w:hAnsi="微软雅黑" w:hint="eastAsia"/>
          <w:sz w:val="22"/>
        </w:rPr>
        <w:t>债券策略完整公布业绩数据的</w:t>
      </w:r>
      <w:r w:rsidRPr="00424412">
        <w:rPr>
          <w:rFonts w:ascii="微软雅黑" w:eastAsia="微软雅黑" w:hAnsi="微软雅黑"/>
          <w:sz w:val="22"/>
        </w:rPr>
        <w:t>40家机构中获得正收益的机构有33家，收益超过1%的机构有23家，占比57%；亏损超过-1%的机构3家，占比8%。</w:t>
      </w:r>
      <w:r w:rsidR="00455400" w:rsidRPr="00455400">
        <w:rPr>
          <w:rFonts w:ascii="微软雅黑" w:eastAsia="微软雅黑" w:hAnsi="微软雅黑"/>
          <w:sz w:val="22"/>
        </w:rPr>
        <w:t>在目前货币政策保持稳健中性、监管逐步恢复推进、经济增速预期短期仍将存在分歧的背景下，近期债券市场反弹后，机构对后市多空分歧加大，后市仍会密切关注监管</w:t>
      </w:r>
      <w:proofErr w:type="gramStart"/>
      <w:r w:rsidR="00455400" w:rsidRPr="00455400">
        <w:rPr>
          <w:rFonts w:ascii="微软雅黑" w:eastAsia="微软雅黑" w:hAnsi="微软雅黑"/>
          <w:sz w:val="22"/>
        </w:rPr>
        <w:t>层力度</w:t>
      </w:r>
      <w:proofErr w:type="gramEnd"/>
      <w:r w:rsidR="00455400" w:rsidRPr="00455400">
        <w:rPr>
          <w:rFonts w:ascii="微软雅黑" w:eastAsia="微软雅黑" w:hAnsi="微软雅黑"/>
          <w:sz w:val="22"/>
        </w:rPr>
        <w:t>压力及货币政策收紧程度</w:t>
      </w:r>
      <w:r w:rsidR="00455400">
        <w:rPr>
          <w:rFonts w:ascii="微软雅黑" w:eastAsia="微软雅黑" w:hAnsi="微软雅黑" w:hint="eastAsia"/>
          <w:sz w:val="22"/>
        </w:rPr>
        <w:t>。</w:t>
      </w:r>
    </w:p>
    <w:p w14:paraId="4FC22AE8" w14:textId="70310CA0" w:rsidR="00455400" w:rsidRPr="00455400" w:rsidRDefault="00455400" w:rsidP="00D0180A">
      <w:pPr>
        <w:spacing w:beforeLines="50" w:before="156" w:line="400" w:lineRule="exact"/>
        <w:ind w:firstLineChars="200" w:firstLine="440"/>
        <w:rPr>
          <w:rFonts w:ascii="微软雅黑" w:eastAsia="微软雅黑" w:hAnsi="微软雅黑"/>
          <w:sz w:val="22"/>
        </w:rPr>
      </w:pPr>
      <w:r w:rsidRPr="00455400">
        <w:rPr>
          <w:rFonts w:ascii="微软雅黑" w:eastAsia="微软雅黑" w:hAnsi="微软雅黑" w:hint="eastAsia"/>
          <w:sz w:val="22"/>
        </w:rPr>
        <w:t>展望四季度，投资放缓依然是国内经济的主要下行压力，然而前三季度经济增速已达</w:t>
      </w:r>
      <w:r w:rsidRPr="00455400">
        <w:rPr>
          <w:rFonts w:ascii="微软雅黑" w:eastAsia="微软雅黑" w:hAnsi="微软雅黑"/>
          <w:sz w:val="22"/>
        </w:rPr>
        <w:t xml:space="preserve"> 6.9%，意味着年内“稳增长”压力已经不大，未来GDP增速回落能否控制在预期之内，关键是看消费需求走势，因为消费对GDP增速的贡献率已超过60%，而投资贡献率已降至三成左右，居民收入增速持续回升意味着消费需求将保持相对稳定，因此，预计经济基本面不会影响到当前货币政策的稳健取向。</w:t>
      </w:r>
    </w:p>
    <w:p w14:paraId="2CB451CB" w14:textId="77777777" w:rsidR="0097065D" w:rsidRDefault="0097065D" w:rsidP="001C6440">
      <w:pPr>
        <w:spacing w:beforeLines="50" w:before="156" w:line="400" w:lineRule="exact"/>
        <w:ind w:leftChars="800" w:left="1680" w:firstLineChars="200" w:firstLine="440"/>
        <w:rPr>
          <w:rFonts w:ascii="微软雅黑" w:eastAsia="微软雅黑" w:hAnsi="微软雅黑"/>
          <w:sz w:val="22"/>
        </w:rPr>
      </w:pPr>
    </w:p>
    <w:p w14:paraId="3811D5B6" w14:textId="72AE25C1" w:rsidR="001E41A7" w:rsidRDefault="0097065D" w:rsidP="00D21FAE">
      <w:pPr>
        <w:jc w:val="center"/>
        <w:rPr>
          <w:rFonts w:ascii="微软雅黑" w:eastAsia="微软雅黑" w:hAnsi="微软雅黑"/>
          <w:bCs/>
          <w:color w:val="182B87"/>
          <w:sz w:val="22"/>
        </w:rPr>
      </w:pPr>
      <w:r w:rsidRPr="00AB55AF">
        <w:rPr>
          <w:rFonts w:ascii="微软雅黑" w:eastAsia="微软雅黑" w:hAnsi="微软雅黑" w:hint="eastAsia"/>
          <w:bCs/>
          <w:color w:val="182B87"/>
          <w:sz w:val="22"/>
        </w:rPr>
        <w:lastRenderedPageBreak/>
        <w:t>表</w:t>
      </w:r>
      <w:r>
        <w:rPr>
          <w:rFonts w:ascii="微软雅黑" w:eastAsia="微软雅黑" w:hAnsi="微软雅黑" w:hint="eastAsia"/>
          <w:bCs/>
          <w:color w:val="182B87"/>
          <w:sz w:val="22"/>
        </w:rPr>
        <w:t>1</w:t>
      </w:r>
      <w:r w:rsidRPr="00AB55AF">
        <w:rPr>
          <w:rFonts w:ascii="微软雅黑" w:eastAsia="微软雅黑" w:hAnsi="微软雅黑" w:hint="eastAsia"/>
          <w:bCs/>
          <w:color w:val="182B87"/>
          <w:sz w:val="22"/>
        </w:rPr>
        <w:t>：</w:t>
      </w:r>
      <w:r w:rsidRPr="008E50DB">
        <w:rPr>
          <w:rFonts w:ascii="微软雅黑" w:eastAsia="微软雅黑" w:hAnsi="微软雅黑" w:hint="eastAsia"/>
          <w:bCs/>
          <w:color w:val="182B87"/>
          <w:sz w:val="22"/>
        </w:rPr>
        <w:t>市场各类策略表现统计</w:t>
      </w:r>
    </w:p>
    <w:tbl>
      <w:tblPr>
        <w:tblStyle w:val="ColorfulList-Accent1"/>
        <w:tblW w:w="9900" w:type="dxa"/>
        <w:jc w:val="center"/>
        <w:tblBorders>
          <w:insideH w:val="single" w:sz="4" w:space="0" w:color="FFFFFF" w:themeColor="background1"/>
          <w:insideV w:val="single" w:sz="4" w:space="0" w:color="FFFFFF" w:themeColor="background1"/>
        </w:tblBorders>
        <w:tblLook w:val="04A0" w:firstRow="1" w:lastRow="0" w:firstColumn="1" w:lastColumn="0" w:noHBand="0" w:noVBand="1"/>
      </w:tblPr>
      <w:tblGrid>
        <w:gridCol w:w="2211"/>
        <w:gridCol w:w="1570"/>
        <w:gridCol w:w="1596"/>
        <w:gridCol w:w="1842"/>
        <w:gridCol w:w="1250"/>
        <w:gridCol w:w="1431"/>
      </w:tblGrid>
      <w:tr w:rsidR="00296766" w:rsidRPr="00600543" w14:paraId="1DAB823F" w14:textId="77777777" w:rsidTr="00A138B2">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tcBorders>
              <w:bottom w:val="none" w:sz="0" w:space="0" w:color="auto"/>
            </w:tcBorders>
            <w:shd w:val="clear" w:color="auto" w:fill="2F5496" w:themeFill="accent1" w:themeFillShade="BF"/>
            <w:noWrap/>
            <w:vAlign w:val="bottom"/>
            <w:hideMark/>
          </w:tcPr>
          <w:p w14:paraId="1F4089BA" w14:textId="77777777" w:rsidR="00296766" w:rsidRPr="00897802" w:rsidRDefault="00296766" w:rsidP="00296766">
            <w:pPr>
              <w:widowControl/>
              <w:jc w:val="left"/>
              <w:rPr>
                <w:rFonts w:ascii="微软雅黑" w:eastAsia="微软雅黑" w:hAnsi="微软雅黑" w:cs="宋体"/>
                <w:b w:val="0"/>
                <w:color w:val="F2F2F2" w:themeColor="background1" w:themeShade="F2"/>
                <w:kern w:val="0"/>
                <w:sz w:val="18"/>
                <w:szCs w:val="18"/>
              </w:rPr>
            </w:pPr>
          </w:p>
        </w:tc>
        <w:tc>
          <w:tcPr>
            <w:tcW w:w="1570" w:type="dxa"/>
            <w:tcBorders>
              <w:bottom w:val="none" w:sz="0" w:space="0" w:color="auto"/>
            </w:tcBorders>
            <w:shd w:val="clear" w:color="auto" w:fill="2F5496" w:themeFill="accent1" w:themeFillShade="BF"/>
            <w:noWrap/>
            <w:hideMark/>
          </w:tcPr>
          <w:p w14:paraId="09F0598C" w14:textId="35EF6071" w:rsidR="00296766" w:rsidRPr="00897802" w:rsidRDefault="00296766" w:rsidP="00296766">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股票多头策略</w:t>
            </w:r>
          </w:p>
        </w:tc>
        <w:tc>
          <w:tcPr>
            <w:tcW w:w="1596" w:type="dxa"/>
            <w:tcBorders>
              <w:bottom w:val="none" w:sz="0" w:space="0" w:color="auto"/>
            </w:tcBorders>
            <w:shd w:val="clear" w:color="auto" w:fill="2F5496" w:themeFill="accent1" w:themeFillShade="BF"/>
            <w:noWrap/>
            <w:hideMark/>
          </w:tcPr>
          <w:p w14:paraId="64A81371" w14:textId="14C21626" w:rsidR="00296766" w:rsidRPr="00897802" w:rsidRDefault="00296766" w:rsidP="00296766">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市场中性策略</w:t>
            </w:r>
          </w:p>
        </w:tc>
        <w:tc>
          <w:tcPr>
            <w:tcW w:w="1842" w:type="dxa"/>
            <w:tcBorders>
              <w:bottom w:val="none" w:sz="0" w:space="0" w:color="auto"/>
            </w:tcBorders>
            <w:shd w:val="clear" w:color="auto" w:fill="2F5496" w:themeFill="accent1" w:themeFillShade="BF"/>
            <w:noWrap/>
            <w:hideMark/>
          </w:tcPr>
          <w:p w14:paraId="1EFED01C" w14:textId="2CC46E90" w:rsidR="00296766" w:rsidRPr="00897802" w:rsidRDefault="00296766" w:rsidP="00296766">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管理期货策略</w:t>
            </w:r>
          </w:p>
        </w:tc>
        <w:tc>
          <w:tcPr>
            <w:tcW w:w="1250" w:type="dxa"/>
            <w:tcBorders>
              <w:bottom w:val="none" w:sz="0" w:space="0" w:color="auto"/>
            </w:tcBorders>
            <w:shd w:val="clear" w:color="auto" w:fill="2F5496" w:themeFill="accent1" w:themeFillShade="BF"/>
            <w:noWrap/>
            <w:hideMark/>
          </w:tcPr>
          <w:p w14:paraId="308297E4" w14:textId="4D28A291" w:rsidR="00296766" w:rsidRPr="00897802" w:rsidRDefault="00296766" w:rsidP="00296766">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套利策略</w:t>
            </w:r>
          </w:p>
        </w:tc>
        <w:tc>
          <w:tcPr>
            <w:tcW w:w="1431" w:type="dxa"/>
            <w:tcBorders>
              <w:bottom w:val="none" w:sz="0" w:space="0" w:color="auto"/>
            </w:tcBorders>
            <w:shd w:val="clear" w:color="auto" w:fill="2F5496" w:themeFill="accent1" w:themeFillShade="BF"/>
            <w:noWrap/>
            <w:hideMark/>
          </w:tcPr>
          <w:p w14:paraId="1D09D7E1" w14:textId="0E03AEC8" w:rsidR="00296766" w:rsidRPr="00897802" w:rsidRDefault="00296766" w:rsidP="00296766">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F2F2F2" w:themeColor="background1" w:themeShade="F2"/>
                <w:kern w:val="0"/>
                <w:szCs w:val="18"/>
              </w:rPr>
            </w:pPr>
            <w:r w:rsidRPr="00897802">
              <w:rPr>
                <w:rFonts w:hint="eastAsia"/>
                <w:b w:val="0"/>
                <w:bCs w:val="0"/>
                <w:color w:val="F2F2F2" w:themeColor="background1" w:themeShade="F2"/>
              </w:rPr>
              <w:t>债券策略</w:t>
            </w:r>
          </w:p>
        </w:tc>
      </w:tr>
      <w:tr w:rsidR="00817EA3" w:rsidRPr="00600543" w14:paraId="743B2FEC"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57B06481" w14:textId="4BFD8B7E" w:rsidR="00817EA3" w:rsidRPr="00600543" w:rsidRDefault="008046CA" w:rsidP="00817EA3">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起始统计</w:t>
            </w:r>
            <w:r w:rsidR="00817EA3">
              <w:rPr>
                <w:rFonts w:hint="eastAsia"/>
                <w:b w:val="0"/>
                <w:bCs w:val="0"/>
                <w:color w:val="000000"/>
                <w:sz w:val="22"/>
              </w:rPr>
              <w:t>时间</w:t>
            </w:r>
          </w:p>
        </w:tc>
        <w:tc>
          <w:tcPr>
            <w:tcW w:w="1570" w:type="dxa"/>
            <w:noWrap/>
            <w:vAlign w:val="bottom"/>
            <w:hideMark/>
          </w:tcPr>
          <w:p w14:paraId="250C9CDB" w14:textId="63415874" w:rsidR="00817EA3" w:rsidRPr="00600543" w:rsidRDefault="00817EA3" w:rsidP="00817EA3">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2016/9/30</w:t>
            </w:r>
          </w:p>
        </w:tc>
        <w:tc>
          <w:tcPr>
            <w:tcW w:w="1596" w:type="dxa"/>
            <w:noWrap/>
            <w:vAlign w:val="bottom"/>
            <w:hideMark/>
          </w:tcPr>
          <w:p w14:paraId="6FEA37ED" w14:textId="4B54BAE2" w:rsidR="00817EA3" w:rsidRPr="00600543" w:rsidRDefault="00817EA3" w:rsidP="00817EA3">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2016/9/30</w:t>
            </w:r>
          </w:p>
        </w:tc>
        <w:tc>
          <w:tcPr>
            <w:tcW w:w="1842" w:type="dxa"/>
            <w:noWrap/>
            <w:vAlign w:val="bottom"/>
            <w:hideMark/>
          </w:tcPr>
          <w:p w14:paraId="07706C0C" w14:textId="633133F6" w:rsidR="00817EA3" w:rsidRPr="00600543" w:rsidRDefault="00817EA3" w:rsidP="00817EA3">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2016/9/30</w:t>
            </w:r>
          </w:p>
        </w:tc>
        <w:tc>
          <w:tcPr>
            <w:tcW w:w="1250" w:type="dxa"/>
            <w:noWrap/>
            <w:vAlign w:val="bottom"/>
            <w:hideMark/>
          </w:tcPr>
          <w:p w14:paraId="7EEDC007" w14:textId="230895B7" w:rsidR="00817EA3" w:rsidRPr="00600543" w:rsidRDefault="00817EA3" w:rsidP="00817EA3">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2016/9/30</w:t>
            </w:r>
          </w:p>
        </w:tc>
        <w:tc>
          <w:tcPr>
            <w:tcW w:w="1431" w:type="dxa"/>
            <w:noWrap/>
            <w:vAlign w:val="bottom"/>
            <w:hideMark/>
          </w:tcPr>
          <w:p w14:paraId="01ECCB2D" w14:textId="72B7AAAB" w:rsidR="00817EA3" w:rsidRPr="00600543" w:rsidRDefault="00817EA3" w:rsidP="00817EA3">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2016/9/30</w:t>
            </w:r>
          </w:p>
        </w:tc>
      </w:tr>
      <w:tr w:rsidR="000B07D4" w:rsidRPr="00600543" w14:paraId="71AE6F8F"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1DAA61E2" w14:textId="5C0959A0" w:rsidR="000B07D4" w:rsidRPr="00600543" w:rsidRDefault="000B07D4" w:rsidP="000B07D4">
            <w:pPr>
              <w:widowControl/>
              <w:jc w:val="center"/>
              <w:rPr>
                <w:rFonts w:ascii="微软雅黑" w:eastAsia="微软雅黑" w:hAnsi="微软雅黑" w:cs="宋体"/>
                <w:b w:val="0"/>
                <w:bCs w:val="0"/>
                <w:color w:val="000000"/>
                <w:kern w:val="0"/>
                <w:sz w:val="18"/>
                <w:szCs w:val="18"/>
              </w:rPr>
            </w:pPr>
            <w:proofErr w:type="gramStart"/>
            <w:r>
              <w:rPr>
                <w:rFonts w:hint="eastAsia"/>
                <w:b w:val="0"/>
                <w:bCs w:val="0"/>
                <w:color w:val="000000"/>
                <w:sz w:val="22"/>
              </w:rPr>
              <w:t>年化收益率</w:t>
            </w:r>
            <w:proofErr w:type="gramEnd"/>
          </w:p>
        </w:tc>
        <w:tc>
          <w:tcPr>
            <w:tcW w:w="1570" w:type="dxa"/>
            <w:noWrap/>
            <w:vAlign w:val="bottom"/>
            <w:hideMark/>
          </w:tcPr>
          <w:p w14:paraId="2C79C9EF" w14:textId="43AFF4C9"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4.99%</w:t>
            </w:r>
          </w:p>
        </w:tc>
        <w:tc>
          <w:tcPr>
            <w:tcW w:w="1596" w:type="dxa"/>
            <w:noWrap/>
            <w:vAlign w:val="bottom"/>
            <w:hideMark/>
          </w:tcPr>
          <w:p w14:paraId="57449D74" w14:textId="755FB903"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0.43%</w:t>
            </w:r>
          </w:p>
        </w:tc>
        <w:tc>
          <w:tcPr>
            <w:tcW w:w="1842" w:type="dxa"/>
            <w:noWrap/>
            <w:vAlign w:val="bottom"/>
            <w:hideMark/>
          </w:tcPr>
          <w:p w14:paraId="7E595DDA" w14:textId="447768DC"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8.30%</w:t>
            </w:r>
          </w:p>
        </w:tc>
        <w:tc>
          <w:tcPr>
            <w:tcW w:w="1250" w:type="dxa"/>
            <w:noWrap/>
            <w:vAlign w:val="bottom"/>
            <w:hideMark/>
          </w:tcPr>
          <w:p w14:paraId="457277EB" w14:textId="47B432A7"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0.61%</w:t>
            </w:r>
          </w:p>
        </w:tc>
        <w:tc>
          <w:tcPr>
            <w:tcW w:w="1431" w:type="dxa"/>
            <w:noWrap/>
            <w:vAlign w:val="bottom"/>
            <w:hideMark/>
          </w:tcPr>
          <w:p w14:paraId="536F58CC" w14:textId="39E13666"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3.06%</w:t>
            </w:r>
          </w:p>
        </w:tc>
      </w:tr>
      <w:tr w:rsidR="000B07D4" w:rsidRPr="00600543" w14:paraId="1D7A5354"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4BFABEE7" w14:textId="77F54740" w:rsidR="000B07D4" w:rsidRPr="00600543" w:rsidRDefault="000B07D4" w:rsidP="000B07D4">
            <w:pPr>
              <w:widowControl/>
              <w:jc w:val="center"/>
              <w:rPr>
                <w:rFonts w:ascii="微软雅黑" w:eastAsia="微软雅黑" w:hAnsi="微软雅黑" w:cs="宋体"/>
                <w:b w:val="0"/>
                <w:bCs w:val="0"/>
                <w:color w:val="000000"/>
                <w:kern w:val="0"/>
                <w:sz w:val="18"/>
                <w:szCs w:val="18"/>
              </w:rPr>
            </w:pPr>
            <w:proofErr w:type="gramStart"/>
            <w:r>
              <w:rPr>
                <w:rFonts w:hint="eastAsia"/>
                <w:b w:val="0"/>
                <w:bCs w:val="0"/>
                <w:color w:val="000000"/>
                <w:sz w:val="22"/>
              </w:rPr>
              <w:t>年化波动</w:t>
            </w:r>
            <w:proofErr w:type="gramEnd"/>
            <w:r>
              <w:rPr>
                <w:rFonts w:hint="eastAsia"/>
                <w:b w:val="0"/>
                <w:bCs w:val="0"/>
                <w:color w:val="000000"/>
                <w:sz w:val="22"/>
              </w:rPr>
              <w:t>率</w:t>
            </w:r>
          </w:p>
        </w:tc>
        <w:tc>
          <w:tcPr>
            <w:tcW w:w="1570" w:type="dxa"/>
            <w:noWrap/>
            <w:vAlign w:val="bottom"/>
            <w:hideMark/>
          </w:tcPr>
          <w:p w14:paraId="6D7A8ACB" w14:textId="2366D461"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4.13%</w:t>
            </w:r>
          </w:p>
        </w:tc>
        <w:tc>
          <w:tcPr>
            <w:tcW w:w="1596" w:type="dxa"/>
            <w:noWrap/>
            <w:vAlign w:val="bottom"/>
            <w:hideMark/>
          </w:tcPr>
          <w:p w14:paraId="112B76A6" w14:textId="66B5FEC8"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2.61%</w:t>
            </w:r>
          </w:p>
        </w:tc>
        <w:tc>
          <w:tcPr>
            <w:tcW w:w="1842" w:type="dxa"/>
            <w:noWrap/>
            <w:vAlign w:val="bottom"/>
            <w:hideMark/>
          </w:tcPr>
          <w:p w14:paraId="4B737D2B" w14:textId="5A49FA87"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5.26%</w:t>
            </w:r>
          </w:p>
        </w:tc>
        <w:tc>
          <w:tcPr>
            <w:tcW w:w="1250" w:type="dxa"/>
            <w:noWrap/>
            <w:vAlign w:val="bottom"/>
            <w:hideMark/>
          </w:tcPr>
          <w:p w14:paraId="2895C3AC" w14:textId="6A981251"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4.47%</w:t>
            </w:r>
          </w:p>
        </w:tc>
        <w:tc>
          <w:tcPr>
            <w:tcW w:w="1431" w:type="dxa"/>
            <w:noWrap/>
            <w:vAlign w:val="bottom"/>
            <w:hideMark/>
          </w:tcPr>
          <w:p w14:paraId="14806A4A" w14:textId="128D9226"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2.09%</w:t>
            </w:r>
          </w:p>
        </w:tc>
      </w:tr>
      <w:tr w:rsidR="000B07D4" w:rsidRPr="00600543" w14:paraId="3E7C558A"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78DB8B10" w14:textId="139DBDF6" w:rsidR="000B07D4" w:rsidRPr="00600543" w:rsidRDefault="000B07D4" w:rsidP="000B07D4">
            <w:pPr>
              <w:widowControl/>
              <w:jc w:val="center"/>
              <w:rPr>
                <w:rFonts w:ascii="微软雅黑" w:eastAsia="微软雅黑" w:hAnsi="微软雅黑" w:cs="宋体"/>
                <w:b w:val="0"/>
                <w:bCs w:val="0"/>
                <w:color w:val="000000"/>
                <w:kern w:val="0"/>
                <w:sz w:val="18"/>
                <w:szCs w:val="18"/>
              </w:rPr>
            </w:pPr>
            <w:proofErr w:type="gramStart"/>
            <w:r>
              <w:rPr>
                <w:rFonts w:hint="eastAsia"/>
                <w:b w:val="0"/>
                <w:bCs w:val="0"/>
                <w:color w:val="000000"/>
                <w:sz w:val="22"/>
              </w:rPr>
              <w:t>年化下行</w:t>
            </w:r>
            <w:proofErr w:type="gramEnd"/>
            <w:r>
              <w:rPr>
                <w:rFonts w:hint="eastAsia"/>
                <w:b w:val="0"/>
                <w:bCs w:val="0"/>
                <w:color w:val="000000"/>
                <w:sz w:val="22"/>
              </w:rPr>
              <w:t>波动率</w:t>
            </w:r>
          </w:p>
        </w:tc>
        <w:tc>
          <w:tcPr>
            <w:tcW w:w="1570" w:type="dxa"/>
            <w:noWrap/>
            <w:vAlign w:val="bottom"/>
            <w:hideMark/>
          </w:tcPr>
          <w:p w14:paraId="1972E4F1" w14:textId="2E7F7CCC"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2.70%</w:t>
            </w:r>
          </w:p>
        </w:tc>
        <w:tc>
          <w:tcPr>
            <w:tcW w:w="1596" w:type="dxa"/>
            <w:noWrap/>
            <w:vAlign w:val="bottom"/>
            <w:hideMark/>
          </w:tcPr>
          <w:p w14:paraId="67C5BC67" w14:textId="0E21D21C"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2.36%</w:t>
            </w:r>
          </w:p>
        </w:tc>
        <w:tc>
          <w:tcPr>
            <w:tcW w:w="1842" w:type="dxa"/>
            <w:noWrap/>
            <w:vAlign w:val="bottom"/>
            <w:hideMark/>
          </w:tcPr>
          <w:p w14:paraId="27D9A6DE" w14:textId="3403A0C4"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3.50%</w:t>
            </w:r>
          </w:p>
        </w:tc>
        <w:tc>
          <w:tcPr>
            <w:tcW w:w="1250" w:type="dxa"/>
            <w:noWrap/>
            <w:vAlign w:val="bottom"/>
            <w:hideMark/>
          </w:tcPr>
          <w:p w14:paraId="63E35841" w14:textId="214F929E"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3.49%</w:t>
            </w:r>
          </w:p>
        </w:tc>
        <w:tc>
          <w:tcPr>
            <w:tcW w:w="1431" w:type="dxa"/>
            <w:noWrap/>
            <w:vAlign w:val="bottom"/>
            <w:hideMark/>
          </w:tcPr>
          <w:p w14:paraId="23BDAC01" w14:textId="3741277D"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1.28%</w:t>
            </w:r>
          </w:p>
        </w:tc>
      </w:tr>
      <w:tr w:rsidR="000B07D4" w:rsidRPr="00600543" w14:paraId="7528473D"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42EA6B4B" w14:textId="0D102B5B"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最终净值</w:t>
            </w:r>
          </w:p>
        </w:tc>
        <w:tc>
          <w:tcPr>
            <w:tcW w:w="1570" w:type="dxa"/>
            <w:noWrap/>
            <w:vAlign w:val="bottom"/>
            <w:hideMark/>
          </w:tcPr>
          <w:p w14:paraId="3623061F" w14:textId="39CB727E"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1.05 </w:t>
            </w:r>
          </w:p>
        </w:tc>
        <w:tc>
          <w:tcPr>
            <w:tcW w:w="1596" w:type="dxa"/>
            <w:noWrap/>
            <w:vAlign w:val="bottom"/>
            <w:hideMark/>
          </w:tcPr>
          <w:p w14:paraId="78AE9FFC" w14:textId="4CF7CDD8"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1.00 </w:t>
            </w:r>
          </w:p>
        </w:tc>
        <w:tc>
          <w:tcPr>
            <w:tcW w:w="1842" w:type="dxa"/>
            <w:noWrap/>
            <w:vAlign w:val="bottom"/>
            <w:hideMark/>
          </w:tcPr>
          <w:p w14:paraId="5E3C86BF" w14:textId="0731992F"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1.08 </w:t>
            </w:r>
          </w:p>
        </w:tc>
        <w:tc>
          <w:tcPr>
            <w:tcW w:w="1250" w:type="dxa"/>
            <w:noWrap/>
            <w:vAlign w:val="bottom"/>
            <w:hideMark/>
          </w:tcPr>
          <w:p w14:paraId="530A457F" w14:textId="47EFB659"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1.01 </w:t>
            </w:r>
          </w:p>
        </w:tc>
        <w:tc>
          <w:tcPr>
            <w:tcW w:w="1431" w:type="dxa"/>
            <w:noWrap/>
            <w:vAlign w:val="bottom"/>
            <w:hideMark/>
          </w:tcPr>
          <w:p w14:paraId="4C18F97E" w14:textId="131D18C0"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1.03 </w:t>
            </w:r>
          </w:p>
        </w:tc>
      </w:tr>
      <w:tr w:rsidR="000B07D4" w:rsidRPr="00600543" w14:paraId="63D33C77"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2541E1A7" w14:textId="6CA66995"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最低净值</w:t>
            </w:r>
          </w:p>
        </w:tc>
        <w:tc>
          <w:tcPr>
            <w:tcW w:w="1570" w:type="dxa"/>
            <w:noWrap/>
            <w:vAlign w:val="bottom"/>
            <w:hideMark/>
          </w:tcPr>
          <w:p w14:paraId="6B7A8C1F" w14:textId="04AF5B20"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0.99 </w:t>
            </w:r>
          </w:p>
        </w:tc>
        <w:tc>
          <w:tcPr>
            <w:tcW w:w="1596" w:type="dxa"/>
            <w:noWrap/>
            <w:vAlign w:val="bottom"/>
            <w:hideMark/>
          </w:tcPr>
          <w:p w14:paraId="575E73E7" w14:textId="14ACEFE4"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0.98 </w:t>
            </w:r>
          </w:p>
        </w:tc>
        <w:tc>
          <w:tcPr>
            <w:tcW w:w="1842" w:type="dxa"/>
            <w:noWrap/>
            <w:vAlign w:val="bottom"/>
            <w:hideMark/>
          </w:tcPr>
          <w:p w14:paraId="5D913B75" w14:textId="2D641FEF"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1.00 </w:t>
            </w:r>
          </w:p>
        </w:tc>
        <w:tc>
          <w:tcPr>
            <w:tcW w:w="1250" w:type="dxa"/>
            <w:noWrap/>
            <w:vAlign w:val="bottom"/>
            <w:hideMark/>
          </w:tcPr>
          <w:p w14:paraId="27A2EFD7" w14:textId="63E8ABEE"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0.99 </w:t>
            </w:r>
          </w:p>
        </w:tc>
        <w:tc>
          <w:tcPr>
            <w:tcW w:w="1431" w:type="dxa"/>
            <w:noWrap/>
            <w:vAlign w:val="bottom"/>
            <w:hideMark/>
          </w:tcPr>
          <w:p w14:paraId="30D7DA02" w14:textId="7D7F8428"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1.00 </w:t>
            </w:r>
          </w:p>
        </w:tc>
      </w:tr>
      <w:tr w:rsidR="000B07D4" w:rsidRPr="00600543" w14:paraId="5024E249"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39C394D8" w14:textId="6AE32295"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最大回撤</w:t>
            </w:r>
          </w:p>
        </w:tc>
        <w:tc>
          <w:tcPr>
            <w:tcW w:w="1570" w:type="dxa"/>
            <w:noWrap/>
            <w:vAlign w:val="bottom"/>
            <w:hideMark/>
          </w:tcPr>
          <w:p w14:paraId="1F3206BA" w14:textId="6C1C6AA1"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-3.56%</w:t>
            </w:r>
          </w:p>
        </w:tc>
        <w:tc>
          <w:tcPr>
            <w:tcW w:w="1596" w:type="dxa"/>
            <w:noWrap/>
            <w:vAlign w:val="bottom"/>
            <w:hideMark/>
          </w:tcPr>
          <w:p w14:paraId="5D38C265" w14:textId="6909FF41"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-3.15%</w:t>
            </w:r>
          </w:p>
        </w:tc>
        <w:tc>
          <w:tcPr>
            <w:tcW w:w="1842" w:type="dxa"/>
            <w:noWrap/>
            <w:vAlign w:val="bottom"/>
            <w:hideMark/>
          </w:tcPr>
          <w:p w14:paraId="658678B4" w14:textId="6CB02E12"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-2.82%</w:t>
            </w:r>
          </w:p>
        </w:tc>
        <w:tc>
          <w:tcPr>
            <w:tcW w:w="1250" w:type="dxa"/>
            <w:noWrap/>
            <w:vAlign w:val="bottom"/>
            <w:hideMark/>
          </w:tcPr>
          <w:p w14:paraId="72D16D53" w14:textId="7CCA0741"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-3.29%</w:t>
            </w:r>
          </w:p>
        </w:tc>
        <w:tc>
          <w:tcPr>
            <w:tcW w:w="1431" w:type="dxa"/>
            <w:noWrap/>
            <w:vAlign w:val="bottom"/>
            <w:hideMark/>
          </w:tcPr>
          <w:p w14:paraId="675C047B" w14:textId="2DABE739"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-1.44%</w:t>
            </w:r>
          </w:p>
        </w:tc>
      </w:tr>
      <w:tr w:rsidR="000B07D4" w:rsidRPr="00600543" w14:paraId="42FD6FA4"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3209F12C" w14:textId="74ACCAFC"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最长不创新高（周）</w:t>
            </w:r>
          </w:p>
        </w:tc>
        <w:tc>
          <w:tcPr>
            <w:tcW w:w="1570" w:type="dxa"/>
            <w:noWrap/>
            <w:vAlign w:val="bottom"/>
            <w:hideMark/>
          </w:tcPr>
          <w:p w14:paraId="4275F8FB" w14:textId="3AEC9A6E"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22</w:t>
            </w:r>
          </w:p>
        </w:tc>
        <w:tc>
          <w:tcPr>
            <w:tcW w:w="1596" w:type="dxa"/>
            <w:noWrap/>
            <w:vAlign w:val="bottom"/>
            <w:hideMark/>
          </w:tcPr>
          <w:p w14:paraId="42DD8069" w14:textId="28D0FF29"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44</w:t>
            </w:r>
          </w:p>
        </w:tc>
        <w:tc>
          <w:tcPr>
            <w:tcW w:w="1842" w:type="dxa"/>
            <w:noWrap/>
            <w:vAlign w:val="bottom"/>
            <w:hideMark/>
          </w:tcPr>
          <w:p w14:paraId="46942412" w14:textId="5A8C0D13"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18</w:t>
            </w:r>
          </w:p>
        </w:tc>
        <w:tc>
          <w:tcPr>
            <w:tcW w:w="1250" w:type="dxa"/>
            <w:noWrap/>
            <w:vAlign w:val="bottom"/>
            <w:hideMark/>
          </w:tcPr>
          <w:p w14:paraId="3C389DE8" w14:textId="750627A0"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17</w:t>
            </w:r>
          </w:p>
        </w:tc>
        <w:tc>
          <w:tcPr>
            <w:tcW w:w="1431" w:type="dxa"/>
            <w:noWrap/>
            <w:vAlign w:val="bottom"/>
            <w:hideMark/>
          </w:tcPr>
          <w:p w14:paraId="630E9F2D" w14:textId="7610C9A1"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19</w:t>
            </w:r>
          </w:p>
        </w:tc>
      </w:tr>
      <w:tr w:rsidR="000B07D4" w:rsidRPr="00600543" w14:paraId="5D4BAC90"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0FB0CECF" w14:textId="2C15149C" w:rsidR="000B07D4" w:rsidRPr="00600543" w:rsidRDefault="000B07D4" w:rsidP="000B07D4">
            <w:pPr>
              <w:widowControl/>
              <w:jc w:val="center"/>
              <w:rPr>
                <w:rFonts w:ascii="微软雅黑" w:eastAsia="微软雅黑" w:hAnsi="微软雅黑" w:cs="宋体"/>
                <w:b w:val="0"/>
                <w:bCs w:val="0"/>
                <w:color w:val="000000"/>
                <w:kern w:val="0"/>
                <w:sz w:val="18"/>
                <w:szCs w:val="18"/>
              </w:rPr>
            </w:pPr>
            <w:proofErr w:type="gramStart"/>
            <w:r>
              <w:rPr>
                <w:rFonts w:hint="eastAsia"/>
                <w:b w:val="0"/>
                <w:bCs w:val="0"/>
                <w:color w:val="000000"/>
                <w:sz w:val="22"/>
              </w:rPr>
              <w:t>夏普率</w:t>
            </w:r>
            <w:proofErr w:type="gramEnd"/>
          </w:p>
        </w:tc>
        <w:tc>
          <w:tcPr>
            <w:tcW w:w="1570" w:type="dxa"/>
            <w:noWrap/>
            <w:vAlign w:val="bottom"/>
            <w:hideMark/>
          </w:tcPr>
          <w:p w14:paraId="0CFA81B7" w14:textId="0533D44D"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1.21 </w:t>
            </w:r>
          </w:p>
        </w:tc>
        <w:tc>
          <w:tcPr>
            <w:tcW w:w="1596" w:type="dxa"/>
            <w:noWrap/>
            <w:vAlign w:val="bottom"/>
            <w:hideMark/>
          </w:tcPr>
          <w:p w14:paraId="014F0AE6" w14:textId="110D2C01"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0.16 </w:t>
            </w:r>
          </w:p>
        </w:tc>
        <w:tc>
          <w:tcPr>
            <w:tcW w:w="1842" w:type="dxa"/>
            <w:noWrap/>
            <w:vAlign w:val="bottom"/>
            <w:hideMark/>
          </w:tcPr>
          <w:p w14:paraId="5061BC9F" w14:textId="4979986A"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1.58 </w:t>
            </w:r>
          </w:p>
        </w:tc>
        <w:tc>
          <w:tcPr>
            <w:tcW w:w="1250" w:type="dxa"/>
            <w:noWrap/>
            <w:vAlign w:val="bottom"/>
            <w:hideMark/>
          </w:tcPr>
          <w:p w14:paraId="508DF9E7" w14:textId="149BDD98"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0.14 </w:t>
            </w:r>
          </w:p>
        </w:tc>
        <w:tc>
          <w:tcPr>
            <w:tcW w:w="1431" w:type="dxa"/>
            <w:noWrap/>
            <w:vAlign w:val="bottom"/>
            <w:hideMark/>
          </w:tcPr>
          <w:p w14:paraId="71B8E590" w14:textId="621FEDC3"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1.46 </w:t>
            </w:r>
          </w:p>
        </w:tc>
      </w:tr>
      <w:tr w:rsidR="000B07D4" w:rsidRPr="00600543" w14:paraId="1BE0B9A6"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3B27F5D7" w14:textId="6DE73967" w:rsidR="000B07D4" w:rsidRPr="00600543" w:rsidRDefault="000B07D4" w:rsidP="000B07D4">
            <w:pPr>
              <w:widowControl/>
              <w:jc w:val="center"/>
              <w:rPr>
                <w:rFonts w:ascii="微软雅黑" w:eastAsia="微软雅黑" w:hAnsi="微软雅黑" w:cs="宋体"/>
                <w:b w:val="0"/>
                <w:bCs w:val="0"/>
                <w:color w:val="000000"/>
                <w:kern w:val="0"/>
                <w:sz w:val="18"/>
                <w:szCs w:val="18"/>
              </w:rPr>
            </w:pPr>
            <w:proofErr w:type="gramStart"/>
            <w:r>
              <w:rPr>
                <w:rFonts w:hint="eastAsia"/>
                <w:b w:val="0"/>
                <w:bCs w:val="0"/>
                <w:color w:val="000000"/>
                <w:sz w:val="22"/>
              </w:rPr>
              <w:t>索提诺</w:t>
            </w:r>
            <w:proofErr w:type="gramEnd"/>
            <w:r>
              <w:rPr>
                <w:rFonts w:hint="eastAsia"/>
                <w:b w:val="0"/>
                <w:bCs w:val="0"/>
                <w:color w:val="000000"/>
                <w:sz w:val="22"/>
              </w:rPr>
              <w:t>比率</w:t>
            </w:r>
          </w:p>
        </w:tc>
        <w:tc>
          <w:tcPr>
            <w:tcW w:w="1570" w:type="dxa"/>
            <w:noWrap/>
            <w:vAlign w:val="bottom"/>
            <w:hideMark/>
          </w:tcPr>
          <w:p w14:paraId="070F17AB" w14:textId="28D1FC20"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1.85 </w:t>
            </w:r>
          </w:p>
        </w:tc>
        <w:tc>
          <w:tcPr>
            <w:tcW w:w="1596" w:type="dxa"/>
            <w:noWrap/>
            <w:vAlign w:val="bottom"/>
            <w:hideMark/>
          </w:tcPr>
          <w:p w14:paraId="690BB770" w14:textId="245591E8"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0.18 </w:t>
            </w:r>
          </w:p>
        </w:tc>
        <w:tc>
          <w:tcPr>
            <w:tcW w:w="1842" w:type="dxa"/>
            <w:noWrap/>
            <w:vAlign w:val="bottom"/>
            <w:hideMark/>
          </w:tcPr>
          <w:p w14:paraId="018925FF" w14:textId="6E897BE1"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2.37 </w:t>
            </w:r>
          </w:p>
        </w:tc>
        <w:tc>
          <w:tcPr>
            <w:tcW w:w="1250" w:type="dxa"/>
            <w:noWrap/>
            <w:vAlign w:val="bottom"/>
            <w:hideMark/>
          </w:tcPr>
          <w:p w14:paraId="0583671B" w14:textId="78AC98E1"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0.18 </w:t>
            </w:r>
          </w:p>
        </w:tc>
        <w:tc>
          <w:tcPr>
            <w:tcW w:w="1431" w:type="dxa"/>
            <w:noWrap/>
            <w:vAlign w:val="bottom"/>
            <w:hideMark/>
          </w:tcPr>
          <w:p w14:paraId="1D172485" w14:textId="7BDE3B70"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2.39 </w:t>
            </w:r>
          </w:p>
        </w:tc>
      </w:tr>
      <w:tr w:rsidR="000B07D4" w:rsidRPr="00600543" w14:paraId="4834FECF"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173ED9C1" w14:textId="626B2622"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卡马比率</w:t>
            </w:r>
          </w:p>
        </w:tc>
        <w:tc>
          <w:tcPr>
            <w:tcW w:w="1570" w:type="dxa"/>
            <w:noWrap/>
            <w:vAlign w:val="bottom"/>
            <w:hideMark/>
          </w:tcPr>
          <w:p w14:paraId="61348509" w14:textId="385D1BEB"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1.40 </w:t>
            </w:r>
          </w:p>
        </w:tc>
        <w:tc>
          <w:tcPr>
            <w:tcW w:w="1596" w:type="dxa"/>
            <w:noWrap/>
            <w:vAlign w:val="bottom"/>
            <w:hideMark/>
          </w:tcPr>
          <w:p w14:paraId="36E08A24" w14:textId="4081F025"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0.14 </w:t>
            </w:r>
          </w:p>
        </w:tc>
        <w:tc>
          <w:tcPr>
            <w:tcW w:w="1842" w:type="dxa"/>
            <w:noWrap/>
            <w:vAlign w:val="bottom"/>
            <w:hideMark/>
          </w:tcPr>
          <w:p w14:paraId="5F205D65" w14:textId="4E2531E8"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2.95 </w:t>
            </w:r>
          </w:p>
        </w:tc>
        <w:tc>
          <w:tcPr>
            <w:tcW w:w="1250" w:type="dxa"/>
            <w:noWrap/>
            <w:vAlign w:val="bottom"/>
            <w:hideMark/>
          </w:tcPr>
          <w:p w14:paraId="77ABCF1E" w14:textId="6F0F54F4"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0.19 </w:t>
            </w:r>
          </w:p>
        </w:tc>
        <w:tc>
          <w:tcPr>
            <w:tcW w:w="1431" w:type="dxa"/>
            <w:noWrap/>
            <w:vAlign w:val="bottom"/>
            <w:hideMark/>
          </w:tcPr>
          <w:p w14:paraId="1535B387" w14:textId="05486EEA"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2.12 </w:t>
            </w:r>
          </w:p>
        </w:tc>
      </w:tr>
      <w:tr w:rsidR="000B07D4" w:rsidRPr="00600543" w14:paraId="09241EC9"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342030F4" w14:textId="325A13A2"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盈亏比</w:t>
            </w:r>
          </w:p>
        </w:tc>
        <w:tc>
          <w:tcPr>
            <w:tcW w:w="1570" w:type="dxa"/>
            <w:noWrap/>
            <w:vAlign w:val="bottom"/>
            <w:hideMark/>
          </w:tcPr>
          <w:p w14:paraId="5202CDBE" w14:textId="44F089D9"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1.03 </w:t>
            </w:r>
          </w:p>
        </w:tc>
        <w:tc>
          <w:tcPr>
            <w:tcW w:w="1596" w:type="dxa"/>
            <w:noWrap/>
            <w:vAlign w:val="bottom"/>
            <w:hideMark/>
          </w:tcPr>
          <w:p w14:paraId="509BC857" w14:textId="217CC758"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0.52 </w:t>
            </w:r>
          </w:p>
        </w:tc>
        <w:tc>
          <w:tcPr>
            <w:tcW w:w="1842" w:type="dxa"/>
            <w:noWrap/>
            <w:vAlign w:val="bottom"/>
            <w:hideMark/>
          </w:tcPr>
          <w:p w14:paraId="0361950A" w14:textId="2E8AB80B"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1.22 </w:t>
            </w:r>
          </w:p>
        </w:tc>
        <w:tc>
          <w:tcPr>
            <w:tcW w:w="1250" w:type="dxa"/>
            <w:noWrap/>
            <w:vAlign w:val="bottom"/>
            <w:hideMark/>
          </w:tcPr>
          <w:p w14:paraId="519F5588" w14:textId="51E56BBC"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0.80 </w:t>
            </w:r>
          </w:p>
        </w:tc>
        <w:tc>
          <w:tcPr>
            <w:tcW w:w="1431" w:type="dxa"/>
            <w:noWrap/>
            <w:vAlign w:val="bottom"/>
            <w:hideMark/>
          </w:tcPr>
          <w:p w14:paraId="68A12562" w14:textId="124ADDE6"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 xml:space="preserve">1.13 </w:t>
            </w:r>
          </w:p>
        </w:tc>
      </w:tr>
      <w:tr w:rsidR="000B07D4" w:rsidRPr="00600543" w14:paraId="3A5F3362"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49BDB400" w14:textId="476743C5"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胜率</w:t>
            </w:r>
          </w:p>
        </w:tc>
        <w:tc>
          <w:tcPr>
            <w:tcW w:w="1570" w:type="dxa"/>
            <w:noWrap/>
            <w:vAlign w:val="bottom"/>
            <w:hideMark/>
          </w:tcPr>
          <w:p w14:paraId="0DAF3992" w14:textId="010482C3"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60.38%</w:t>
            </w:r>
          </w:p>
        </w:tc>
        <w:tc>
          <w:tcPr>
            <w:tcW w:w="1596" w:type="dxa"/>
            <w:noWrap/>
            <w:vAlign w:val="bottom"/>
            <w:hideMark/>
          </w:tcPr>
          <w:p w14:paraId="16405A27" w14:textId="51C2D8E2"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69.81%</w:t>
            </w:r>
          </w:p>
        </w:tc>
        <w:tc>
          <w:tcPr>
            <w:tcW w:w="1842" w:type="dxa"/>
            <w:noWrap/>
            <w:vAlign w:val="bottom"/>
            <w:hideMark/>
          </w:tcPr>
          <w:p w14:paraId="3DCF41EA" w14:textId="1CA33F50"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60.38%</w:t>
            </w:r>
          </w:p>
        </w:tc>
        <w:tc>
          <w:tcPr>
            <w:tcW w:w="1250" w:type="dxa"/>
            <w:noWrap/>
            <w:vAlign w:val="bottom"/>
            <w:hideMark/>
          </w:tcPr>
          <w:p w14:paraId="53208D3E" w14:textId="248371C8"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59.62%</w:t>
            </w:r>
          </w:p>
        </w:tc>
        <w:tc>
          <w:tcPr>
            <w:tcW w:w="1431" w:type="dxa"/>
            <w:noWrap/>
            <w:vAlign w:val="bottom"/>
            <w:hideMark/>
          </w:tcPr>
          <w:p w14:paraId="22D75832" w14:textId="592A606E"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60.38%</w:t>
            </w:r>
          </w:p>
        </w:tc>
      </w:tr>
      <w:tr w:rsidR="000B07D4" w:rsidRPr="00600543" w14:paraId="3DE6A785"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7142F96F" w14:textId="679EBD2D"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统计周期最大收益</w:t>
            </w:r>
          </w:p>
        </w:tc>
        <w:tc>
          <w:tcPr>
            <w:tcW w:w="1570" w:type="dxa"/>
            <w:noWrap/>
            <w:vAlign w:val="bottom"/>
            <w:hideMark/>
          </w:tcPr>
          <w:p w14:paraId="3168186D" w14:textId="3A910B67"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1.50%</w:t>
            </w:r>
          </w:p>
        </w:tc>
        <w:tc>
          <w:tcPr>
            <w:tcW w:w="1596" w:type="dxa"/>
            <w:noWrap/>
            <w:vAlign w:val="bottom"/>
            <w:hideMark/>
          </w:tcPr>
          <w:p w14:paraId="017DE63E" w14:textId="6E5ED032"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1.14%</w:t>
            </w:r>
          </w:p>
        </w:tc>
        <w:tc>
          <w:tcPr>
            <w:tcW w:w="1842" w:type="dxa"/>
            <w:noWrap/>
            <w:vAlign w:val="bottom"/>
            <w:hideMark/>
          </w:tcPr>
          <w:p w14:paraId="55F6876D" w14:textId="5333CA0D"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2.44%</w:t>
            </w:r>
          </w:p>
        </w:tc>
        <w:tc>
          <w:tcPr>
            <w:tcW w:w="1250" w:type="dxa"/>
            <w:noWrap/>
            <w:vAlign w:val="bottom"/>
            <w:hideMark/>
          </w:tcPr>
          <w:p w14:paraId="6DB6558F" w14:textId="691FEA44"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2.09%</w:t>
            </w:r>
          </w:p>
        </w:tc>
        <w:tc>
          <w:tcPr>
            <w:tcW w:w="1431" w:type="dxa"/>
            <w:noWrap/>
            <w:vAlign w:val="bottom"/>
            <w:hideMark/>
          </w:tcPr>
          <w:p w14:paraId="06FD4903" w14:textId="0F5C9032"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0.84%</w:t>
            </w:r>
          </w:p>
        </w:tc>
      </w:tr>
      <w:tr w:rsidR="000B07D4" w:rsidRPr="00600543" w14:paraId="48FF8574"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54B57255" w14:textId="511C8349"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统计周期最大亏损</w:t>
            </w:r>
          </w:p>
        </w:tc>
        <w:tc>
          <w:tcPr>
            <w:tcW w:w="1570" w:type="dxa"/>
            <w:noWrap/>
            <w:vAlign w:val="bottom"/>
            <w:hideMark/>
          </w:tcPr>
          <w:p w14:paraId="4FEFF8A0" w14:textId="47119E80"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-1.54%</w:t>
            </w:r>
          </w:p>
        </w:tc>
        <w:tc>
          <w:tcPr>
            <w:tcW w:w="1596" w:type="dxa"/>
            <w:noWrap/>
            <w:vAlign w:val="bottom"/>
            <w:hideMark/>
          </w:tcPr>
          <w:p w14:paraId="4421F27C" w14:textId="66AFD98D"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-1.18%</w:t>
            </w:r>
          </w:p>
        </w:tc>
        <w:tc>
          <w:tcPr>
            <w:tcW w:w="1842" w:type="dxa"/>
            <w:noWrap/>
            <w:vAlign w:val="bottom"/>
            <w:hideMark/>
          </w:tcPr>
          <w:p w14:paraId="65604926" w14:textId="60E64E52"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-1.76%</w:t>
            </w:r>
          </w:p>
        </w:tc>
        <w:tc>
          <w:tcPr>
            <w:tcW w:w="1250" w:type="dxa"/>
            <w:noWrap/>
            <w:vAlign w:val="bottom"/>
            <w:hideMark/>
          </w:tcPr>
          <w:p w14:paraId="39E3294C" w14:textId="7FCD5C89"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-2.04%</w:t>
            </w:r>
          </w:p>
        </w:tc>
        <w:tc>
          <w:tcPr>
            <w:tcW w:w="1431" w:type="dxa"/>
            <w:noWrap/>
            <w:vAlign w:val="bottom"/>
            <w:hideMark/>
          </w:tcPr>
          <w:p w14:paraId="5AB41110" w14:textId="0890B4D9"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-0.60%</w:t>
            </w:r>
          </w:p>
        </w:tc>
      </w:tr>
      <w:tr w:rsidR="000B07D4" w:rsidRPr="00600543" w14:paraId="25BD096F" w14:textId="77777777" w:rsidTr="00A138B2">
        <w:trPr>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0DAF8989" w14:textId="64147F85"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最大月收益</w:t>
            </w:r>
          </w:p>
        </w:tc>
        <w:tc>
          <w:tcPr>
            <w:tcW w:w="1570" w:type="dxa"/>
            <w:noWrap/>
            <w:vAlign w:val="bottom"/>
            <w:hideMark/>
          </w:tcPr>
          <w:p w14:paraId="223C10CE" w14:textId="0A68BF1C"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2.02%</w:t>
            </w:r>
          </w:p>
        </w:tc>
        <w:tc>
          <w:tcPr>
            <w:tcW w:w="1596" w:type="dxa"/>
            <w:noWrap/>
            <w:vAlign w:val="bottom"/>
            <w:hideMark/>
          </w:tcPr>
          <w:p w14:paraId="755D85FA" w14:textId="73FB0050"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1.71%</w:t>
            </w:r>
          </w:p>
        </w:tc>
        <w:tc>
          <w:tcPr>
            <w:tcW w:w="1842" w:type="dxa"/>
            <w:noWrap/>
            <w:vAlign w:val="bottom"/>
            <w:hideMark/>
          </w:tcPr>
          <w:p w14:paraId="1FE9AB2D" w14:textId="0381DCDB"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3.25%</w:t>
            </w:r>
          </w:p>
        </w:tc>
        <w:tc>
          <w:tcPr>
            <w:tcW w:w="1250" w:type="dxa"/>
            <w:noWrap/>
            <w:vAlign w:val="bottom"/>
            <w:hideMark/>
          </w:tcPr>
          <w:p w14:paraId="6258B1CA" w14:textId="01E7EA3D"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1.24%</w:t>
            </w:r>
          </w:p>
        </w:tc>
        <w:tc>
          <w:tcPr>
            <w:tcW w:w="1431" w:type="dxa"/>
            <w:noWrap/>
            <w:vAlign w:val="bottom"/>
            <w:hideMark/>
          </w:tcPr>
          <w:p w14:paraId="7FA9876B" w14:textId="7A8CAE45" w:rsidR="000B07D4" w:rsidRPr="00600543" w:rsidRDefault="000B07D4" w:rsidP="000B07D4">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1.10%</w:t>
            </w:r>
          </w:p>
        </w:tc>
      </w:tr>
      <w:tr w:rsidR="000B07D4" w:rsidRPr="00600543" w14:paraId="3887850A" w14:textId="77777777" w:rsidTr="00A138B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2211" w:type="dxa"/>
            <w:noWrap/>
            <w:hideMark/>
          </w:tcPr>
          <w:p w14:paraId="601FC103" w14:textId="3E2237FC" w:rsidR="000B07D4" w:rsidRPr="00600543" w:rsidRDefault="000B07D4" w:rsidP="000B07D4">
            <w:pPr>
              <w:widowControl/>
              <w:jc w:val="center"/>
              <w:rPr>
                <w:rFonts w:ascii="微软雅黑" w:eastAsia="微软雅黑" w:hAnsi="微软雅黑" w:cs="宋体"/>
                <w:b w:val="0"/>
                <w:bCs w:val="0"/>
                <w:color w:val="000000"/>
                <w:kern w:val="0"/>
                <w:sz w:val="18"/>
                <w:szCs w:val="18"/>
              </w:rPr>
            </w:pPr>
            <w:r>
              <w:rPr>
                <w:rFonts w:hint="eastAsia"/>
                <w:b w:val="0"/>
                <w:bCs w:val="0"/>
                <w:color w:val="000000"/>
                <w:sz w:val="22"/>
              </w:rPr>
              <w:t>最大月亏损</w:t>
            </w:r>
          </w:p>
        </w:tc>
        <w:tc>
          <w:tcPr>
            <w:tcW w:w="1570" w:type="dxa"/>
            <w:noWrap/>
            <w:vAlign w:val="bottom"/>
            <w:hideMark/>
          </w:tcPr>
          <w:p w14:paraId="3D3C7A30" w14:textId="4D8962B7"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-2.73%</w:t>
            </w:r>
          </w:p>
        </w:tc>
        <w:tc>
          <w:tcPr>
            <w:tcW w:w="1596" w:type="dxa"/>
            <w:noWrap/>
            <w:vAlign w:val="bottom"/>
            <w:hideMark/>
          </w:tcPr>
          <w:p w14:paraId="54286511" w14:textId="6187193E"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-2.29%</w:t>
            </w:r>
          </w:p>
        </w:tc>
        <w:tc>
          <w:tcPr>
            <w:tcW w:w="1842" w:type="dxa"/>
            <w:noWrap/>
            <w:vAlign w:val="bottom"/>
            <w:hideMark/>
          </w:tcPr>
          <w:p w14:paraId="2CBA3104" w14:textId="37A5C12D"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-1.51%</w:t>
            </w:r>
          </w:p>
        </w:tc>
        <w:tc>
          <w:tcPr>
            <w:tcW w:w="1250" w:type="dxa"/>
            <w:noWrap/>
            <w:vAlign w:val="bottom"/>
            <w:hideMark/>
          </w:tcPr>
          <w:p w14:paraId="7DF7393F" w14:textId="67D715F4"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-1.14%</w:t>
            </w:r>
          </w:p>
        </w:tc>
        <w:tc>
          <w:tcPr>
            <w:tcW w:w="1431" w:type="dxa"/>
            <w:noWrap/>
            <w:vAlign w:val="bottom"/>
            <w:hideMark/>
          </w:tcPr>
          <w:p w14:paraId="105C1B14" w14:textId="53DB098E" w:rsidR="000B07D4" w:rsidRPr="00600543" w:rsidRDefault="000B07D4" w:rsidP="000B07D4">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18"/>
                <w:szCs w:val="18"/>
              </w:rPr>
            </w:pPr>
            <w:r>
              <w:rPr>
                <w:rFonts w:hint="eastAsia"/>
                <w:color w:val="000000"/>
                <w:sz w:val="22"/>
              </w:rPr>
              <w:t>-0.60%</w:t>
            </w:r>
          </w:p>
        </w:tc>
      </w:tr>
    </w:tbl>
    <w:p w14:paraId="39DEE43E" w14:textId="269853DB" w:rsidR="004F14F1" w:rsidRPr="00970E06" w:rsidRDefault="00817EA3" w:rsidP="00970E06">
      <w:pPr>
        <w:jc w:val="center"/>
        <w:rPr>
          <w:rFonts w:ascii="微软雅黑" w:eastAsia="微软雅黑" w:hAnsi="微软雅黑"/>
          <w:color w:val="182B87"/>
          <w:sz w:val="22"/>
        </w:rPr>
      </w:pPr>
      <w:r>
        <w:rPr>
          <w:noProof/>
        </w:rPr>
        <w:drawing>
          <wp:inline distT="0" distB="0" distL="0" distR="0" wp14:anchorId="3CD5B207" wp14:editId="351B07E6">
            <wp:extent cx="6156054" cy="3250565"/>
            <wp:effectExtent l="0" t="0" r="16510" b="6985"/>
            <wp:docPr id="15" name="Chart 15">
              <a:extLst xmlns:a="http://schemas.openxmlformats.org/drawingml/2006/main">
                <a:ext uri="{FF2B5EF4-FFF2-40B4-BE49-F238E27FC236}">
                  <a16:creationId xmlns:a16="http://schemas.microsoft.com/office/drawing/2014/main" id="{A314C67E-9A9F-4305-A8F3-9D66DD21A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6E6FD3C" w14:textId="77777777" w:rsidR="00D25E2C" w:rsidRPr="00C94D63" w:rsidRDefault="003533CE" w:rsidP="00455400">
      <w:pPr>
        <w:spacing w:line="400" w:lineRule="exact"/>
        <w:rPr>
          <w:rFonts w:ascii="微软雅黑" w:eastAsia="微软雅黑" w:hAnsi="微软雅黑"/>
          <w:color w:val="182B87"/>
          <w:sz w:val="32"/>
          <w:szCs w:val="32"/>
        </w:rPr>
      </w:pPr>
      <w:r w:rsidRPr="00C94D63">
        <w:rPr>
          <w:rFonts w:ascii="微软雅黑" w:eastAsia="微软雅黑" w:hAnsi="微软雅黑" w:hint="eastAsia"/>
          <w:color w:val="182B87"/>
          <w:sz w:val="32"/>
          <w:szCs w:val="32"/>
        </w:rPr>
        <w:t>二、</w:t>
      </w:r>
      <w:r w:rsidR="00D25E2C" w:rsidRPr="00C94D63">
        <w:rPr>
          <w:rFonts w:ascii="微软雅黑" w:eastAsia="微软雅黑" w:hAnsi="微软雅黑" w:hint="eastAsia"/>
          <w:color w:val="182B87"/>
          <w:sz w:val="32"/>
          <w:szCs w:val="32"/>
        </w:rPr>
        <w:t>股票多头策略</w:t>
      </w:r>
    </w:p>
    <w:p w14:paraId="74465D85" w14:textId="27A94D1D" w:rsidR="00783A8B" w:rsidRPr="00783A8B" w:rsidRDefault="008A0D73" w:rsidP="00783A8B">
      <w:pPr>
        <w:spacing w:line="400" w:lineRule="exact"/>
        <w:ind w:firstLineChars="200" w:firstLine="440"/>
        <w:jc w:val="left"/>
        <w:rPr>
          <w:rFonts w:ascii="微软雅黑" w:eastAsia="微软雅黑" w:hAnsi="微软雅黑"/>
          <w:sz w:val="22"/>
        </w:rPr>
      </w:pPr>
      <w:r w:rsidRPr="008A0D73">
        <w:rPr>
          <w:rFonts w:ascii="微软雅黑" w:eastAsia="微软雅黑" w:hAnsi="微软雅黑"/>
          <w:sz w:val="22"/>
        </w:rPr>
        <w:t>2017年三季度，股票多头策略完整公布业绩数据的728家机构中获得正收益的有552家，收益超过1%的有490 家，占比67%；亏损超过-1%的有128家，占比18%</w:t>
      </w:r>
      <w:r>
        <w:rPr>
          <w:rFonts w:ascii="微软雅黑" w:eastAsia="微软雅黑" w:hAnsi="微软雅黑"/>
          <w:sz w:val="22"/>
        </w:rPr>
        <w:t>，整体表现比较好</w:t>
      </w:r>
      <w:r w:rsidR="00783A8B" w:rsidRPr="00783A8B">
        <w:rPr>
          <w:rFonts w:ascii="微软雅黑" w:eastAsia="微软雅黑" w:hAnsi="微软雅黑"/>
          <w:sz w:val="22"/>
        </w:rPr>
        <w:t>。</w:t>
      </w:r>
    </w:p>
    <w:p w14:paraId="4A7EA1DD" w14:textId="4677A9F6" w:rsidR="00783A8B" w:rsidRDefault="00545344" w:rsidP="00783A8B">
      <w:pPr>
        <w:spacing w:line="360" w:lineRule="auto"/>
        <w:ind w:firstLineChars="245" w:firstLine="539"/>
        <w:rPr>
          <w:rFonts w:asciiTheme="majorEastAsia" w:eastAsiaTheme="majorEastAsia" w:hAnsiTheme="majorEastAsia" w:cs="KaiTi"/>
          <w:sz w:val="22"/>
          <w:szCs w:val="21"/>
        </w:rPr>
      </w:pPr>
      <w:r w:rsidRPr="00ED3074">
        <w:rPr>
          <w:rFonts w:asciiTheme="majorEastAsia" w:eastAsiaTheme="majorEastAsia" w:hAnsiTheme="majorEastAsia" w:cs="KaiTi"/>
          <w:noProof/>
          <w:sz w:val="22"/>
          <w:szCs w:val="21"/>
        </w:rPr>
        <w:lastRenderedPageBreak/>
        <w:drawing>
          <wp:inline distT="0" distB="0" distL="0" distR="0" wp14:anchorId="77C01576" wp14:editId="3D70D053">
            <wp:extent cx="5499997" cy="2743200"/>
            <wp:effectExtent l="0" t="0" r="5715" b="0"/>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7148083" w14:textId="77777777" w:rsidR="00783A8B" w:rsidRPr="00783A8B" w:rsidRDefault="00783A8B" w:rsidP="00D652A4">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股票市场在经过2017年一季度上涨，二季度前2个月的下跌后迎来随后反弹，上证指数从5月中的3016.53点反弹至国庆后的高点3410.17点，指数反弹了13%，并且持续了近5个月。从上证指数突破3300点后，指数</w:t>
      </w:r>
      <w:proofErr w:type="gramStart"/>
      <w:r w:rsidRPr="00783A8B">
        <w:rPr>
          <w:rFonts w:ascii="微软雅黑" w:eastAsia="微软雅黑" w:hAnsi="微软雅黑" w:hint="eastAsia"/>
          <w:sz w:val="22"/>
        </w:rPr>
        <w:t>偏一直</w:t>
      </w:r>
      <w:proofErr w:type="gramEnd"/>
      <w:r w:rsidRPr="00783A8B">
        <w:rPr>
          <w:rFonts w:ascii="微软雅黑" w:eastAsia="微软雅黑" w:hAnsi="微软雅黑" w:hint="eastAsia"/>
          <w:sz w:val="22"/>
        </w:rPr>
        <w:t>在3300到3400之间震荡，目前已经在此区间震荡了35个交易日。</w:t>
      </w:r>
    </w:p>
    <w:p w14:paraId="68930AA3" w14:textId="77777777" w:rsidR="00783A8B" w:rsidRPr="00783A8B" w:rsidRDefault="00783A8B" w:rsidP="00783A8B">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国庆节之后，中小盘便见顶开始了调整，经过近2周的调整，我们认为中小盘的调整已经接近了尾声。目前是布局中小</w:t>
      </w:r>
      <w:proofErr w:type="gramStart"/>
      <w:r w:rsidRPr="00783A8B">
        <w:rPr>
          <w:rFonts w:ascii="微软雅黑" w:eastAsia="微软雅黑" w:hAnsi="微软雅黑" w:hint="eastAsia"/>
          <w:sz w:val="22"/>
        </w:rPr>
        <w:t>盘最好</w:t>
      </w:r>
      <w:proofErr w:type="gramEnd"/>
      <w:r w:rsidRPr="00783A8B">
        <w:rPr>
          <w:rFonts w:ascii="微软雅黑" w:eastAsia="微软雅黑" w:hAnsi="微软雅黑" w:hint="eastAsia"/>
          <w:sz w:val="22"/>
        </w:rPr>
        <w:t>的时候，看好的主题方向依然是行业趋势确定的电动车,5G等方向。</w:t>
      </w:r>
    </w:p>
    <w:p w14:paraId="5833F163" w14:textId="36DD627C" w:rsidR="00FE6B26" w:rsidRPr="00783A8B" w:rsidRDefault="00783A8B" w:rsidP="00783A8B">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对于后市，我们依然看好供给</w:t>
      </w:r>
      <w:proofErr w:type="gramStart"/>
      <w:r w:rsidRPr="00783A8B">
        <w:rPr>
          <w:rFonts w:ascii="微软雅黑" w:eastAsia="微软雅黑" w:hAnsi="微软雅黑" w:hint="eastAsia"/>
          <w:sz w:val="22"/>
        </w:rPr>
        <w:t>侧改革</w:t>
      </w:r>
      <w:proofErr w:type="gramEnd"/>
      <w:r w:rsidRPr="00783A8B">
        <w:rPr>
          <w:rFonts w:ascii="微软雅黑" w:eastAsia="微软雅黑" w:hAnsi="微软雅黑" w:hint="eastAsia"/>
          <w:sz w:val="22"/>
        </w:rPr>
        <w:t>和经济转型对中国经济</w:t>
      </w:r>
      <w:r w:rsidR="00D652A4">
        <w:rPr>
          <w:rFonts w:ascii="微软雅黑" w:eastAsia="微软雅黑" w:hAnsi="微软雅黑" w:hint="eastAsia"/>
          <w:sz w:val="22"/>
        </w:rPr>
        <w:t>的正面影响，国有企业部门</w:t>
      </w:r>
      <w:r w:rsidRPr="00783A8B">
        <w:rPr>
          <w:rFonts w:ascii="微软雅黑" w:eastAsia="微软雅黑" w:hAnsi="微软雅黑" w:hint="eastAsia"/>
          <w:sz w:val="22"/>
        </w:rPr>
        <w:t>的资产负债表持续改善，经济韧性十足，短期的调整都是加仓的好时机，但是要注意把握节奏。十九大之后，中国经济和股市在下一个五年都会有不错的机会。</w:t>
      </w:r>
    </w:p>
    <w:p w14:paraId="3D18CE99" w14:textId="43EBF0AE" w:rsidR="005A65AB" w:rsidRDefault="00AB55AF" w:rsidP="007519EC">
      <w:pPr>
        <w:spacing w:beforeLines="50" w:before="156" w:line="400" w:lineRule="exact"/>
        <w:rPr>
          <w:rFonts w:ascii="微软雅黑" w:eastAsia="微软雅黑" w:hAnsi="微软雅黑"/>
          <w:color w:val="182B87"/>
          <w:sz w:val="32"/>
          <w:szCs w:val="32"/>
        </w:rPr>
      </w:pPr>
      <w:r>
        <w:rPr>
          <w:rFonts w:ascii="微软雅黑" w:eastAsia="微软雅黑" w:hAnsi="微软雅黑" w:hint="eastAsia"/>
          <w:color w:val="182B87"/>
          <w:sz w:val="32"/>
          <w:szCs w:val="32"/>
        </w:rPr>
        <w:t>三、</w:t>
      </w:r>
      <w:r w:rsidR="000620FA" w:rsidRPr="00AB55AF">
        <w:rPr>
          <w:rFonts w:ascii="微软雅黑" w:eastAsia="微软雅黑" w:hAnsi="微软雅黑" w:hint="eastAsia"/>
          <w:color w:val="182B87"/>
          <w:sz w:val="32"/>
          <w:szCs w:val="32"/>
        </w:rPr>
        <w:t>市场中性策略</w:t>
      </w:r>
    </w:p>
    <w:p w14:paraId="4B985AEB" w14:textId="7947ED16" w:rsidR="00804AB6" w:rsidRPr="007F270E" w:rsidRDefault="007F270E" w:rsidP="007F270E">
      <w:pPr>
        <w:spacing w:line="400" w:lineRule="exact"/>
        <w:ind w:firstLineChars="150" w:firstLine="330"/>
        <w:jc w:val="left"/>
        <w:rPr>
          <w:rFonts w:ascii="微软雅黑" w:eastAsia="微软雅黑" w:hAnsi="微软雅黑"/>
          <w:sz w:val="22"/>
        </w:rPr>
      </w:pPr>
      <w:r w:rsidRPr="007F270E">
        <w:rPr>
          <w:rFonts w:ascii="微软雅黑" w:eastAsia="微软雅黑" w:hAnsi="微软雅黑" w:hint="eastAsia"/>
          <w:sz w:val="22"/>
        </w:rPr>
        <w:t>第三季度市场复华跟踪的市场上有代表性的股票中性策略基金完整公布业绩数据的</w:t>
      </w:r>
      <w:r w:rsidRPr="007F270E">
        <w:rPr>
          <w:rFonts w:ascii="微软雅黑" w:eastAsia="微软雅黑" w:hAnsi="微软雅黑"/>
          <w:sz w:val="22"/>
        </w:rPr>
        <w:t>19</w:t>
      </w:r>
      <w:r w:rsidRPr="007F270E">
        <w:rPr>
          <w:rFonts w:ascii="微软雅黑" w:eastAsia="微软雅黑" w:hAnsi="微软雅黑" w:hint="eastAsia"/>
          <w:sz w:val="22"/>
        </w:rPr>
        <w:t>家</w:t>
      </w:r>
      <w:r w:rsidR="00817EA3">
        <w:rPr>
          <w:rFonts w:ascii="微软雅黑" w:eastAsia="微软雅黑" w:hAnsi="微软雅黑" w:hint="eastAsia"/>
          <w:sz w:val="22"/>
        </w:rPr>
        <w:t>机构</w:t>
      </w:r>
      <w:r w:rsidRPr="007F270E">
        <w:rPr>
          <w:rFonts w:ascii="微软雅黑" w:eastAsia="微软雅黑" w:hAnsi="微软雅黑" w:hint="eastAsia"/>
          <w:sz w:val="22"/>
        </w:rPr>
        <w:t>中获得正收益的私募基金有</w:t>
      </w:r>
      <w:r w:rsidRPr="007F270E">
        <w:rPr>
          <w:rFonts w:ascii="微软雅黑" w:eastAsia="微软雅黑" w:hAnsi="微软雅黑"/>
          <w:sz w:val="22"/>
        </w:rPr>
        <w:t>12家，占比63%，收益超过1%的私募基金有8家，</w:t>
      </w:r>
      <w:r w:rsidRPr="007F270E">
        <w:rPr>
          <w:rFonts w:ascii="微软雅黑" w:eastAsia="微软雅黑" w:hAnsi="微软雅黑" w:hint="eastAsia"/>
          <w:sz w:val="22"/>
        </w:rPr>
        <w:t>占比</w:t>
      </w:r>
      <w:r w:rsidRPr="007F270E">
        <w:rPr>
          <w:rFonts w:ascii="微软雅黑" w:eastAsia="微软雅黑" w:hAnsi="微软雅黑"/>
          <w:sz w:val="22"/>
        </w:rPr>
        <w:t>42%，亏损超过-1%的有3 家，占比16%。</w:t>
      </w:r>
    </w:p>
    <w:p w14:paraId="2EE4D1E6" w14:textId="6BB1DF40" w:rsidR="00804AB6" w:rsidRDefault="007F270E" w:rsidP="00804AB6">
      <w:pPr>
        <w:ind w:firstLineChars="200" w:firstLine="420"/>
      </w:pPr>
      <w:r>
        <w:rPr>
          <w:noProof/>
        </w:rPr>
        <w:lastRenderedPageBreak/>
        <w:drawing>
          <wp:inline distT="0" distB="0" distL="0" distR="0" wp14:anchorId="21CE9BE1" wp14:editId="144A7A21">
            <wp:extent cx="5547587" cy="3062730"/>
            <wp:effectExtent l="0" t="0" r="15240" b="4445"/>
            <wp:docPr id="11" name="Chart 11">
              <a:extLst xmlns:a="http://schemas.openxmlformats.org/drawingml/2006/main">
                <a:ext uri="{FF2B5EF4-FFF2-40B4-BE49-F238E27FC236}">
                  <a16:creationId xmlns:a16="http://schemas.microsoft.com/office/drawing/2014/main" id="{6AA723DE-1554-428A-9461-2456E5FBB6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1604A5A" w14:textId="0F3797A6" w:rsidR="00DE0F58" w:rsidRPr="00783A8B" w:rsidRDefault="00804AB6" w:rsidP="00783A8B">
      <w:pPr>
        <w:spacing w:line="400" w:lineRule="exact"/>
        <w:ind w:firstLineChars="200" w:firstLine="440"/>
        <w:jc w:val="left"/>
        <w:rPr>
          <w:rFonts w:ascii="微软雅黑" w:eastAsia="微软雅黑" w:hAnsi="微软雅黑"/>
          <w:sz w:val="22"/>
        </w:rPr>
      </w:pPr>
      <w:r w:rsidRPr="00783A8B">
        <w:rPr>
          <w:rFonts w:ascii="微软雅黑" w:eastAsia="微软雅黑" w:hAnsi="微软雅黑" w:hint="eastAsia"/>
          <w:sz w:val="22"/>
        </w:rPr>
        <w:t>市场中性策略也业绩</w:t>
      </w:r>
      <w:r w:rsidR="008046CA">
        <w:rPr>
          <w:rFonts w:ascii="微软雅黑" w:eastAsia="微软雅黑" w:hAnsi="微软雅黑" w:hint="eastAsia"/>
          <w:sz w:val="22"/>
        </w:rPr>
        <w:t>归因上看，首先贴水整体继续收敛，甚至出现升水，长期利多市场中性策略</w:t>
      </w:r>
      <w:r w:rsidRPr="00783A8B">
        <w:rPr>
          <w:rFonts w:ascii="微软雅黑" w:eastAsia="微软雅黑" w:hAnsi="微软雅黑" w:hint="eastAsia"/>
          <w:sz w:val="22"/>
        </w:rPr>
        <w:t>，但偶尔的快速收敛或升水造成市场中性策略短期承压；其次在典型选股因子上第三季度先跌后涨，整体盈利，尤其是估值类因子表现出色。整体从第三季度我们观察到市场股票中性策略典型选股因子触底反弹，</w:t>
      </w:r>
      <w:proofErr w:type="gramStart"/>
      <w:r w:rsidRPr="00783A8B">
        <w:rPr>
          <w:rFonts w:ascii="微软雅黑" w:eastAsia="微软雅黑" w:hAnsi="微软雅黑" w:hint="eastAsia"/>
          <w:sz w:val="22"/>
        </w:rPr>
        <w:t>基差结束</w:t>
      </w:r>
      <w:proofErr w:type="gramEnd"/>
      <w:r w:rsidRPr="00783A8B">
        <w:rPr>
          <w:rFonts w:ascii="微软雅黑" w:eastAsia="微软雅黑" w:hAnsi="微软雅黑" w:hint="eastAsia"/>
          <w:sz w:val="22"/>
        </w:rPr>
        <w:t>2年的贴水状态，市场中性策略出现反转。我们预期第四季度</w:t>
      </w:r>
      <w:r w:rsidR="005D0989">
        <w:rPr>
          <w:rFonts w:ascii="微软雅黑" w:eastAsia="微软雅黑" w:hAnsi="微软雅黑" w:hint="eastAsia"/>
          <w:sz w:val="22"/>
        </w:rPr>
        <w:t>市场中性</w:t>
      </w:r>
      <w:r w:rsidRPr="00783A8B">
        <w:rPr>
          <w:rFonts w:ascii="微软雅黑" w:eastAsia="微软雅黑" w:hAnsi="微软雅黑" w:hint="eastAsia"/>
          <w:sz w:val="22"/>
        </w:rPr>
        <w:t>策略可能表现稍弱于第三季度，部分典型选股因子可能表现出现回落。</w:t>
      </w:r>
    </w:p>
    <w:p w14:paraId="0E8035D7" w14:textId="77777777" w:rsidR="00DE0F58" w:rsidRPr="00783A8B" w:rsidRDefault="00DE0F58" w:rsidP="00783A8B">
      <w:pPr>
        <w:spacing w:line="400" w:lineRule="exact"/>
        <w:ind w:leftChars="800" w:left="1680" w:firstLineChars="200" w:firstLine="440"/>
        <w:jc w:val="left"/>
        <w:rPr>
          <w:rFonts w:ascii="微软雅黑" w:eastAsia="微软雅黑" w:hAnsi="微软雅黑"/>
          <w:sz w:val="22"/>
        </w:rPr>
      </w:pPr>
    </w:p>
    <w:p w14:paraId="28150E8E" w14:textId="4312BB34" w:rsidR="00EF1089" w:rsidRDefault="00085E14" w:rsidP="00455400">
      <w:pPr>
        <w:spacing w:beforeLines="50" w:before="156" w:line="400" w:lineRule="exact"/>
        <w:rPr>
          <w:rFonts w:ascii="微软雅黑" w:eastAsia="微软雅黑" w:hAnsi="微软雅黑"/>
          <w:color w:val="182B87"/>
          <w:sz w:val="32"/>
          <w:szCs w:val="32"/>
        </w:rPr>
      </w:pPr>
      <w:bookmarkStart w:id="1" w:name="_Hlk489446829"/>
      <w:r w:rsidRPr="00085E14">
        <w:rPr>
          <w:rFonts w:ascii="微软雅黑" w:eastAsia="微软雅黑" w:hAnsi="微软雅黑" w:hint="eastAsia"/>
          <w:color w:val="182B87"/>
          <w:sz w:val="32"/>
          <w:szCs w:val="32"/>
        </w:rPr>
        <w:t>四、</w:t>
      </w:r>
      <w:r w:rsidR="00AC2DB4" w:rsidRPr="00085E14">
        <w:rPr>
          <w:rFonts w:ascii="微软雅黑" w:eastAsia="微软雅黑" w:hAnsi="微软雅黑"/>
          <w:color w:val="182B87"/>
          <w:sz w:val="32"/>
          <w:szCs w:val="32"/>
        </w:rPr>
        <w:t>CTA</w:t>
      </w:r>
      <w:r w:rsidR="00AC2DB4" w:rsidRPr="00085E14">
        <w:rPr>
          <w:rFonts w:ascii="微软雅黑" w:eastAsia="微软雅黑" w:hAnsi="微软雅黑" w:hint="eastAsia"/>
          <w:color w:val="182B87"/>
          <w:sz w:val="32"/>
          <w:szCs w:val="32"/>
        </w:rPr>
        <w:t>策略</w:t>
      </w:r>
    </w:p>
    <w:p w14:paraId="16C431DB" w14:textId="6745B3A0" w:rsidR="006E1220" w:rsidRDefault="00FC3916" w:rsidP="00455400">
      <w:pPr>
        <w:spacing w:line="400" w:lineRule="exact"/>
        <w:ind w:firstLineChars="250" w:firstLine="525"/>
        <w:jc w:val="left"/>
        <w:rPr>
          <w:rFonts w:ascii="微软雅黑" w:eastAsia="微软雅黑" w:hAnsi="微软雅黑"/>
          <w:sz w:val="22"/>
        </w:rPr>
      </w:pPr>
      <w:r>
        <w:rPr>
          <w:noProof/>
        </w:rPr>
        <w:drawing>
          <wp:anchor distT="0" distB="0" distL="114300" distR="114300" simplePos="0" relativeHeight="251712512" behindDoc="1" locked="0" layoutInCell="1" allowOverlap="1" wp14:anchorId="3792A2FB" wp14:editId="05C84DC4">
            <wp:simplePos x="0" y="0"/>
            <wp:positionH relativeFrom="column">
              <wp:posOffset>47625</wp:posOffset>
            </wp:positionH>
            <wp:positionV relativeFrom="paragraph">
              <wp:posOffset>825500</wp:posOffset>
            </wp:positionV>
            <wp:extent cx="5759450" cy="2698750"/>
            <wp:effectExtent l="0" t="0" r="12700" b="6350"/>
            <wp:wrapTight wrapText="bothSides">
              <wp:wrapPolygon edited="0">
                <wp:start x="0" y="0"/>
                <wp:lineTo x="0" y="21498"/>
                <wp:lineTo x="21576" y="21498"/>
                <wp:lineTo x="21576" y="0"/>
                <wp:lineTo x="0" y="0"/>
              </wp:wrapPolygon>
            </wp:wrapTight>
            <wp:docPr id="10" name="Chart 10">
              <a:extLst xmlns:a="http://schemas.openxmlformats.org/drawingml/2006/main">
                <a:ext uri="{FF2B5EF4-FFF2-40B4-BE49-F238E27FC236}">
                  <a16:creationId xmlns:a16="http://schemas.microsoft.com/office/drawing/2014/main" id="{92B99E41-7D41-4873-AD24-A4E71A0E4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6E1220" w:rsidRPr="00EF1089">
        <w:rPr>
          <w:rFonts w:ascii="微软雅黑" w:eastAsia="微软雅黑" w:hAnsi="微软雅黑"/>
          <w:sz w:val="22"/>
        </w:rPr>
        <w:t>2017年</w:t>
      </w:r>
      <w:r w:rsidR="006E1220">
        <w:rPr>
          <w:rFonts w:ascii="微软雅黑" w:eastAsia="微软雅黑" w:hAnsi="微软雅黑" w:hint="eastAsia"/>
          <w:sz w:val="22"/>
        </w:rPr>
        <w:t>三季度</w:t>
      </w:r>
      <w:r w:rsidR="006E1220" w:rsidRPr="00EF1089">
        <w:rPr>
          <w:rFonts w:ascii="微软雅黑" w:eastAsia="微软雅黑" w:hAnsi="微软雅黑"/>
          <w:sz w:val="22"/>
        </w:rPr>
        <w:t>，CTA策略</w:t>
      </w:r>
      <w:r w:rsidR="006E1220" w:rsidRPr="00544145">
        <w:rPr>
          <w:rFonts w:ascii="微软雅黑" w:eastAsia="微软雅黑" w:hAnsi="微软雅黑" w:hint="eastAsia"/>
          <w:sz w:val="22"/>
        </w:rPr>
        <w:t>完整公布业绩数据的</w:t>
      </w:r>
      <w:r w:rsidR="00C157C9">
        <w:rPr>
          <w:rFonts w:ascii="微软雅黑" w:eastAsia="微软雅黑" w:hAnsi="微软雅黑" w:hint="eastAsia"/>
          <w:sz w:val="22"/>
        </w:rPr>
        <w:t>41家</w:t>
      </w:r>
      <w:r w:rsidR="00817EA3">
        <w:rPr>
          <w:rFonts w:ascii="微软雅黑" w:eastAsia="微软雅黑" w:hAnsi="微软雅黑" w:hint="eastAsia"/>
          <w:sz w:val="22"/>
        </w:rPr>
        <w:t>机构</w:t>
      </w:r>
      <w:r w:rsidR="006E1220" w:rsidRPr="00544145">
        <w:rPr>
          <w:rFonts w:ascii="微软雅黑" w:eastAsia="微软雅黑" w:hAnsi="微软雅黑"/>
          <w:sz w:val="22"/>
        </w:rPr>
        <w:t>中</w:t>
      </w:r>
      <w:r w:rsidR="006E1220" w:rsidRPr="00544145">
        <w:rPr>
          <w:rFonts w:ascii="微软雅黑" w:eastAsia="微软雅黑" w:hAnsi="微软雅黑" w:hint="eastAsia"/>
          <w:sz w:val="22"/>
        </w:rPr>
        <w:t>获得正收益的有</w:t>
      </w:r>
      <w:r w:rsidR="00C157C9">
        <w:rPr>
          <w:rFonts w:ascii="微软雅黑" w:eastAsia="微软雅黑" w:hAnsi="微软雅黑" w:hint="eastAsia"/>
          <w:sz w:val="22"/>
        </w:rPr>
        <w:t>2</w:t>
      </w:r>
      <w:r w:rsidR="00E3185A">
        <w:rPr>
          <w:rFonts w:ascii="微软雅黑" w:eastAsia="微软雅黑" w:hAnsi="微软雅黑" w:hint="eastAsia"/>
          <w:sz w:val="22"/>
        </w:rPr>
        <w:t>9</w:t>
      </w:r>
      <w:r w:rsidR="006E1220" w:rsidRPr="00544145">
        <w:rPr>
          <w:rFonts w:ascii="微软雅黑" w:eastAsia="微软雅黑" w:hAnsi="微软雅黑"/>
          <w:sz w:val="22"/>
        </w:rPr>
        <w:t xml:space="preserve"> </w:t>
      </w:r>
      <w:r w:rsidR="00C157C9">
        <w:rPr>
          <w:rFonts w:ascii="微软雅黑" w:eastAsia="微软雅黑" w:hAnsi="微软雅黑" w:hint="eastAsia"/>
          <w:sz w:val="22"/>
        </w:rPr>
        <w:t>家</w:t>
      </w:r>
      <w:r w:rsidR="006E1220" w:rsidRPr="00544145">
        <w:rPr>
          <w:rFonts w:ascii="微软雅黑" w:eastAsia="微软雅黑" w:hAnsi="微软雅黑"/>
          <w:sz w:val="22"/>
        </w:rPr>
        <w:t>，占比</w:t>
      </w:r>
      <w:r w:rsidR="00C157C9">
        <w:rPr>
          <w:rFonts w:ascii="微软雅黑" w:eastAsia="微软雅黑" w:hAnsi="微软雅黑" w:hint="eastAsia"/>
          <w:sz w:val="22"/>
        </w:rPr>
        <w:t>71</w:t>
      </w:r>
      <w:r w:rsidR="006E1220" w:rsidRPr="00544145">
        <w:rPr>
          <w:rFonts w:ascii="微软雅黑" w:eastAsia="微软雅黑" w:hAnsi="微软雅黑"/>
          <w:sz w:val="22"/>
        </w:rPr>
        <w:t>%</w:t>
      </w:r>
      <w:r w:rsidR="006E1220">
        <w:rPr>
          <w:rFonts w:ascii="微软雅黑" w:eastAsia="微软雅黑" w:hAnsi="微软雅黑" w:hint="eastAsia"/>
          <w:sz w:val="22"/>
        </w:rPr>
        <w:t>，</w:t>
      </w:r>
      <w:r w:rsidR="006E1220" w:rsidRPr="00544145">
        <w:rPr>
          <w:rFonts w:ascii="微软雅黑" w:eastAsia="微软雅黑" w:hAnsi="微软雅黑" w:hint="eastAsia"/>
          <w:sz w:val="22"/>
        </w:rPr>
        <w:t>收益超过</w:t>
      </w:r>
      <w:r w:rsidR="006E1220" w:rsidRPr="00544145">
        <w:rPr>
          <w:rFonts w:ascii="微软雅黑" w:eastAsia="微软雅黑" w:hAnsi="微软雅黑"/>
          <w:sz w:val="22"/>
        </w:rPr>
        <w:t>1%的产品有</w:t>
      </w:r>
      <w:r w:rsidR="00C157C9">
        <w:rPr>
          <w:rFonts w:ascii="微软雅黑" w:eastAsia="微软雅黑" w:hAnsi="微软雅黑" w:hint="eastAsia"/>
          <w:sz w:val="22"/>
        </w:rPr>
        <w:t>25</w:t>
      </w:r>
      <w:r w:rsidR="006E1220" w:rsidRPr="00544145">
        <w:rPr>
          <w:rFonts w:ascii="微软雅黑" w:eastAsia="微软雅黑" w:hAnsi="微软雅黑"/>
          <w:sz w:val="22"/>
        </w:rPr>
        <w:t xml:space="preserve"> </w:t>
      </w:r>
      <w:r w:rsidR="00C157C9">
        <w:rPr>
          <w:rFonts w:ascii="微软雅黑" w:eastAsia="微软雅黑" w:hAnsi="微软雅黑" w:hint="eastAsia"/>
          <w:sz w:val="22"/>
        </w:rPr>
        <w:t>家</w:t>
      </w:r>
      <w:r w:rsidR="006E1220" w:rsidRPr="00544145">
        <w:rPr>
          <w:rFonts w:ascii="微软雅黑" w:eastAsia="微软雅黑" w:hAnsi="微软雅黑"/>
          <w:sz w:val="22"/>
        </w:rPr>
        <w:t>，占比</w:t>
      </w:r>
      <w:r w:rsidR="00C157C9">
        <w:rPr>
          <w:rFonts w:ascii="微软雅黑" w:eastAsia="微软雅黑" w:hAnsi="微软雅黑" w:hint="eastAsia"/>
          <w:sz w:val="22"/>
        </w:rPr>
        <w:t>61</w:t>
      </w:r>
      <w:r w:rsidR="006E1220" w:rsidRPr="00544145">
        <w:rPr>
          <w:rFonts w:ascii="微软雅黑" w:eastAsia="微软雅黑" w:hAnsi="微软雅黑"/>
          <w:sz w:val="22"/>
        </w:rPr>
        <w:t>%</w:t>
      </w:r>
      <w:r w:rsidR="006E1220">
        <w:rPr>
          <w:rFonts w:ascii="微软雅黑" w:eastAsia="微软雅黑" w:hAnsi="微软雅黑" w:hint="eastAsia"/>
          <w:sz w:val="22"/>
        </w:rPr>
        <w:t>，</w:t>
      </w:r>
      <w:r w:rsidR="006E1220" w:rsidRPr="00544145">
        <w:rPr>
          <w:rFonts w:ascii="微软雅黑" w:eastAsia="微软雅黑" w:hAnsi="微软雅黑" w:hint="eastAsia"/>
          <w:sz w:val="22"/>
        </w:rPr>
        <w:t>亏损超过</w:t>
      </w:r>
      <w:r w:rsidR="006E1220" w:rsidRPr="00544145">
        <w:rPr>
          <w:rFonts w:ascii="微软雅黑" w:eastAsia="微软雅黑" w:hAnsi="微软雅黑"/>
          <w:sz w:val="22"/>
        </w:rPr>
        <w:t>-1%的有</w:t>
      </w:r>
      <w:r w:rsidR="00C157C9">
        <w:rPr>
          <w:rFonts w:ascii="微软雅黑" w:eastAsia="微软雅黑" w:hAnsi="微软雅黑" w:hint="eastAsia"/>
          <w:sz w:val="22"/>
        </w:rPr>
        <w:t>9家</w:t>
      </w:r>
      <w:r w:rsidR="006E1220" w:rsidRPr="00544145">
        <w:rPr>
          <w:rFonts w:ascii="微软雅黑" w:eastAsia="微软雅黑" w:hAnsi="微软雅黑"/>
          <w:sz w:val="22"/>
        </w:rPr>
        <w:t>，占比</w:t>
      </w:r>
      <w:r w:rsidR="00C157C9">
        <w:rPr>
          <w:rFonts w:ascii="微软雅黑" w:eastAsia="微软雅黑" w:hAnsi="微软雅黑" w:hint="eastAsia"/>
          <w:sz w:val="22"/>
        </w:rPr>
        <w:t>22</w:t>
      </w:r>
      <w:r w:rsidR="006E1220" w:rsidRPr="00544145">
        <w:rPr>
          <w:rFonts w:ascii="微软雅黑" w:eastAsia="微软雅黑" w:hAnsi="微软雅黑"/>
          <w:sz w:val="22"/>
        </w:rPr>
        <w:t>%</w:t>
      </w:r>
      <w:r w:rsidR="006E1220" w:rsidRPr="00EF1089">
        <w:rPr>
          <w:rFonts w:ascii="微软雅黑" w:eastAsia="微软雅黑" w:hAnsi="微软雅黑"/>
          <w:sz w:val="22"/>
        </w:rPr>
        <w:t>。</w:t>
      </w:r>
    </w:p>
    <w:p w14:paraId="739E3433" w14:textId="6AE98915" w:rsidR="00511854" w:rsidRPr="00FC3916" w:rsidRDefault="00511854" w:rsidP="00511854">
      <w:pPr>
        <w:spacing w:line="400" w:lineRule="exact"/>
        <w:ind w:leftChars="800" w:left="1680" w:firstLineChars="200" w:firstLine="440"/>
        <w:jc w:val="left"/>
        <w:rPr>
          <w:rFonts w:ascii="微软雅黑" w:eastAsia="微软雅黑" w:hAnsi="微软雅黑"/>
          <w:sz w:val="22"/>
        </w:rPr>
      </w:pPr>
    </w:p>
    <w:bookmarkEnd w:id="1"/>
    <w:p w14:paraId="78DE8F49" w14:textId="2C63D3C1" w:rsidR="006E1220" w:rsidRPr="00EF1089" w:rsidRDefault="006E1220" w:rsidP="006E1220">
      <w:pPr>
        <w:spacing w:line="400" w:lineRule="exact"/>
        <w:ind w:firstLineChars="300" w:firstLine="660"/>
        <w:jc w:val="left"/>
        <w:rPr>
          <w:rFonts w:ascii="微软雅黑" w:eastAsia="微软雅黑" w:hAnsi="微软雅黑"/>
          <w:sz w:val="22"/>
        </w:rPr>
      </w:pPr>
      <w:r>
        <w:rPr>
          <w:rFonts w:ascii="微软雅黑" w:eastAsia="微软雅黑" w:hAnsi="微软雅黑" w:hint="eastAsia"/>
          <w:sz w:val="22"/>
        </w:rPr>
        <w:t>三季度</w:t>
      </w:r>
      <w:r w:rsidRPr="00EF1089">
        <w:rPr>
          <w:rFonts w:ascii="微软雅黑" w:eastAsia="微软雅黑" w:hAnsi="微软雅黑" w:hint="eastAsia"/>
          <w:sz w:val="22"/>
        </w:rPr>
        <w:t>商品市场</w:t>
      </w:r>
      <w:r w:rsidR="005D0989" w:rsidRPr="005D0989">
        <w:rPr>
          <w:rFonts w:ascii="微软雅黑" w:eastAsia="微软雅黑" w:hAnsi="微软雅黑" w:hint="eastAsia"/>
          <w:sz w:val="22"/>
        </w:rPr>
        <w:t>先涨</w:t>
      </w:r>
      <w:r>
        <w:rPr>
          <w:rFonts w:ascii="微软雅黑" w:eastAsia="微软雅黑" w:hAnsi="微软雅黑" w:hint="eastAsia"/>
          <w:sz w:val="22"/>
        </w:rPr>
        <w:t>后跌，市场波动性大</w:t>
      </w:r>
      <w:r w:rsidRPr="00EF1089">
        <w:rPr>
          <w:rFonts w:ascii="微软雅黑" w:eastAsia="微软雅黑" w:hAnsi="微软雅黑" w:hint="eastAsia"/>
          <w:sz w:val="22"/>
        </w:rPr>
        <w:t>，</w:t>
      </w:r>
      <w:r>
        <w:rPr>
          <w:rFonts w:ascii="微软雅黑" w:eastAsia="微软雅黑" w:hAnsi="微软雅黑" w:hint="eastAsia"/>
          <w:sz w:val="22"/>
        </w:rPr>
        <w:t>行情趋势比较流畅，</w:t>
      </w:r>
      <w:r w:rsidRPr="00EF1089">
        <w:rPr>
          <w:rFonts w:ascii="微软雅黑" w:eastAsia="微软雅黑" w:hAnsi="微软雅黑" w:hint="eastAsia"/>
          <w:sz w:val="22"/>
        </w:rPr>
        <w:t>趋势追踪类策略盈利</w:t>
      </w:r>
      <w:r>
        <w:rPr>
          <w:rFonts w:ascii="微软雅黑" w:eastAsia="微软雅黑" w:hAnsi="微软雅黑" w:hint="eastAsia"/>
          <w:sz w:val="22"/>
        </w:rPr>
        <w:t>状</w:t>
      </w:r>
      <w:r>
        <w:rPr>
          <w:rFonts w:ascii="微软雅黑" w:eastAsia="微软雅黑" w:hAnsi="微软雅黑" w:hint="eastAsia"/>
          <w:sz w:val="22"/>
        </w:rPr>
        <w:lastRenderedPageBreak/>
        <w:t>况相比二季度在好转</w:t>
      </w:r>
      <w:r w:rsidRPr="00EF1089">
        <w:rPr>
          <w:rFonts w:ascii="微软雅黑" w:eastAsia="微软雅黑" w:hAnsi="微软雅黑" w:hint="eastAsia"/>
          <w:sz w:val="22"/>
        </w:rPr>
        <w:t>，整个</w:t>
      </w:r>
      <w:r w:rsidRPr="00EF1089">
        <w:rPr>
          <w:rFonts w:ascii="微软雅黑" w:eastAsia="微软雅黑" w:hAnsi="微软雅黑"/>
          <w:sz w:val="22"/>
        </w:rPr>
        <w:t>CTA策略</w:t>
      </w:r>
      <w:r>
        <w:rPr>
          <w:rFonts w:ascii="微软雅黑" w:eastAsia="微软雅黑" w:hAnsi="微软雅黑" w:hint="eastAsia"/>
          <w:sz w:val="22"/>
        </w:rPr>
        <w:t>收益表现较好</w:t>
      </w:r>
      <w:r w:rsidRPr="00EF1089">
        <w:rPr>
          <w:rFonts w:ascii="微软雅黑" w:eastAsia="微软雅黑" w:hAnsi="微软雅黑"/>
          <w:sz w:val="22"/>
        </w:rPr>
        <w:t>。2017年</w:t>
      </w:r>
      <w:r>
        <w:rPr>
          <w:rFonts w:ascii="微软雅黑" w:eastAsia="微软雅黑" w:hAnsi="微软雅黑" w:hint="eastAsia"/>
          <w:sz w:val="22"/>
        </w:rPr>
        <w:t>三季度</w:t>
      </w:r>
      <w:r w:rsidRPr="00EF1089">
        <w:rPr>
          <w:rFonts w:ascii="微软雅黑" w:eastAsia="微软雅黑" w:hAnsi="微软雅黑"/>
          <w:sz w:val="22"/>
        </w:rPr>
        <w:t>大宗商品市场矛盾</w:t>
      </w:r>
      <w:r>
        <w:rPr>
          <w:rFonts w:ascii="微软雅黑" w:eastAsia="微软雅黑" w:hAnsi="微软雅黑" w:hint="eastAsia"/>
          <w:sz w:val="22"/>
        </w:rPr>
        <w:t>比较突出</w:t>
      </w:r>
      <w:r w:rsidRPr="00EF1089">
        <w:rPr>
          <w:rFonts w:ascii="微软雅黑" w:eastAsia="微软雅黑" w:hAnsi="微软雅黑"/>
          <w:sz w:val="22"/>
        </w:rPr>
        <w:t>，</w:t>
      </w:r>
      <w:r>
        <w:rPr>
          <w:rFonts w:ascii="微软雅黑" w:eastAsia="微软雅黑" w:hAnsi="微软雅黑" w:hint="eastAsia"/>
          <w:sz w:val="22"/>
        </w:rPr>
        <w:t>在供给侧改革、环保整治的背景下</w:t>
      </w:r>
      <w:r w:rsidRPr="00EF1089">
        <w:rPr>
          <w:rFonts w:ascii="微软雅黑" w:eastAsia="微软雅黑" w:hAnsi="微软雅黑"/>
          <w:sz w:val="22"/>
        </w:rPr>
        <w:t>，</w:t>
      </w:r>
      <w:r>
        <w:rPr>
          <w:rFonts w:ascii="微软雅黑" w:eastAsia="微软雅黑" w:hAnsi="微软雅黑" w:hint="eastAsia"/>
          <w:sz w:val="22"/>
        </w:rPr>
        <w:t>供需矛盾比较尖锐，经历9月份大幅下跌，</w:t>
      </w:r>
      <w:r w:rsidRPr="00EF1089">
        <w:rPr>
          <w:rFonts w:ascii="微软雅黑" w:eastAsia="微软雅黑" w:hAnsi="微软雅黑"/>
          <w:sz w:val="22"/>
        </w:rPr>
        <w:t>预计后期</w:t>
      </w:r>
      <w:r>
        <w:rPr>
          <w:rFonts w:ascii="微软雅黑" w:eastAsia="微软雅黑" w:hAnsi="微软雅黑" w:hint="eastAsia"/>
          <w:sz w:val="22"/>
        </w:rPr>
        <w:t>市场将</w:t>
      </w:r>
      <w:r w:rsidRPr="00EF1089">
        <w:rPr>
          <w:rFonts w:ascii="微软雅黑" w:eastAsia="微软雅黑" w:hAnsi="微软雅黑"/>
          <w:sz w:val="22"/>
        </w:rPr>
        <w:t>以宽幅震荡</w:t>
      </w:r>
      <w:r>
        <w:rPr>
          <w:rFonts w:ascii="微软雅黑" w:eastAsia="微软雅黑" w:hAnsi="微软雅黑" w:hint="eastAsia"/>
          <w:sz w:val="22"/>
        </w:rPr>
        <w:t>盘整</w:t>
      </w:r>
      <w:r w:rsidRPr="00EF1089">
        <w:rPr>
          <w:rFonts w:ascii="微软雅黑" w:eastAsia="微软雅黑" w:hAnsi="微软雅黑"/>
          <w:sz w:val="22"/>
        </w:rPr>
        <w:t>为主</w:t>
      </w:r>
      <w:r>
        <w:rPr>
          <w:rFonts w:ascii="微软雅黑" w:eastAsia="微软雅黑" w:hAnsi="微软雅黑" w:hint="eastAsia"/>
          <w:sz w:val="22"/>
        </w:rPr>
        <w:t>，等待下一个矛盾爆发点</w:t>
      </w:r>
      <w:r w:rsidRPr="00EF1089">
        <w:rPr>
          <w:rFonts w:ascii="微软雅黑" w:eastAsia="微软雅黑" w:hAnsi="微软雅黑"/>
          <w:sz w:val="22"/>
        </w:rPr>
        <w:t>。</w:t>
      </w:r>
      <w:r>
        <w:rPr>
          <w:rFonts w:ascii="微软雅黑" w:eastAsia="微软雅黑" w:hAnsi="微软雅黑" w:hint="eastAsia"/>
          <w:sz w:val="22"/>
        </w:rPr>
        <w:t>具体来看，文华工业品板块三季度上涨5.63%，7，8月以上涨为主，9月份大幅下跌，趋势策略在工业品上表现较好；文华农产品指数上涨0.59%，整体以震荡为主，趋势策略在农产品上表现一般。</w:t>
      </w:r>
    </w:p>
    <w:p w14:paraId="73881779" w14:textId="5EB2E3AD" w:rsidR="007539D4" w:rsidRPr="00455400" w:rsidRDefault="006E1220" w:rsidP="00455400">
      <w:pPr>
        <w:spacing w:line="400" w:lineRule="exact"/>
        <w:ind w:firstLineChars="300" w:firstLine="660"/>
        <w:jc w:val="left"/>
        <w:rPr>
          <w:rFonts w:ascii="微软雅黑" w:eastAsia="微软雅黑" w:hAnsi="微软雅黑"/>
          <w:sz w:val="22"/>
        </w:rPr>
      </w:pPr>
      <w:r>
        <w:rPr>
          <w:rFonts w:ascii="微软雅黑" w:eastAsia="微软雅黑" w:hAnsi="微软雅黑" w:hint="eastAsia"/>
          <w:sz w:val="22"/>
        </w:rPr>
        <w:t>展望四季度，工业品市场经历三季度先涨后跌的大行情之</w:t>
      </w:r>
      <w:r w:rsidR="00E3185A">
        <w:rPr>
          <w:rFonts w:ascii="微软雅黑" w:eastAsia="微软雅黑" w:hAnsi="微软雅黑" w:hint="eastAsia"/>
          <w:sz w:val="22"/>
        </w:rPr>
        <w:t>后，后期可能步入调整期，但黑色</w:t>
      </w:r>
      <w:proofErr w:type="gramStart"/>
      <w:r w:rsidR="00E3185A">
        <w:rPr>
          <w:rFonts w:ascii="微软雅黑" w:eastAsia="微软雅黑" w:hAnsi="微软雅黑" w:hint="eastAsia"/>
          <w:sz w:val="22"/>
        </w:rPr>
        <w:t>系板块供给侧改革</w:t>
      </w:r>
      <w:proofErr w:type="gramEnd"/>
      <w:r w:rsidR="00E3185A">
        <w:rPr>
          <w:rFonts w:ascii="微软雅黑" w:eastAsia="微软雅黑" w:hAnsi="微软雅黑" w:hint="eastAsia"/>
          <w:sz w:val="22"/>
        </w:rPr>
        <w:t>和环保限产、大气传输通道城市工地停产等因素还在发酵</w:t>
      </w:r>
      <w:r>
        <w:rPr>
          <w:rFonts w:ascii="微软雅黑" w:eastAsia="微软雅黑" w:hAnsi="微软雅黑" w:hint="eastAsia"/>
          <w:sz w:val="22"/>
        </w:rPr>
        <w:t>，四季度的供需情况依旧很不明朗，而其他工业品也面临环保整治问题，市场具备趋势性行情的基础；农产品板块矛盾不突出，</w:t>
      </w:r>
      <w:proofErr w:type="gramStart"/>
      <w:r>
        <w:rPr>
          <w:rFonts w:ascii="微软雅黑" w:eastAsia="微软雅黑" w:hAnsi="微软雅黑" w:hint="eastAsia"/>
          <w:sz w:val="22"/>
        </w:rPr>
        <w:t>美豆产量</w:t>
      </w:r>
      <w:proofErr w:type="gramEnd"/>
      <w:r>
        <w:rPr>
          <w:rFonts w:ascii="微软雅黑" w:eastAsia="微软雅黑" w:hAnsi="微软雅黑" w:hint="eastAsia"/>
          <w:sz w:val="22"/>
        </w:rPr>
        <w:t>已定，后期可能会炒作南美新作种植情况，但不会有大的行情。总体来看，四季度商品市场有较好的交易机会，建议投资者配置商品市场投资品。</w:t>
      </w:r>
    </w:p>
    <w:p w14:paraId="3FA33EC8" w14:textId="05A854BA" w:rsidR="00455400" w:rsidRDefault="00455400" w:rsidP="00FF2484">
      <w:pPr>
        <w:spacing w:line="400" w:lineRule="exact"/>
        <w:rPr>
          <w:rFonts w:ascii="微软雅黑" w:eastAsia="微软雅黑" w:hAnsi="微软雅黑"/>
          <w:color w:val="182B87"/>
          <w:sz w:val="32"/>
          <w:szCs w:val="32"/>
        </w:rPr>
      </w:pPr>
    </w:p>
    <w:p w14:paraId="46F97870" w14:textId="01AEE4E2" w:rsidR="00203781" w:rsidRPr="00BA60C0" w:rsidRDefault="003C7B9C" w:rsidP="00FF2484">
      <w:pPr>
        <w:spacing w:line="400" w:lineRule="exact"/>
        <w:rPr>
          <w:rFonts w:ascii="微软雅黑" w:eastAsia="微软雅黑" w:hAnsi="微软雅黑"/>
          <w:color w:val="182B87"/>
          <w:sz w:val="32"/>
          <w:szCs w:val="32"/>
        </w:rPr>
      </w:pPr>
      <w:r>
        <w:rPr>
          <w:rFonts w:ascii="微软雅黑" w:eastAsia="微软雅黑" w:hAnsi="微软雅黑" w:hint="eastAsia"/>
          <w:color w:val="182B87"/>
          <w:sz w:val="32"/>
          <w:szCs w:val="32"/>
        </w:rPr>
        <w:t>五、</w:t>
      </w:r>
      <w:r w:rsidR="000B2F51" w:rsidRPr="00BA60C0">
        <w:rPr>
          <w:rFonts w:ascii="微软雅黑" w:eastAsia="微软雅黑" w:hAnsi="微软雅黑" w:hint="eastAsia"/>
          <w:color w:val="182B87"/>
          <w:sz w:val="32"/>
          <w:szCs w:val="32"/>
        </w:rPr>
        <w:t>套利</w:t>
      </w:r>
      <w:r w:rsidR="00203781" w:rsidRPr="00BA60C0">
        <w:rPr>
          <w:rFonts w:ascii="微软雅黑" w:eastAsia="微软雅黑" w:hAnsi="微软雅黑" w:hint="eastAsia"/>
          <w:color w:val="182B87"/>
          <w:sz w:val="32"/>
          <w:szCs w:val="32"/>
        </w:rPr>
        <w:t>策略</w:t>
      </w:r>
    </w:p>
    <w:p w14:paraId="5939C7AE" w14:textId="334ECDFE" w:rsidR="00CB4D62" w:rsidRDefault="00016218" w:rsidP="00CB4D62">
      <w:pPr>
        <w:spacing w:beforeLines="50" w:before="156" w:line="400" w:lineRule="exact"/>
        <w:ind w:firstLineChars="300" w:firstLine="630"/>
        <w:jc w:val="left"/>
        <w:rPr>
          <w:rFonts w:ascii="微软雅黑" w:eastAsia="微软雅黑" w:hAnsi="微软雅黑"/>
          <w:sz w:val="22"/>
          <w:szCs w:val="28"/>
        </w:rPr>
      </w:pPr>
      <w:r>
        <w:rPr>
          <w:noProof/>
        </w:rPr>
        <w:drawing>
          <wp:anchor distT="0" distB="0" distL="114300" distR="114300" simplePos="0" relativeHeight="251713536" behindDoc="1" locked="0" layoutInCell="1" allowOverlap="1" wp14:anchorId="1A19282D" wp14:editId="4D790A71">
            <wp:simplePos x="0" y="0"/>
            <wp:positionH relativeFrom="column">
              <wp:posOffset>-91440</wp:posOffset>
            </wp:positionH>
            <wp:positionV relativeFrom="paragraph">
              <wp:posOffset>1020445</wp:posOffset>
            </wp:positionV>
            <wp:extent cx="5554345" cy="3086100"/>
            <wp:effectExtent l="0" t="0" r="8255" b="0"/>
            <wp:wrapTight wrapText="bothSides">
              <wp:wrapPolygon edited="0">
                <wp:start x="0" y="0"/>
                <wp:lineTo x="0" y="21467"/>
                <wp:lineTo x="21558" y="21467"/>
                <wp:lineTo x="21558" y="0"/>
                <wp:lineTo x="0" y="0"/>
              </wp:wrapPolygon>
            </wp:wrapTight>
            <wp:docPr id="3" name="Chart 3">
              <a:extLst xmlns:a="http://schemas.openxmlformats.org/drawingml/2006/main">
                <a:ext uri="{FF2B5EF4-FFF2-40B4-BE49-F238E27FC236}">
                  <a16:creationId xmlns:a16="http://schemas.microsoft.com/office/drawing/2014/main" id="{47CD73EF-B8EC-438E-B1CD-3AE6B8224E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CB4D62">
        <w:rPr>
          <w:rFonts w:ascii="微软雅黑" w:eastAsia="微软雅黑" w:hAnsi="微软雅黑" w:hint="eastAsia"/>
          <w:sz w:val="22"/>
          <w:szCs w:val="28"/>
        </w:rPr>
        <w:t>三季度</w:t>
      </w:r>
      <w:r w:rsidR="00CB4D62" w:rsidRPr="00B70C33">
        <w:rPr>
          <w:rFonts w:ascii="微软雅黑" w:eastAsia="微软雅黑" w:hAnsi="微软雅黑" w:hint="eastAsia"/>
          <w:sz w:val="22"/>
          <w:szCs w:val="28"/>
        </w:rPr>
        <w:t>套利策略</w:t>
      </w:r>
      <w:r w:rsidR="00CB4D62">
        <w:rPr>
          <w:rFonts w:ascii="微软雅黑" w:eastAsia="微软雅黑" w:hAnsi="微软雅黑" w:hint="eastAsia"/>
          <w:sz w:val="22"/>
          <w:szCs w:val="28"/>
        </w:rPr>
        <w:t>表现好于二季度，股指期货从之前贴水转变为升水带来了一些套利机会，商品市场也有一些套利机会</w:t>
      </w:r>
      <w:r w:rsidR="00CB4D62" w:rsidRPr="00B70C33">
        <w:rPr>
          <w:rFonts w:ascii="微软雅黑" w:eastAsia="微软雅黑" w:hAnsi="微软雅黑" w:hint="eastAsia"/>
          <w:sz w:val="22"/>
          <w:szCs w:val="28"/>
        </w:rPr>
        <w:t>。完整公布业绩数据的</w:t>
      </w:r>
      <w:r w:rsidR="00006748">
        <w:rPr>
          <w:rFonts w:ascii="微软雅黑" w:eastAsia="微软雅黑" w:hAnsi="微软雅黑" w:hint="eastAsia"/>
          <w:sz w:val="22"/>
          <w:szCs w:val="28"/>
        </w:rPr>
        <w:t>1</w:t>
      </w:r>
      <w:r>
        <w:rPr>
          <w:rFonts w:ascii="微软雅黑" w:eastAsia="微软雅黑" w:hAnsi="微软雅黑" w:hint="eastAsia"/>
          <w:sz w:val="22"/>
          <w:szCs w:val="28"/>
        </w:rPr>
        <w:t>4</w:t>
      </w:r>
      <w:r w:rsidR="00006748">
        <w:rPr>
          <w:rFonts w:ascii="微软雅黑" w:eastAsia="微软雅黑" w:hAnsi="微软雅黑" w:hint="eastAsia"/>
          <w:sz w:val="22"/>
          <w:szCs w:val="28"/>
        </w:rPr>
        <w:t>家</w:t>
      </w:r>
      <w:r w:rsidR="00817EA3">
        <w:rPr>
          <w:rFonts w:ascii="微软雅黑" w:eastAsia="微软雅黑" w:hAnsi="微软雅黑" w:hint="eastAsia"/>
          <w:sz w:val="22"/>
          <w:szCs w:val="28"/>
        </w:rPr>
        <w:t>机构</w:t>
      </w:r>
      <w:r w:rsidR="00CB4D62" w:rsidRPr="00B70C33">
        <w:rPr>
          <w:rFonts w:ascii="微软雅黑" w:eastAsia="微软雅黑" w:hAnsi="微软雅黑" w:hint="eastAsia"/>
          <w:sz w:val="22"/>
          <w:szCs w:val="28"/>
        </w:rPr>
        <w:t>中获得正收益的产品有</w:t>
      </w:r>
      <w:r w:rsidR="00006748">
        <w:rPr>
          <w:rFonts w:ascii="微软雅黑" w:eastAsia="微软雅黑" w:hAnsi="微软雅黑" w:hint="eastAsia"/>
          <w:sz w:val="22"/>
          <w:szCs w:val="28"/>
        </w:rPr>
        <w:t>9家</w:t>
      </w:r>
      <w:r w:rsidR="00CB4D62" w:rsidRPr="00B70C33">
        <w:rPr>
          <w:rFonts w:ascii="微软雅黑" w:eastAsia="微软雅黑" w:hAnsi="微软雅黑" w:hint="eastAsia"/>
          <w:sz w:val="22"/>
          <w:szCs w:val="28"/>
        </w:rPr>
        <w:t>，占比</w:t>
      </w:r>
      <w:r w:rsidR="00006748">
        <w:rPr>
          <w:rFonts w:ascii="微软雅黑" w:eastAsia="微软雅黑" w:hAnsi="微软雅黑" w:hint="eastAsia"/>
          <w:sz w:val="22"/>
          <w:szCs w:val="28"/>
        </w:rPr>
        <w:t>60</w:t>
      </w:r>
      <w:r w:rsidR="00CB4D62" w:rsidRPr="00B70C33">
        <w:rPr>
          <w:rFonts w:ascii="微软雅黑" w:eastAsia="微软雅黑" w:hAnsi="微软雅黑" w:hint="eastAsia"/>
          <w:sz w:val="22"/>
          <w:szCs w:val="28"/>
        </w:rPr>
        <w:t>%，收益超过1%的产品有</w:t>
      </w:r>
      <w:r w:rsidR="00006748">
        <w:rPr>
          <w:rFonts w:ascii="微软雅黑" w:eastAsia="微软雅黑" w:hAnsi="微软雅黑" w:hint="eastAsia"/>
          <w:sz w:val="22"/>
          <w:szCs w:val="28"/>
        </w:rPr>
        <w:t>8家</w:t>
      </w:r>
      <w:r w:rsidR="00CB4D62" w:rsidRPr="00B70C33">
        <w:rPr>
          <w:rFonts w:ascii="微软雅黑" w:eastAsia="微软雅黑" w:hAnsi="微软雅黑" w:hint="eastAsia"/>
          <w:sz w:val="22"/>
          <w:szCs w:val="28"/>
        </w:rPr>
        <w:t>，占比</w:t>
      </w:r>
      <w:r w:rsidR="00006748">
        <w:rPr>
          <w:rFonts w:ascii="微软雅黑" w:eastAsia="微软雅黑" w:hAnsi="微软雅黑" w:hint="eastAsia"/>
          <w:sz w:val="22"/>
          <w:szCs w:val="28"/>
        </w:rPr>
        <w:t>53</w:t>
      </w:r>
      <w:r w:rsidR="00CB4D62" w:rsidRPr="00B70C33">
        <w:rPr>
          <w:rFonts w:ascii="微软雅黑" w:eastAsia="微软雅黑" w:hAnsi="微软雅黑" w:hint="eastAsia"/>
          <w:sz w:val="22"/>
          <w:szCs w:val="28"/>
        </w:rPr>
        <w:t>%，</w:t>
      </w:r>
      <w:r>
        <w:rPr>
          <w:rFonts w:ascii="微软雅黑" w:eastAsia="微软雅黑" w:hAnsi="微软雅黑" w:hint="eastAsia"/>
          <w:sz w:val="22"/>
          <w:szCs w:val="28"/>
        </w:rPr>
        <w:t>没有</w:t>
      </w:r>
      <w:r w:rsidR="00CB4D62" w:rsidRPr="00B70C33">
        <w:rPr>
          <w:rFonts w:ascii="微软雅黑" w:eastAsia="微软雅黑" w:hAnsi="微软雅黑" w:hint="eastAsia"/>
          <w:sz w:val="22"/>
          <w:szCs w:val="28"/>
        </w:rPr>
        <w:t>亏损超过</w:t>
      </w:r>
      <w:r>
        <w:rPr>
          <w:rFonts w:ascii="微软雅黑" w:eastAsia="微软雅黑" w:hAnsi="微软雅黑" w:hint="eastAsia"/>
          <w:sz w:val="22"/>
          <w:szCs w:val="28"/>
        </w:rPr>
        <w:t>-1%的机构</w:t>
      </w:r>
      <w:r w:rsidR="00CB4D62">
        <w:rPr>
          <w:rFonts w:ascii="微软雅黑" w:eastAsia="微软雅黑" w:hAnsi="微软雅黑" w:hint="eastAsia"/>
          <w:sz w:val="22"/>
          <w:szCs w:val="28"/>
        </w:rPr>
        <w:t>。</w:t>
      </w:r>
    </w:p>
    <w:p w14:paraId="6E48B72A" w14:textId="3BBDD16E" w:rsidR="00CB4D62" w:rsidRDefault="00CB4D62" w:rsidP="00612E26">
      <w:pPr>
        <w:spacing w:beforeLines="50" w:before="156" w:line="400" w:lineRule="exact"/>
        <w:ind w:firstLineChars="150" w:firstLine="330"/>
        <w:jc w:val="left"/>
        <w:rPr>
          <w:rFonts w:ascii="微软雅黑" w:eastAsia="微软雅黑" w:hAnsi="微软雅黑"/>
          <w:sz w:val="22"/>
          <w:szCs w:val="28"/>
        </w:rPr>
      </w:pPr>
      <w:r>
        <w:rPr>
          <w:rFonts w:ascii="微软雅黑" w:eastAsia="微软雅黑" w:hAnsi="微软雅黑" w:hint="eastAsia"/>
          <w:sz w:val="22"/>
          <w:szCs w:val="28"/>
        </w:rPr>
        <w:t>2017年第</w:t>
      </w:r>
      <w:r w:rsidR="006E1220">
        <w:rPr>
          <w:rFonts w:ascii="微软雅黑" w:eastAsia="微软雅黑" w:hAnsi="微软雅黑" w:hint="eastAsia"/>
          <w:sz w:val="22"/>
          <w:szCs w:val="28"/>
        </w:rPr>
        <w:t>三</w:t>
      </w:r>
      <w:r>
        <w:rPr>
          <w:rFonts w:ascii="微软雅黑" w:eastAsia="微软雅黑" w:hAnsi="微软雅黑" w:hint="eastAsia"/>
          <w:sz w:val="22"/>
          <w:szCs w:val="28"/>
        </w:rPr>
        <w:t>季度，</w:t>
      </w:r>
      <w:r w:rsidR="006E1220">
        <w:rPr>
          <w:rFonts w:ascii="微软雅黑" w:eastAsia="微软雅黑" w:hAnsi="微软雅黑" w:hint="eastAsia"/>
          <w:sz w:val="22"/>
          <w:szCs w:val="28"/>
        </w:rPr>
        <w:t>市场风格发生转换</w:t>
      </w:r>
      <w:r>
        <w:rPr>
          <w:rFonts w:ascii="微软雅黑" w:eastAsia="微软雅黑" w:hAnsi="微软雅黑" w:hint="eastAsia"/>
          <w:sz w:val="22"/>
          <w:szCs w:val="28"/>
        </w:rPr>
        <w:t>，</w:t>
      </w:r>
      <w:r w:rsidR="006E1220">
        <w:rPr>
          <w:rFonts w:ascii="微软雅黑" w:eastAsia="微软雅黑" w:hAnsi="微软雅黑" w:hint="eastAsia"/>
          <w:sz w:val="22"/>
          <w:szCs w:val="28"/>
        </w:rPr>
        <w:t>中小盘股表现明显强于大盘股，股指期货不同合约之间有比较明显的套利对冲交易机会</w:t>
      </w:r>
      <w:r>
        <w:rPr>
          <w:rFonts w:ascii="微软雅黑" w:eastAsia="微软雅黑" w:hAnsi="微软雅黑"/>
          <w:sz w:val="22"/>
          <w:szCs w:val="28"/>
        </w:rPr>
        <w:t>。商品</w:t>
      </w:r>
      <w:r>
        <w:rPr>
          <w:rFonts w:ascii="微软雅黑" w:eastAsia="微软雅黑" w:hAnsi="微软雅黑" w:hint="eastAsia"/>
          <w:sz w:val="22"/>
          <w:szCs w:val="28"/>
        </w:rPr>
        <w:t>市场今年波动性明显大于往年，市场交易的热点和逻辑不断的转换，工业品交易供给</w:t>
      </w:r>
      <w:proofErr w:type="gramStart"/>
      <w:r>
        <w:rPr>
          <w:rFonts w:ascii="微软雅黑" w:eastAsia="微软雅黑" w:hAnsi="微软雅黑" w:hint="eastAsia"/>
          <w:sz w:val="22"/>
          <w:szCs w:val="28"/>
        </w:rPr>
        <w:t>侧改革</w:t>
      </w:r>
      <w:proofErr w:type="gramEnd"/>
      <w:r>
        <w:rPr>
          <w:rFonts w:ascii="微软雅黑" w:eastAsia="微软雅黑" w:hAnsi="微软雅黑" w:hint="eastAsia"/>
          <w:sz w:val="22"/>
          <w:szCs w:val="28"/>
        </w:rPr>
        <w:t>和环保等宏观因素，节奏转换的比较快，所以价差波动幅度也比较大，套利机会比较明显，当然价差出现超出历史极值而导致的止损也会增多，</w:t>
      </w:r>
      <w:r w:rsidR="00397884">
        <w:rPr>
          <w:rFonts w:ascii="微软雅黑" w:eastAsia="微软雅黑" w:hAnsi="微软雅黑" w:hint="eastAsia"/>
          <w:sz w:val="22"/>
          <w:szCs w:val="28"/>
        </w:rPr>
        <w:t>以</w:t>
      </w:r>
      <w:r>
        <w:rPr>
          <w:rFonts w:ascii="微软雅黑" w:eastAsia="微软雅黑" w:hAnsi="微软雅黑" w:hint="eastAsia"/>
          <w:sz w:val="22"/>
          <w:szCs w:val="28"/>
        </w:rPr>
        <w:t>今年明星板块黑色系为例，受到限产等因素的限制，由海外供给主导的铁矿石价格明显弱于受</w:t>
      </w:r>
      <w:r>
        <w:rPr>
          <w:rFonts w:ascii="微软雅黑" w:eastAsia="微软雅黑" w:hAnsi="微软雅黑" w:hint="eastAsia"/>
          <w:sz w:val="22"/>
          <w:szCs w:val="28"/>
        </w:rPr>
        <w:lastRenderedPageBreak/>
        <w:t>供给</w:t>
      </w:r>
      <w:proofErr w:type="gramStart"/>
      <w:r>
        <w:rPr>
          <w:rFonts w:ascii="微软雅黑" w:eastAsia="微软雅黑" w:hAnsi="微软雅黑" w:hint="eastAsia"/>
          <w:sz w:val="22"/>
          <w:szCs w:val="28"/>
        </w:rPr>
        <w:t>侧改</w:t>
      </w:r>
      <w:proofErr w:type="gramEnd"/>
      <w:r>
        <w:rPr>
          <w:rFonts w:ascii="微软雅黑" w:eastAsia="微软雅黑" w:hAnsi="微软雅黑" w:hint="eastAsia"/>
          <w:sz w:val="22"/>
          <w:szCs w:val="28"/>
        </w:rPr>
        <w:t>革影响的焦煤焦炭价格，钢厂利润和焦化厂利润不断攀升，对深入了解基本面逻辑的套利交易者来说是一个巨大的交易机会，而坚守统计套利则会不断的止损</w:t>
      </w:r>
      <w:r w:rsidRPr="007539D4">
        <w:rPr>
          <w:rFonts w:ascii="微软雅黑" w:eastAsia="微软雅黑" w:hAnsi="微软雅黑"/>
          <w:sz w:val="22"/>
          <w:szCs w:val="28"/>
        </w:rPr>
        <w:t>。农产品</w:t>
      </w:r>
      <w:r>
        <w:rPr>
          <w:rFonts w:ascii="微软雅黑" w:eastAsia="微软雅黑" w:hAnsi="微软雅黑" w:hint="eastAsia"/>
          <w:sz w:val="22"/>
          <w:szCs w:val="28"/>
        </w:rPr>
        <w:t>板块</w:t>
      </w:r>
      <w:r w:rsidRPr="007539D4">
        <w:rPr>
          <w:rFonts w:ascii="微软雅黑" w:eastAsia="微软雅黑" w:hAnsi="微软雅黑"/>
          <w:sz w:val="22"/>
          <w:szCs w:val="28"/>
        </w:rPr>
        <w:t>，基本面供需矛盾不强</w:t>
      </w:r>
      <w:r>
        <w:rPr>
          <w:rFonts w:ascii="微软雅黑" w:eastAsia="微软雅黑" w:hAnsi="微软雅黑" w:hint="eastAsia"/>
          <w:sz w:val="22"/>
          <w:szCs w:val="28"/>
        </w:rPr>
        <w:t>，价格波走势比较平缓，所以价差波动也较小，套利机会相对比较稳</w:t>
      </w:r>
      <w:r w:rsidRPr="007539D4">
        <w:rPr>
          <w:rFonts w:ascii="微软雅黑" w:eastAsia="微软雅黑" w:hAnsi="微软雅黑"/>
          <w:sz w:val="22"/>
          <w:szCs w:val="28"/>
        </w:rPr>
        <w:t>。</w:t>
      </w:r>
    </w:p>
    <w:p w14:paraId="51A25EA7" w14:textId="77777777" w:rsidR="00D21FAE" w:rsidRPr="00CB4D62" w:rsidRDefault="00D21FAE" w:rsidP="00FE6B26">
      <w:pPr>
        <w:spacing w:line="400" w:lineRule="exact"/>
        <w:ind w:leftChars="800" w:left="1680" w:firstLineChars="200" w:firstLine="440"/>
        <w:jc w:val="left"/>
        <w:rPr>
          <w:rFonts w:ascii="微软雅黑" w:eastAsia="微软雅黑" w:hAnsi="微软雅黑"/>
          <w:sz w:val="22"/>
          <w:szCs w:val="28"/>
        </w:rPr>
      </w:pPr>
    </w:p>
    <w:p w14:paraId="5D16078E" w14:textId="589AE3EA" w:rsidR="00DF2ED4" w:rsidRPr="000B6CDE" w:rsidRDefault="008416A0" w:rsidP="007519EC">
      <w:pPr>
        <w:spacing w:beforeLines="50" w:before="156" w:line="400" w:lineRule="exact"/>
        <w:rPr>
          <w:rFonts w:ascii="微软雅黑" w:eastAsia="微软雅黑" w:hAnsi="微软雅黑"/>
          <w:color w:val="182B87"/>
          <w:sz w:val="32"/>
          <w:szCs w:val="32"/>
        </w:rPr>
      </w:pPr>
      <w:r>
        <w:rPr>
          <w:rFonts w:ascii="微软雅黑" w:eastAsia="微软雅黑" w:hAnsi="微软雅黑" w:hint="eastAsia"/>
          <w:color w:val="182B87"/>
          <w:sz w:val="32"/>
          <w:szCs w:val="32"/>
        </w:rPr>
        <w:t>六</w:t>
      </w:r>
      <w:r w:rsidR="000B6CDE">
        <w:rPr>
          <w:rFonts w:ascii="微软雅黑" w:eastAsia="微软雅黑" w:hAnsi="微软雅黑" w:hint="eastAsia"/>
          <w:color w:val="182B87"/>
          <w:sz w:val="32"/>
          <w:szCs w:val="32"/>
        </w:rPr>
        <w:t>、</w:t>
      </w:r>
      <w:r w:rsidR="00DF2ED4" w:rsidRPr="000B6CDE">
        <w:rPr>
          <w:rFonts w:ascii="微软雅黑" w:eastAsia="微软雅黑" w:hAnsi="微软雅黑" w:hint="eastAsia"/>
          <w:color w:val="182B87"/>
          <w:sz w:val="32"/>
          <w:szCs w:val="32"/>
        </w:rPr>
        <w:t>债券策略</w:t>
      </w:r>
    </w:p>
    <w:p w14:paraId="40343F48" w14:textId="7D56B738" w:rsidR="00D35A16" w:rsidRDefault="00D35A16" w:rsidP="00D35A16">
      <w:pPr>
        <w:spacing w:line="360" w:lineRule="auto"/>
        <w:ind w:firstLineChars="245" w:firstLine="539"/>
        <w:rPr>
          <w:rFonts w:asciiTheme="majorEastAsia" w:eastAsiaTheme="majorEastAsia" w:hAnsiTheme="majorEastAsia" w:cs="KaiTi"/>
          <w:sz w:val="22"/>
          <w:szCs w:val="21"/>
        </w:rPr>
      </w:pPr>
      <w:r w:rsidRPr="00D35A16">
        <w:rPr>
          <w:rFonts w:ascii="微软雅黑" w:eastAsia="微软雅黑" w:hAnsi="微软雅黑"/>
          <w:sz w:val="22"/>
          <w:szCs w:val="28"/>
        </w:rPr>
        <w:t>2017年</w:t>
      </w:r>
      <w:r w:rsidRPr="00D35A16">
        <w:rPr>
          <w:rFonts w:ascii="微软雅黑" w:eastAsia="微软雅黑" w:hAnsi="微软雅黑" w:hint="eastAsia"/>
          <w:sz w:val="22"/>
          <w:szCs w:val="28"/>
        </w:rPr>
        <w:t>三季度</w:t>
      </w:r>
      <w:r w:rsidRPr="00D35A16">
        <w:rPr>
          <w:rFonts w:ascii="微软雅黑" w:eastAsia="微软雅黑" w:hAnsi="微软雅黑"/>
          <w:sz w:val="22"/>
          <w:szCs w:val="28"/>
        </w:rPr>
        <w:t>，债券策略</w:t>
      </w:r>
      <w:r w:rsidRPr="00D35A16">
        <w:rPr>
          <w:rFonts w:ascii="微软雅黑" w:eastAsia="微软雅黑" w:hAnsi="微软雅黑" w:hint="eastAsia"/>
          <w:sz w:val="22"/>
          <w:szCs w:val="28"/>
        </w:rPr>
        <w:t>完整公布业绩数据的40家</w:t>
      </w:r>
      <w:r w:rsidRPr="00D35A16">
        <w:rPr>
          <w:rFonts w:ascii="微软雅黑" w:eastAsia="微软雅黑" w:hAnsi="微软雅黑"/>
          <w:sz w:val="22"/>
          <w:szCs w:val="28"/>
        </w:rPr>
        <w:t>机构中</w:t>
      </w:r>
      <w:r w:rsidRPr="00D35A16">
        <w:rPr>
          <w:rFonts w:ascii="微软雅黑" w:eastAsia="微软雅黑" w:hAnsi="微软雅黑" w:hint="eastAsia"/>
          <w:sz w:val="22"/>
          <w:szCs w:val="28"/>
        </w:rPr>
        <w:t>获得正收益的机构有33</w:t>
      </w:r>
      <w:r w:rsidRPr="00D35A16">
        <w:rPr>
          <w:rFonts w:ascii="微软雅黑" w:eastAsia="微软雅黑" w:hAnsi="微软雅黑"/>
          <w:sz w:val="22"/>
          <w:szCs w:val="28"/>
        </w:rPr>
        <w:t>家，</w:t>
      </w:r>
      <w:r w:rsidRPr="00D35A16">
        <w:rPr>
          <w:rFonts w:ascii="微软雅黑" w:eastAsia="微软雅黑" w:hAnsi="微软雅黑" w:hint="eastAsia"/>
          <w:sz w:val="22"/>
          <w:szCs w:val="28"/>
        </w:rPr>
        <w:t>收益超过</w:t>
      </w:r>
      <w:r w:rsidRPr="00D35A16">
        <w:rPr>
          <w:rFonts w:ascii="微软雅黑" w:eastAsia="微软雅黑" w:hAnsi="微软雅黑"/>
          <w:sz w:val="22"/>
          <w:szCs w:val="28"/>
        </w:rPr>
        <w:t>1%的机构有</w:t>
      </w:r>
      <w:r w:rsidRPr="00D35A16">
        <w:rPr>
          <w:rFonts w:ascii="微软雅黑" w:eastAsia="微软雅黑" w:hAnsi="微软雅黑" w:hint="eastAsia"/>
          <w:sz w:val="22"/>
          <w:szCs w:val="28"/>
        </w:rPr>
        <w:t>23家</w:t>
      </w:r>
      <w:r w:rsidRPr="00D35A16">
        <w:rPr>
          <w:rFonts w:ascii="微软雅黑" w:eastAsia="微软雅黑" w:hAnsi="微软雅黑"/>
          <w:sz w:val="22"/>
          <w:szCs w:val="28"/>
        </w:rPr>
        <w:t>，占比</w:t>
      </w:r>
      <w:r w:rsidRPr="00D35A16">
        <w:rPr>
          <w:rFonts w:ascii="微软雅黑" w:eastAsia="微软雅黑" w:hAnsi="微软雅黑" w:hint="eastAsia"/>
          <w:sz w:val="22"/>
          <w:szCs w:val="28"/>
        </w:rPr>
        <w:t>57</w:t>
      </w:r>
      <w:r w:rsidRPr="00D35A16">
        <w:rPr>
          <w:rFonts w:ascii="微软雅黑" w:eastAsia="微软雅黑" w:hAnsi="微软雅黑"/>
          <w:sz w:val="22"/>
          <w:szCs w:val="28"/>
        </w:rPr>
        <w:t>%</w:t>
      </w:r>
      <w:r w:rsidRPr="00D35A16">
        <w:rPr>
          <w:rFonts w:ascii="微软雅黑" w:eastAsia="微软雅黑" w:hAnsi="微软雅黑" w:hint="eastAsia"/>
          <w:sz w:val="22"/>
          <w:szCs w:val="28"/>
        </w:rPr>
        <w:t>；亏损超过</w:t>
      </w:r>
      <w:r w:rsidRPr="00D35A16">
        <w:rPr>
          <w:rFonts w:ascii="微软雅黑" w:eastAsia="微软雅黑" w:hAnsi="微软雅黑"/>
          <w:sz w:val="22"/>
          <w:szCs w:val="28"/>
        </w:rPr>
        <w:t>-1%的机构</w:t>
      </w:r>
      <w:r w:rsidRPr="00D35A16">
        <w:rPr>
          <w:rFonts w:ascii="微软雅黑" w:eastAsia="微软雅黑" w:hAnsi="微软雅黑" w:hint="eastAsia"/>
          <w:sz w:val="22"/>
          <w:szCs w:val="28"/>
        </w:rPr>
        <w:t>3</w:t>
      </w:r>
      <w:r w:rsidRPr="00D35A16">
        <w:rPr>
          <w:rFonts w:ascii="微软雅黑" w:eastAsia="微软雅黑" w:hAnsi="微软雅黑"/>
          <w:sz w:val="22"/>
          <w:szCs w:val="28"/>
        </w:rPr>
        <w:t>家，占比</w:t>
      </w:r>
      <w:r w:rsidRPr="00D35A16">
        <w:rPr>
          <w:rFonts w:ascii="微软雅黑" w:eastAsia="微软雅黑" w:hAnsi="微软雅黑" w:hint="eastAsia"/>
          <w:sz w:val="22"/>
          <w:szCs w:val="28"/>
        </w:rPr>
        <w:t>8</w:t>
      </w:r>
      <w:r w:rsidRPr="00D35A16">
        <w:rPr>
          <w:rFonts w:ascii="微软雅黑" w:eastAsia="微软雅黑" w:hAnsi="微软雅黑"/>
          <w:sz w:val="22"/>
          <w:szCs w:val="28"/>
        </w:rPr>
        <w:t>%。</w:t>
      </w:r>
    </w:p>
    <w:p w14:paraId="2F6C8CE8" w14:textId="77777777" w:rsidR="00D35A16" w:rsidRDefault="00D35A16" w:rsidP="00D35A16">
      <w:pPr>
        <w:spacing w:line="360" w:lineRule="auto"/>
        <w:ind w:firstLineChars="245" w:firstLine="539"/>
        <w:rPr>
          <w:rFonts w:asciiTheme="majorEastAsia" w:eastAsiaTheme="majorEastAsia" w:hAnsiTheme="majorEastAsia" w:cs="KaiTi"/>
          <w:sz w:val="22"/>
          <w:szCs w:val="21"/>
        </w:rPr>
      </w:pPr>
      <w:r w:rsidRPr="000607E6">
        <w:rPr>
          <w:rFonts w:asciiTheme="majorEastAsia" w:eastAsiaTheme="majorEastAsia" w:hAnsiTheme="majorEastAsia" w:cs="KaiTi"/>
          <w:noProof/>
          <w:sz w:val="22"/>
          <w:szCs w:val="21"/>
        </w:rPr>
        <w:drawing>
          <wp:inline distT="0" distB="0" distL="0" distR="0" wp14:anchorId="72667014" wp14:editId="20D5F08D">
            <wp:extent cx="5274310" cy="3073018"/>
            <wp:effectExtent l="0" t="0" r="2540" b="1333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8A8DB0" w14:textId="77777777" w:rsidR="007519EC" w:rsidRPr="007519EC" w:rsidRDefault="007519EC" w:rsidP="007519EC">
      <w:pPr>
        <w:spacing w:line="400" w:lineRule="exact"/>
        <w:ind w:firstLineChars="250" w:firstLine="550"/>
        <w:jc w:val="left"/>
        <w:rPr>
          <w:rFonts w:ascii="微软雅黑" w:eastAsia="微软雅黑" w:hAnsi="微软雅黑"/>
          <w:sz w:val="22"/>
          <w:szCs w:val="28"/>
        </w:rPr>
      </w:pPr>
      <w:r w:rsidRPr="007519EC">
        <w:rPr>
          <w:rFonts w:ascii="微软雅黑" w:eastAsia="微软雅黑" w:hAnsi="微软雅黑" w:hint="eastAsia"/>
          <w:sz w:val="22"/>
          <w:szCs w:val="28"/>
        </w:rPr>
        <w:t>债券市场在2017年二季度反弹后，</w:t>
      </w:r>
      <w:proofErr w:type="gramStart"/>
      <w:r w:rsidRPr="007519EC">
        <w:rPr>
          <w:rFonts w:ascii="微软雅黑" w:eastAsia="微软雅黑" w:hAnsi="微软雅黑" w:hint="eastAsia"/>
          <w:sz w:val="22"/>
          <w:szCs w:val="28"/>
        </w:rPr>
        <w:t>三季度中债总财富</w:t>
      </w:r>
      <w:proofErr w:type="gramEnd"/>
      <w:r w:rsidRPr="007519EC">
        <w:rPr>
          <w:rFonts w:ascii="微软雅黑" w:eastAsia="微软雅黑" w:hAnsi="微软雅黑" w:hint="eastAsia"/>
          <w:sz w:val="22"/>
          <w:szCs w:val="28"/>
        </w:rPr>
        <w:t>指数在168.47至169.37之间小幅震荡，短期资金利率三季度较二季度有所走高，1年国债收益率在3.33%升至3.51%小幅震荡；10年国债变化不大，在3.6%附近徘徊；收益率曲线趋于平缓状态。</w:t>
      </w:r>
    </w:p>
    <w:p w14:paraId="696A44FE" w14:textId="77777777" w:rsidR="007519EC" w:rsidRPr="007519EC" w:rsidRDefault="007519EC" w:rsidP="007519EC">
      <w:pPr>
        <w:spacing w:line="400" w:lineRule="exact"/>
        <w:ind w:firstLineChars="250" w:firstLine="550"/>
        <w:jc w:val="left"/>
        <w:rPr>
          <w:rFonts w:ascii="微软雅黑" w:eastAsia="微软雅黑" w:hAnsi="微软雅黑"/>
          <w:sz w:val="22"/>
          <w:szCs w:val="28"/>
        </w:rPr>
      </w:pPr>
      <w:r w:rsidRPr="007519EC">
        <w:rPr>
          <w:rFonts w:ascii="微软雅黑" w:eastAsia="微软雅黑" w:hAnsi="微软雅黑" w:hint="eastAsia"/>
          <w:sz w:val="22"/>
          <w:szCs w:val="28"/>
        </w:rPr>
        <w:t>宏观经济方面，商品价格继续上涨，但更多是由供给侧收缩导致，需求有待进一步观察。</w:t>
      </w:r>
      <w:r w:rsidRPr="007519EC">
        <w:rPr>
          <w:rFonts w:ascii="微软雅黑" w:eastAsia="微软雅黑" w:hAnsi="微软雅黑"/>
          <w:sz w:val="22"/>
          <w:szCs w:val="28"/>
        </w:rPr>
        <w:t>信贷虽然继续扩张，但投向集中于基建行业，而除贷款之外其它基建投资资金来源增速放缓，导致整体基建投资资金来源并未有明显改善， 整体投资增速依然持续放缓，经济下行压力持续。</w:t>
      </w:r>
      <w:r w:rsidRPr="007519EC">
        <w:rPr>
          <w:rFonts w:ascii="微软雅黑" w:eastAsia="微软雅黑" w:hAnsi="微软雅黑" w:hint="eastAsia"/>
          <w:sz w:val="22"/>
          <w:szCs w:val="28"/>
        </w:rPr>
        <w:t>外部环境方面，外汇占款逐步恢复、人民币汇率上升，以及美债收益率下行导致中美国债利差拉大</w:t>
      </w:r>
      <w:r w:rsidRPr="007519EC">
        <w:rPr>
          <w:rFonts w:ascii="微软雅黑" w:eastAsia="微软雅黑" w:hAnsi="微软雅黑"/>
          <w:sz w:val="22"/>
          <w:szCs w:val="28"/>
        </w:rPr>
        <w:t>。虽然美国</w:t>
      </w:r>
      <w:r w:rsidRPr="007519EC">
        <w:rPr>
          <w:rFonts w:ascii="微软雅黑" w:eastAsia="微软雅黑" w:hAnsi="微软雅黑" w:hint="eastAsia"/>
          <w:sz w:val="22"/>
          <w:szCs w:val="28"/>
        </w:rPr>
        <w:t>近期</w:t>
      </w:r>
      <w:r w:rsidRPr="007519EC">
        <w:rPr>
          <w:rFonts w:ascii="微软雅黑" w:eastAsia="微软雅黑" w:hAnsi="微软雅黑"/>
          <w:sz w:val="22"/>
          <w:szCs w:val="28"/>
        </w:rPr>
        <w:t>CPI略有回升，但可持续性有待继续观察。</w:t>
      </w:r>
    </w:p>
    <w:p w14:paraId="6FB72A23" w14:textId="412D8DB9" w:rsidR="00404B62" w:rsidRDefault="007519EC" w:rsidP="00155F63">
      <w:pPr>
        <w:spacing w:line="400" w:lineRule="exact"/>
        <w:ind w:firstLineChars="250" w:firstLine="550"/>
        <w:jc w:val="left"/>
        <w:rPr>
          <w:rFonts w:ascii="微软雅黑" w:eastAsia="微软雅黑" w:hAnsi="微软雅黑"/>
          <w:sz w:val="22"/>
          <w:szCs w:val="28"/>
        </w:rPr>
      </w:pPr>
      <w:r w:rsidRPr="007519EC">
        <w:rPr>
          <w:rFonts w:ascii="微软雅黑" w:eastAsia="微软雅黑" w:hAnsi="微软雅黑" w:hint="eastAsia"/>
          <w:sz w:val="22"/>
          <w:szCs w:val="28"/>
        </w:rPr>
        <w:t>后期来看，金融</w:t>
      </w:r>
      <w:proofErr w:type="gramStart"/>
      <w:r w:rsidRPr="007519EC">
        <w:rPr>
          <w:rFonts w:ascii="微软雅黑" w:eastAsia="微软雅黑" w:hAnsi="微软雅黑" w:hint="eastAsia"/>
          <w:sz w:val="22"/>
          <w:szCs w:val="28"/>
        </w:rPr>
        <w:t>维稳也</w:t>
      </w:r>
      <w:proofErr w:type="gramEnd"/>
      <w:r w:rsidRPr="007519EC">
        <w:rPr>
          <w:rFonts w:ascii="微软雅黑" w:eastAsia="微软雅黑" w:hAnsi="微软雅黑" w:hint="eastAsia"/>
          <w:sz w:val="22"/>
          <w:szCs w:val="28"/>
        </w:rPr>
        <w:t>将成为近一段时间的政治任务。预期央行将继续保持“削峰填谷”</w:t>
      </w:r>
      <w:proofErr w:type="gramStart"/>
      <w:r w:rsidRPr="007519EC">
        <w:rPr>
          <w:rFonts w:ascii="微软雅黑" w:eastAsia="微软雅黑" w:hAnsi="微软雅黑" w:hint="eastAsia"/>
          <w:sz w:val="22"/>
          <w:szCs w:val="28"/>
        </w:rPr>
        <w:t>熨</w:t>
      </w:r>
      <w:proofErr w:type="gramEnd"/>
      <w:r w:rsidRPr="007519EC">
        <w:rPr>
          <w:rFonts w:ascii="微软雅黑" w:eastAsia="微软雅黑" w:hAnsi="微软雅黑" w:hint="eastAsia"/>
          <w:sz w:val="22"/>
          <w:szCs w:val="28"/>
        </w:rPr>
        <w:t>平流动性临时性扰动的态度；此外，监管层接下来仍持续以抑制加杠杆为主要工作目标，监管力度骤然加码的概率不大。总的来说，在目前货币政策保持稳健中性、监管逐步恢复推进、经济增速预期短期仍将存在分歧的背景下，近期债券市场反弹后，机构对后市多空分歧加大，后市仍会密切关注监管</w:t>
      </w:r>
      <w:r w:rsidR="003F3D34">
        <w:rPr>
          <w:rFonts w:ascii="微软雅黑" w:eastAsia="微软雅黑" w:hAnsi="微软雅黑" w:hint="eastAsia"/>
          <w:sz w:val="22"/>
          <w:szCs w:val="28"/>
        </w:rPr>
        <w:t>力度</w:t>
      </w:r>
      <w:r w:rsidRPr="007519EC">
        <w:rPr>
          <w:rFonts w:ascii="微软雅黑" w:eastAsia="微软雅黑" w:hAnsi="微软雅黑" w:hint="eastAsia"/>
          <w:sz w:val="22"/>
          <w:szCs w:val="28"/>
        </w:rPr>
        <w:t>及货币政策收紧程度。</w:t>
      </w:r>
      <w:r w:rsidR="00404B62">
        <w:rPr>
          <w:rFonts w:ascii="微软雅黑" w:eastAsia="微软雅黑" w:hAnsi="微软雅黑"/>
          <w:sz w:val="22"/>
          <w:szCs w:val="28"/>
        </w:rPr>
        <w:br w:type="page"/>
      </w:r>
    </w:p>
    <w:p w14:paraId="137F0C3B" w14:textId="77777777" w:rsidR="002130E1" w:rsidRDefault="002130E1" w:rsidP="007B4BAA">
      <w:pPr>
        <w:spacing w:line="400" w:lineRule="exact"/>
        <w:ind w:leftChars="800" w:left="1680"/>
        <w:rPr>
          <w:rFonts w:ascii="微软雅黑" w:eastAsia="微软雅黑" w:hAnsi="微软雅黑"/>
          <w:color w:val="000080"/>
          <w:sz w:val="32"/>
          <w:szCs w:val="32"/>
        </w:rPr>
      </w:pPr>
    </w:p>
    <w:p w14:paraId="0C04EAA9" w14:textId="77777777" w:rsidR="00AD0B79" w:rsidRPr="007B4BAA" w:rsidRDefault="00AD0B79" w:rsidP="00CC69E6">
      <w:pPr>
        <w:spacing w:line="400" w:lineRule="exact"/>
        <w:rPr>
          <w:rFonts w:ascii="微软雅黑" w:eastAsia="微软雅黑" w:hAnsi="微软雅黑"/>
          <w:color w:val="000080"/>
          <w:sz w:val="32"/>
          <w:szCs w:val="32"/>
        </w:rPr>
      </w:pPr>
      <w:r w:rsidRPr="007B4BAA">
        <w:rPr>
          <w:rFonts w:ascii="微软雅黑" w:eastAsia="微软雅黑" w:hAnsi="微软雅黑" w:hint="eastAsia"/>
          <w:color w:val="000080"/>
          <w:sz w:val="32"/>
          <w:szCs w:val="32"/>
        </w:rPr>
        <w:t>复华投资私募基金分策略运行指数构建说明</w:t>
      </w:r>
    </w:p>
    <w:p w14:paraId="33AB03DA" w14:textId="77777777" w:rsidR="007C3268" w:rsidRPr="007B4BAA" w:rsidRDefault="007C3268" w:rsidP="00CC69E6">
      <w:pPr>
        <w:spacing w:beforeLines="100" w:before="312" w:line="400" w:lineRule="exact"/>
        <w:rPr>
          <w:rFonts w:ascii="微软雅黑" w:eastAsia="微软雅黑" w:hAnsi="微软雅黑"/>
          <w:color w:val="000080"/>
          <w:sz w:val="28"/>
          <w:szCs w:val="28"/>
        </w:rPr>
      </w:pPr>
      <w:r w:rsidRPr="007B4BAA">
        <w:rPr>
          <w:rFonts w:ascii="微软雅黑" w:eastAsia="微软雅黑" w:hAnsi="微软雅黑" w:hint="eastAsia"/>
          <w:color w:val="000080"/>
          <w:sz w:val="28"/>
          <w:szCs w:val="28"/>
        </w:rPr>
        <w:t>1、细分策略类型</w:t>
      </w:r>
    </w:p>
    <w:p w14:paraId="42BF8D59" w14:textId="77777777" w:rsidR="00A70328" w:rsidRPr="007539D4" w:rsidRDefault="00E4640C" w:rsidP="00CC69E6">
      <w:pPr>
        <w:spacing w:beforeLines="50" w:before="156" w:line="400" w:lineRule="exact"/>
        <w:ind w:firstLineChars="200" w:firstLine="440"/>
        <w:rPr>
          <w:rFonts w:ascii="微软雅黑" w:eastAsia="微软雅黑" w:hAnsi="微软雅黑"/>
          <w:sz w:val="22"/>
        </w:rPr>
      </w:pPr>
      <w:r>
        <w:rPr>
          <w:rFonts w:ascii="微软雅黑" w:eastAsia="微软雅黑" w:hAnsi="微软雅黑" w:hint="eastAsia"/>
          <w:sz w:val="22"/>
        </w:rPr>
        <w:t>依据</w:t>
      </w:r>
      <w:r w:rsidR="007539D4" w:rsidRPr="007539D4">
        <w:rPr>
          <w:rFonts w:ascii="微软雅黑" w:eastAsia="微软雅黑" w:hAnsi="微软雅黑" w:hint="eastAsia"/>
          <w:sz w:val="22"/>
        </w:rPr>
        <w:t>投资工具种类</w:t>
      </w:r>
      <w:r w:rsidR="007539D4" w:rsidRPr="007539D4">
        <w:rPr>
          <w:rFonts w:ascii="微软雅黑" w:eastAsia="微软雅黑" w:hAnsi="微软雅黑"/>
          <w:sz w:val="22"/>
        </w:rPr>
        <w:t>(股票、债券和衍生品)和策略盈利原理，策略被分为以下六类：</w:t>
      </w:r>
    </w:p>
    <w:p w14:paraId="499E704A" w14:textId="77777777" w:rsidR="007539D4" w:rsidRPr="007539D4" w:rsidRDefault="007539D4" w:rsidP="00CC69E6">
      <w:pPr>
        <w:spacing w:beforeLines="50" w:before="156" w:line="400" w:lineRule="exact"/>
        <w:outlineLvl w:val="0"/>
        <w:rPr>
          <w:rFonts w:ascii="微软雅黑" w:eastAsia="微软雅黑" w:hAnsi="微软雅黑"/>
          <w:sz w:val="22"/>
        </w:rPr>
      </w:pPr>
      <w:r w:rsidRPr="007539D4">
        <w:rPr>
          <w:rFonts w:ascii="微软雅黑" w:eastAsia="微软雅黑" w:hAnsi="微软雅黑"/>
          <w:sz w:val="22"/>
        </w:rPr>
        <w:t>a)股票多头类策略(</w:t>
      </w:r>
      <w:proofErr w:type="gramStart"/>
      <w:r w:rsidRPr="007539D4">
        <w:rPr>
          <w:rFonts w:ascii="微软雅黑" w:eastAsia="微软雅黑" w:hAnsi="微软雅黑"/>
          <w:sz w:val="22"/>
        </w:rPr>
        <w:t>含股票</w:t>
      </w:r>
      <w:proofErr w:type="gramEnd"/>
      <w:r w:rsidRPr="007539D4">
        <w:rPr>
          <w:rFonts w:ascii="微软雅黑" w:eastAsia="微软雅黑" w:hAnsi="微软雅黑"/>
          <w:sz w:val="22"/>
        </w:rPr>
        <w:t>价值投资策略，股票量化单边策略和股票多空策略)</w:t>
      </w:r>
    </w:p>
    <w:p w14:paraId="5E46A25E" w14:textId="77777777" w:rsidR="007539D4" w:rsidRPr="007539D4" w:rsidRDefault="007539D4" w:rsidP="00CC69E6">
      <w:pPr>
        <w:spacing w:line="400" w:lineRule="exact"/>
        <w:outlineLvl w:val="0"/>
        <w:rPr>
          <w:rFonts w:ascii="微软雅黑" w:eastAsia="微软雅黑" w:hAnsi="微软雅黑"/>
          <w:sz w:val="22"/>
        </w:rPr>
      </w:pPr>
      <w:r w:rsidRPr="007539D4">
        <w:rPr>
          <w:rFonts w:ascii="微软雅黑" w:eastAsia="微软雅黑" w:hAnsi="微软雅黑"/>
          <w:sz w:val="22"/>
        </w:rPr>
        <w:t>b)股票市场中性策略(市值中性策略占比不低于80%)</w:t>
      </w:r>
    </w:p>
    <w:p w14:paraId="01056CBA" w14:textId="77972572" w:rsidR="007539D4" w:rsidRDefault="00FA6120" w:rsidP="00CC69E6">
      <w:pPr>
        <w:spacing w:line="400" w:lineRule="exact"/>
        <w:outlineLvl w:val="0"/>
        <w:rPr>
          <w:rFonts w:ascii="微软雅黑" w:eastAsia="微软雅黑" w:hAnsi="微软雅黑"/>
          <w:sz w:val="22"/>
        </w:rPr>
      </w:pPr>
      <w:r>
        <w:rPr>
          <w:rFonts w:ascii="微软雅黑" w:eastAsia="微软雅黑" w:hAnsi="微软雅黑"/>
          <w:sz w:val="22"/>
        </w:rPr>
        <w:t>c</w:t>
      </w:r>
      <w:r w:rsidR="007539D4" w:rsidRPr="007539D4">
        <w:rPr>
          <w:rFonts w:ascii="微软雅黑" w:eastAsia="微软雅黑" w:hAnsi="微软雅黑"/>
          <w:sz w:val="22"/>
        </w:rPr>
        <w:t>)CTA策略(含传统趋势追踪CTA策略和预测模型CTA策略)</w:t>
      </w:r>
    </w:p>
    <w:p w14:paraId="59739597" w14:textId="7FEE7297" w:rsidR="00FA6120" w:rsidRPr="007539D4" w:rsidRDefault="00FA6120" w:rsidP="00FA6120">
      <w:pPr>
        <w:spacing w:line="400" w:lineRule="exact"/>
        <w:outlineLvl w:val="0"/>
        <w:rPr>
          <w:rFonts w:ascii="微软雅黑" w:eastAsia="微软雅黑" w:hAnsi="微软雅黑"/>
          <w:sz w:val="22"/>
        </w:rPr>
      </w:pPr>
      <w:r>
        <w:rPr>
          <w:rFonts w:ascii="微软雅黑" w:eastAsia="微软雅黑" w:hAnsi="微软雅黑"/>
          <w:sz w:val="22"/>
        </w:rPr>
        <w:t>d</w:t>
      </w:r>
      <w:r w:rsidRPr="007539D4">
        <w:rPr>
          <w:rFonts w:ascii="微软雅黑" w:eastAsia="微软雅黑" w:hAnsi="微软雅黑"/>
          <w:sz w:val="22"/>
        </w:rPr>
        <w:t>)套利策略(</w:t>
      </w:r>
      <w:proofErr w:type="gramStart"/>
      <w:r w:rsidRPr="007539D4">
        <w:rPr>
          <w:rFonts w:ascii="微软雅黑" w:eastAsia="微软雅黑" w:hAnsi="微软雅黑"/>
          <w:sz w:val="22"/>
        </w:rPr>
        <w:t>含商品</w:t>
      </w:r>
      <w:proofErr w:type="gramEnd"/>
      <w:r w:rsidRPr="007539D4">
        <w:rPr>
          <w:rFonts w:ascii="微软雅黑" w:eastAsia="微软雅黑" w:hAnsi="微软雅黑"/>
          <w:sz w:val="22"/>
        </w:rPr>
        <w:t>套利策略，股指/国债期现和跨期套利，期权套利策略)</w:t>
      </w:r>
    </w:p>
    <w:p w14:paraId="601A76DA" w14:textId="11A52538" w:rsidR="007539D4" w:rsidRPr="007539D4" w:rsidRDefault="00CC69E6" w:rsidP="00CC69E6">
      <w:pPr>
        <w:spacing w:line="400" w:lineRule="exact"/>
        <w:outlineLvl w:val="0"/>
        <w:rPr>
          <w:rFonts w:ascii="微软雅黑" w:eastAsia="微软雅黑" w:hAnsi="微软雅黑"/>
          <w:sz w:val="22"/>
        </w:rPr>
      </w:pPr>
      <w:r>
        <w:rPr>
          <w:rFonts w:ascii="微软雅黑" w:eastAsia="微软雅黑" w:hAnsi="微软雅黑" w:hint="eastAsia"/>
          <w:sz w:val="22"/>
        </w:rPr>
        <w:t>e</w:t>
      </w:r>
      <w:r w:rsidR="007539D4" w:rsidRPr="007539D4">
        <w:rPr>
          <w:rFonts w:ascii="微软雅黑" w:eastAsia="微软雅黑" w:hAnsi="微软雅黑"/>
          <w:sz w:val="22"/>
        </w:rPr>
        <w:t>)债券策略</w:t>
      </w:r>
      <w:r w:rsidR="0074500A">
        <w:rPr>
          <w:rFonts w:ascii="微软雅黑" w:eastAsia="微软雅黑" w:hAnsi="微软雅黑" w:hint="eastAsia"/>
          <w:sz w:val="22"/>
        </w:rPr>
        <w:t>。</w:t>
      </w:r>
      <w:bookmarkStart w:id="2" w:name="_GoBack"/>
      <w:bookmarkEnd w:id="2"/>
    </w:p>
    <w:p w14:paraId="724E67AD" w14:textId="77777777" w:rsidR="007539D4" w:rsidRPr="007539D4" w:rsidRDefault="007539D4" w:rsidP="00CC69E6">
      <w:pPr>
        <w:spacing w:beforeLines="50" w:before="156" w:line="400" w:lineRule="exact"/>
        <w:ind w:firstLineChars="200" w:firstLine="440"/>
        <w:rPr>
          <w:rFonts w:ascii="微软雅黑" w:eastAsia="微软雅黑" w:hAnsi="微软雅黑"/>
          <w:sz w:val="22"/>
        </w:rPr>
      </w:pPr>
      <w:r w:rsidRPr="007539D4">
        <w:rPr>
          <w:rFonts w:ascii="微软雅黑" w:eastAsia="微软雅黑" w:hAnsi="微软雅黑" w:hint="eastAsia"/>
          <w:sz w:val="22"/>
        </w:rPr>
        <w:t>需要注意的是</w:t>
      </w:r>
      <w:r w:rsidR="00E4640C">
        <w:rPr>
          <w:rFonts w:ascii="微软雅黑" w:eastAsia="微软雅黑" w:hAnsi="微软雅黑" w:hint="eastAsia"/>
          <w:sz w:val="22"/>
        </w:rPr>
        <w:t>，</w:t>
      </w:r>
      <w:r w:rsidRPr="007539D4">
        <w:rPr>
          <w:rFonts w:ascii="微软雅黑" w:eastAsia="微软雅黑" w:hAnsi="微软雅黑" w:hint="eastAsia"/>
          <w:sz w:val="22"/>
        </w:rPr>
        <w:t>商品相关套利策略和固定收益套利策略被归为套利策略，非</w:t>
      </w:r>
      <w:r w:rsidRPr="007539D4">
        <w:rPr>
          <w:rFonts w:ascii="微软雅黑" w:eastAsia="微软雅黑" w:hAnsi="微软雅黑"/>
          <w:sz w:val="22"/>
        </w:rPr>
        <w:t>CTA策略或者债券策略，其背后的逻辑是套利策略或多或少的赚流动性因子的超额收益，在市场极端行情中大概率出现套利策略之间相关性大幅上升的情况。</w:t>
      </w:r>
    </w:p>
    <w:p w14:paraId="44EC59EC" w14:textId="77777777" w:rsidR="007C3268" w:rsidRPr="007B4BAA" w:rsidRDefault="007539D4" w:rsidP="00CC69E6">
      <w:pPr>
        <w:spacing w:beforeLines="100" w:before="312" w:line="400" w:lineRule="exact"/>
        <w:rPr>
          <w:rFonts w:ascii="微软雅黑" w:eastAsia="微软雅黑" w:hAnsi="微软雅黑"/>
          <w:color w:val="182B87"/>
          <w:sz w:val="28"/>
          <w:szCs w:val="28"/>
        </w:rPr>
      </w:pPr>
      <w:r>
        <w:rPr>
          <w:rFonts w:ascii="微软雅黑" w:eastAsia="微软雅黑" w:hAnsi="微软雅黑" w:hint="eastAsia"/>
          <w:color w:val="182B87"/>
          <w:sz w:val="28"/>
          <w:szCs w:val="28"/>
        </w:rPr>
        <w:t>2</w:t>
      </w:r>
      <w:r w:rsidR="007C3268" w:rsidRPr="007B4BAA">
        <w:rPr>
          <w:rFonts w:ascii="微软雅黑" w:eastAsia="微软雅黑" w:hAnsi="微软雅黑" w:hint="eastAsia"/>
          <w:color w:val="182B87"/>
          <w:sz w:val="28"/>
          <w:szCs w:val="28"/>
        </w:rPr>
        <w:t>、指数编制方法</w:t>
      </w:r>
    </w:p>
    <w:p w14:paraId="3A429929" w14:textId="77777777" w:rsidR="007539D4" w:rsidRPr="007539D4" w:rsidRDefault="007539D4" w:rsidP="00CC69E6">
      <w:pPr>
        <w:spacing w:beforeLines="50" w:before="156" w:line="400" w:lineRule="exact"/>
        <w:ind w:firstLineChars="200" w:firstLine="440"/>
        <w:rPr>
          <w:rFonts w:ascii="微软雅黑" w:eastAsia="微软雅黑" w:hAnsi="微软雅黑"/>
          <w:sz w:val="22"/>
        </w:rPr>
      </w:pPr>
      <w:r w:rsidRPr="007539D4">
        <w:rPr>
          <w:rFonts w:ascii="微软雅黑" w:eastAsia="微软雅黑" w:hAnsi="微软雅黑" w:hint="eastAsia"/>
          <w:sz w:val="22"/>
        </w:rPr>
        <w:t>对于每一细分策略，采用全市场有效样本构建策略指数。有效样本选取标准为，统计区间存在非全</w:t>
      </w:r>
      <w:r w:rsidRPr="007539D4">
        <w:rPr>
          <w:rFonts w:ascii="微软雅黑" w:eastAsia="微软雅黑" w:hAnsi="微软雅黑"/>
          <w:sz w:val="22"/>
        </w:rPr>
        <w:t>1的净值数据。为避免统计过程中出现幸存者偏差，对于统计区间清盘数据也将被纳入统计范围。</w:t>
      </w:r>
    </w:p>
    <w:p w14:paraId="54BFF0EC" w14:textId="76C86BD5" w:rsidR="007C3268" w:rsidRPr="000B6CDE" w:rsidRDefault="007539D4" w:rsidP="00CC69E6">
      <w:pPr>
        <w:spacing w:beforeLines="50" w:before="156" w:line="400" w:lineRule="exact"/>
        <w:ind w:firstLineChars="200" w:firstLine="440"/>
        <w:rPr>
          <w:rFonts w:ascii="微软雅黑" w:eastAsia="微软雅黑" w:hAnsi="微软雅黑"/>
          <w:sz w:val="22"/>
        </w:rPr>
      </w:pPr>
      <w:r w:rsidRPr="007539D4">
        <w:rPr>
          <w:rFonts w:ascii="微软雅黑" w:eastAsia="微软雅黑" w:hAnsi="微软雅黑" w:hint="eastAsia"/>
          <w:sz w:val="22"/>
        </w:rPr>
        <w:t>首先计算每一产品的周收益率。周收益率定义为上周最后一个交易日到本周最后一个交易日的净值增长率，若产品的某个发布日期不在当周的最后一个交易日，则通过插值计算得到其当</w:t>
      </w:r>
      <w:proofErr w:type="gramStart"/>
      <w:r w:rsidRPr="007539D4">
        <w:rPr>
          <w:rFonts w:ascii="微软雅黑" w:eastAsia="微软雅黑" w:hAnsi="微软雅黑" w:hint="eastAsia"/>
          <w:sz w:val="22"/>
        </w:rPr>
        <w:t>周最后</w:t>
      </w:r>
      <w:proofErr w:type="gramEnd"/>
      <w:r w:rsidRPr="007539D4">
        <w:rPr>
          <w:rFonts w:ascii="微软雅黑" w:eastAsia="微软雅黑" w:hAnsi="微软雅黑" w:hint="eastAsia"/>
          <w:sz w:val="22"/>
        </w:rPr>
        <w:t>一个交易日的理论净值。</w:t>
      </w:r>
      <w:r w:rsidR="007C3268" w:rsidRPr="000B6CDE">
        <w:rPr>
          <w:rFonts w:ascii="微软雅黑" w:eastAsia="微软雅黑" w:hAnsi="微软雅黑" w:hint="eastAsia"/>
          <w:sz w:val="22"/>
        </w:rPr>
        <w:t>具体公式如下:</w:t>
      </w:r>
    </w:p>
    <w:p w14:paraId="628A7489" w14:textId="77777777" w:rsidR="007539D4" w:rsidRPr="007539D4" w:rsidRDefault="00600543" w:rsidP="007539D4">
      <w:pPr>
        <w:spacing w:line="360" w:lineRule="auto"/>
        <w:ind w:firstLine="420"/>
        <w:jc w:val="center"/>
        <w:rPr>
          <w:rFonts w:ascii="等线" w:eastAsia="等线" w:hAnsi="等线" w:cs="Times New Roman"/>
          <w:sz w:val="22"/>
        </w:rPr>
      </w:pPr>
      <w:r>
        <w:rPr>
          <w:rFonts w:ascii="微软雅黑" w:eastAsia="微软雅黑" w:hAnsi="微软雅黑" w:hint="eastAsia"/>
          <w:sz w:val="22"/>
        </w:rPr>
        <w:t xml:space="preserve">                            </w:t>
      </w:r>
      <m:oMath>
        <m:sSub>
          <m:sSubPr>
            <m:ctrlPr>
              <w:rPr>
                <w:rFonts w:ascii="Cambria Math" w:eastAsia="等线" w:hAnsi="Cambria Math" w:cs="Times New Roman"/>
                <w:sz w:val="22"/>
              </w:rPr>
            </m:ctrlPr>
          </m:sSubPr>
          <m:e>
            <m:r>
              <m:rPr>
                <m:sty m:val="p"/>
              </m:rPr>
              <w:rPr>
                <w:rFonts w:ascii="Cambria Math" w:eastAsia="等线" w:hAnsi="Cambria Math" w:cs="Times New Roman"/>
                <w:sz w:val="22"/>
              </w:rPr>
              <m:t>R</m:t>
            </m:r>
          </m:e>
          <m:sub>
            <m:r>
              <m:rPr>
                <m:sty m:val="p"/>
              </m:rPr>
              <w:rPr>
                <w:rFonts w:ascii="Cambria Math" w:eastAsia="等线" w:hAnsi="Cambria Math" w:cs="Times New Roman"/>
                <w:sz w:val="22"/>
              </w:rPr>
              <m:t>i+1</m:t>
            </m:r>
          </m:sub>
        </m:sSub>
        <m:r>
          <m:rPr>
            <m:sty m:val="p"/>
          </m:rPr>
          <w:rPr>
            <w:rFonts w:ascii="Cambria Math" w:eastAsia="等线" w:hAnsi="Cambria Math" w:cs="Times New Roman"/>
            <w:sz w:val="22"/>
          </w:rPr>
          <m:t>=(</m:t>
        </m:r>
        <m:sSub>
          <m:sSubPr>
            <m:ctrlPr>
              <w:rPr>
                <w:rFonts w:ascii="Cambria Math" w:eastAsia="等线" w:hAnsi="Cambria Math" w:cs="Times New Roman"/>
                <w:sz w:val="22"/>
              </w:rPr>
            </m:ctrlPr>
          </m:sSubPr>
          <m:e>
            <m:r>
              <m:rPr>
                <m:sty m:val="p"/>
              </m:rPr>
              <w:rPr>
                <w:rFonts w:ascii="Cambria Math" w:eastAsia="等线" w:hAnsi="Cambria Math" w:cs="Times New Roman"/>
                <w:sz w:val="22"/>
              </w:rPr>
              <m:t>V</m:t>
            </m:r>
          </m:e>
          <m:sub>
            <m:r>
              <m:rPr>
                <m:sty m:val="p"/>
              </m:rPr>
              <w:rPr>
                <w:rFonts w:ascii="Cambria Math" w:eastAsia="等线" w:hAnsi="Cambria Math" w:cs="Times New Roman"/>
                <w:sz w:val="22"/>
              </w:rPr>
              <m:t>i+1</m:t>
            </m:r>
          </m:sub>
        </m:sSub>
        <m:r>
          <m:rPr>
            <m:sty m:val="p"/>
          </m:rPr>
          <w:rPr>
            <w:rFonts w:ascii="Cambria Math" w:eastAsia="等线" w:hAnsi="Cambria Math" w:cs="Times New Roman"/>
            <w:sz w:val="22"/>
          </w:rPr>
          <m:t xml:space="preserve">- </m:t>
        </m:r>
        <m:sSub>
          <m:sSubPr>
            <m:ctrlPr>
              <w:rPr>
                <w:rFonts w:ascii="Cambria Math" w:eastAsia="等线" w:hAnsi="Cambria Math" w:cs="Times New Roman"/>
                <w:sz w:val="22"/>
              </w:rPr>
            </m:ctrlPr>
          </m:sSubPr>
          <m:e>
            <m:r>
              <m:rPr>
                <m:sty m:val="p"/>
              </m:rPr>
              <w:rPr>
                <w:rFonts w:ascii="Cambria Math" w:eastAsia="等线" w:hAnsi="Cambria Math" w:cs="Times New Roman"/>
                <w:sz w:val="22"/>
              </w:rPr>
              <m:t>V</m:t>
            </m:r>
          </m:e>
          <m:sub>
            <m:r>
              <m:rPr>
                <m:sty m:val="p"/>
              </m:rPr>
              <w:rPr>
                <w:rFonts w:ascii="Cambria Math" w:eastAsia="等线" w:hAnsi="Cambria Math" w:cs="Times New Roman"/>
                <w:sz w:val="22"/>
              </w:rPr>
              <m:t>i</m:t>
            </m:r>
          </m:sub>
        </m:sSub>
        <m:r>
          <m:rPr>
            <m:sty m:val="p"/>
          </m:rPr>
          <w:rPr>
            <w:rFonts w:ascii="Cambria Math" w:eastAsia="等线" w:hAnsi="Cambria Math" w:cs="Times New Roman"/>
            <w:sz w:val="22"/>
          </w:rPr>
          <m:t>)/</m:t>
        </m:r>
        <m:sSub>
          <m:sSubPr>
            <m:ctrlPr>
              <w:rPr>
                <w:rFonts w:ascii="Cambria Math" w:eastAsia="等线" w:hAnsi="Cambria Math" w:cs="Times New Roman"/>
                <w:sz w:val="22"/>
              </w:rPr>
            </m:ctrlPr>
          </m:sSubPr>
          <m:e>
            <m:r>
              <m:rPr>
                <m:sty m:val="p"/>
              </m:rPr>
              <w:rPr>
                <w:rFonts w:ascii="Cambria Math" w:eastAsia="等线" w:hAnsi="Cambria Math" w:cs="Times New Roman"/>
                <w:sz w:val="22"/>
              </w:rPr>
              <m:t>V</m:t>
            </m:r>
          </m:e>
          <m:sub>
            <m:r>
              <m:rPr>
                <m:sty m:val="p"/>
              </m:rPr>
              <w:rPr>
                <w:rFonts w:ascii="Cambria Math" w:eastAsia="等线" w:hAnsi="Cambria Math" w:cs="Times New Roman"/>
                <w:sz w:val="22"/>
              </w:rPr>
              <m:t>i</m:t>
            </m:r>
          </m:sub>
        </m:sSub>
      </m:oMath>
      <w:r>
        <w:rPr>
          <w:rFonts w:ascii="等线" w:eastAsia="等线" w:hAnsi="等线" w:cs="Times New Roman" w:hint="eastAsia"/>
          <w:sz w:val="22"/>
        </w:rPr>
        <w:t xml:space="preserve">                   </w:t>
      </w:r>
      <w:r w:rsidR="007539D4" w:rsidRPr="007539D4">
        <w:rPr>
          <w:rFonts w:ascii="等线" w:eastAsia="等线" w:hAnsi="等线" w:cs="Times New Roman" w:hint="eastAsia"/>
          <w:sz w:val="22"/>
        </w:rPr>
        <w:t>(1)</w:t>
      </w:r>
    </w:p>
    <w:p w14:paraId="74A58DB3" w14:textId="77777777" w:rsidR="00072F20" w:rsidRDefault="00072F20" w:rsidP="00CC69E6">
      <w:pPr>
        <w:spacing w:beforeLines="50" w:before="156" w:line="400" w:lineRule="exact"/>
        <w:rPr>
          <w:rFonts w:ascii="微软雅黑" w:eastAsia="微软雅黑" w:hAnsi="微软雅黑" w:cs="Times New Roman"/>
          <w:sz w:val="22"/>
        </w:rPr>
      </w:pPr>
      <w:r w:rsidRPr="00072F20">
        <w:rPr>
          <w:rFonts w:ascii="微软雅黑" w:eastAsia="微软雅黑" w:hAnsi="微软雅黑" w:cs="Times New Roman" w:hint="eastAsia"/>
          <w:sz w:val="22"/>
        </w:rPr>
        <w:t>其中</w:t>
      </w:r>
      <m:oMath>
        <m:sSub>
          <m:sSubPr>
            <m:ctrlPr>
              <w:rPr>
                <w:rFonts w:ascii="Cambria Math" w:eastAsia="微软雅黑" w:hAnsi="Cambria Math" w:cs="Times New Roman"/>
                <w:sz w:val="22"/>
              </w:rPr>
            </m:ctrlPr>
          </m:sSubPr>
          <m:e>
            <m:r>
              <m:rPr>
                <m:sty m:val="p"/>
              </m:rPr>
              <w:rPr>
                <w:rFonts w:ascii="Cambria Math" w:eastAsia="微软雅黑" w:hAnsi="Cambria Math" w:cs="Times New Roman"/>
                <w:sz w:val="22"/>
              </w:rPr>
              <m:t>R</m:t>
            </m:r>
          </m:e>
          <m:sub>
            <m:r>
              <m:rPr>
                <m:sty m:val="p"/>
              </m:rPr>
              <w:rPr>
                <w:rFonts w:ascii="Cambria Math" w:eastAsia="微软雅黑" w:hAnsi="Cambria Math" w:cs="Times New Roman"/>
                <w:sz w:val="22"/>
              </w:rPr>
              <m:t>i+1</m:t>
            </m:r>
          </m:sub>
        </m:sSub>
      </m:oMath>
      <w:r w:rsidRPr="00072F20">
        <w:rPr>
          <w:rFonts w:ascii="微软雅黑" w:eastAsia="微软雅黑" w:hAnsi="微软雅黑" w:cs="Times New Roman" w:hint="eastAsia"/>
          <w:sz w:val="22"/>
        </w:rPr>
        <w:t xml:space="preserve"> 为产品第i+1周收益率， </w:t>
      </w:r>
      <m:oMath>
        <m:sSub>
          <m:sSubPr>
            <m:ctrlPr>
              <w:rPr>
                <w:rFonts w:ascii="Cambria Math" w:eastAsia="微软雅黑" w:hAnsi="Cambria Math" w:cs="Times New Roman"/>
                <w:sz w:val="22"/>
              </w:rPr>
            </m:ctrlPr>
          </m:sSubPr>
          <m:e>
            <m:r>
              <m:rPr>
                <m:sty m:val="p"/>
              </m:rPr>
              <w:rPr>
                <w:rFonts w:ascii="Cambria Math" w:eastAsia="微软雅黑" w:hAnsi="Cambria Math" w:cs="Times New Roman"/>
                <w:sz w:val="22"/>
              </w:rPr>
              <m:t>V</m:t>
            </m:r>
          </m:e>
          <m:sub>
            <m:r>
              <m:rPr>
                <m:sty m:val="p"/>
              </m:rPr>
              <w:rPr>
                <w:rFonts w:ascii="Cambria Math" w:eastAsia="微软雅黑" w:hAnsi="Cambria Math" w:cs="Times New Roman"/>
                <w:sz w:val="22"/>
              </w:rPr>
              <m:t>i</m:t>
            </m:r>
          </m:sub>
        </m:sSub>
      </m:oMath>
      <w:r w:rsidRPr="00072F20">
        <w:rPr>
          <w:rFonts w:ascii="微软雅黑" w:eastAsia="微软雅黑" w:hAnsi="微软雅黑" w:cs="Times New Roman" w:hint="eastAsia"/>
          <w:sz w:val="22"/>
        </w:rPr>
        <w:t>为产品第</w:t>
      </w:r>
      <w:proofErr w:type="spellStart"/>
      <w:r w:rsidRPr="00072F20">
        <w:rPr>
          <w:rFonts w:ascii="微软雅黑" w:eastAsia="微软雅黑" w:hAnsi="微软雅黑" w:cs="Times New Roman" w:hint="eastAsia"/>
          <w:sz w:val="22"/>
        </w:rPr>
        <w:t>i</w:t>
      </w:r>
      <w:proofErr w:type="spellEnd"/>
      <w:r w:rsidRPr="00072F20">
        <w:rPr>
          <w:rFonts w:ascii="微软雅黑" w:eastAsia="微软雅黑" w:hAnsi="微软雅黑" w:cs="Times New Roman" w:hint="eastAsia"/>
          <w:sz w:val="22"/>
        </w:rPr>
        <w:t>周净值，</w:t>
      </w:r>
      <m:oMath>
        <m:sSub>
          <m:sSubPr>
            <m:ctrlPr>
              <w:rPr>
                <w:rFonts w:ascii="Cambria Math" w:eastAsia="微软雅黑" w:hAnsi="Cambria Math" w:cs="Times New Roman"/>
                <w:sz w:val="22"/>
              </w:rPr>
            </m:ctrlPr>
          </m:sSubPr>
          <m:e>
            <m:r>
              <m:rPr>
                <m:sty m:val="p"/>
              </m:rPr>
              <w:rPr>
                <w:rFonts w:ascii="Cambria Math" w:eastAsia="微软雅黑" w:hAnsi="Cambria Math" w:cs="Times New Roman"/>
                <w:sz w:val="22"/>
              </w:rPr>
              <m:t>V</m:t>
            </m:r>
          </m:e>
          <m:sub>
            <m:r>
              <m:rPr>
                <m:sty m:val="p"/>
              </m:rPr>
              <w:rPr>
                <w:rFonts w:ascii="Cambria Math" w:eastAsia="微软雅黑" w:hAnsi="Cambria Math" w:cs="Times New Roman"/>
                <w:sz w:val="22"/>
              </w:rPr>
              <m:t>i+1</m:t>
            </m:r>
          </m:sub>
        </m:sSub>
      </m:oMath>
      <w:r w:rsidRPr="00072F20">
        <w:rPr>
          <w:rFonts w:ascii="微软雅黑" w:eastAsia="微软雅黑" w:hAnsi="微软雅黑" w:cs="Times New Roman" w:hint="eastAsia"/>
          <w:sz w:val="22"/>
        </w:rPr>
        <w:t>为产品第i+1周净值。</w:t>
      </w:r>
    </w:p>
    <w:p w14:paraId="3E1FD6B1" w14:textId="01DDD30D" w:rsidR="007C3268" w:rsidRPr="000B6CDE" w:rsidRDefault="00072F20" w:rsidP="00CC69E6">
      <w:pPr>
        <w:spacing w:beforeLines="50" w:before="156" w:line="400" w:lineRule="exact"/>
        <w:ind w:firstLineChars="200" w:firstLine="440"/>
        <w:rPr>
          <w:rFonts w:ascii="微软雅黑" w:eastAsia="微软雅黑" w:hAnsi="微软雅黑"/>
          <w:sz w:val="22"/>
        </w:rPr>
      </w:pPr>
      <w:r w:rsidRPr="00072F20">
        <w:rPr>
          <w:rFonts w:ascii="微软雅黑" w:eastAsia="微软雅黑" w:hAnsi="微软雅黑" w:cs="Times New Roman" w:hint="eastAsia"/>
          <w:sz w:val="22"/>
        </w:rPr>
        <w:t>随后，按周对所有产品的周收益率做等权平均。不使用加权平均的原因是不希望少数规模过大的产品对整体产生过大影响。该指数反应的是在当周的市场环境下，细分策略的典型</w:t>
      </w:r>
      <w:proofErr w:type="gramStart"/>
      <w:r w:rsidRPr="00072F20">
        <w:rPr>
          <w:rFonts w:ascii="微软雅黑" w:eastAsia="微软雅黑" w:hAnsi="微软雅黑" w:cs="Times New Roman" w:hint="eastAsia"/>
          <w:sz w:val="22"/>
        </w:rPr>
        <w:t>投顾对</w:t>
      </w:r>
      <w:proofErr w:type="gramEnd"/>
      <w:r w:rsidRPr="00072F20">
        <w:rPr>
          <w:rFonts w:ascii="微软雅黑" w:eastAsia="微软雅黑" w:hAnsi="微软雅黑" w:cs="Times New Roman" w:hint="eastAsia"/>
          <w:sz w:val="22"/>
        </w:rPr>
        <w:t>市场的应对能力，不由绝对规模决定。</w:t>
      </w:r>
      <w:r w:rsidR="007C3268" w:rsidRPr="000B6CDE">
        <w:rPr>
          <w:rFonts w:ascii="微软雅黑" w:eastAsia="微软雅黑" w:hAnsi="微软雅黑" w:hint="eastAsia"/>
          <w:sz w:val="22"/>
        </w:rPr>
        <w:t>具体公式如下:</w:t>
      </w:r>
    </w:p>
    <w:p w14:paraId="667C10BA" w14:textId="77777777" w:rsidR="007C3268" w:rsidRPr="000B6CDE" w:rsidRDefault="007C3268" w:rsidP="00600543">
      <w:pPr>
        <w:spacing w:beforeLines="100" w:before="312" w:line="400" w:lineRule="exact"/>
        <w:ind w:leftChars="800" w:left="1680" w:firstLineChars="200" w:firstLine="440"/>
        <w:rPr>
          <w:rFonts w:ascii="微软雅黑" w:eastAsia="微软雅黑" w:hAnsi="微软雅黑"/>
          <w:sz w:val="22"/>
        </w:rPr>
      </w:pPr>
      <w:r w:rsidRPr="000B6CDE">
        <w:rPr>
          <w:rFonts w:ascii="微软雅黑" w:eastAsia="微软雅黑" w:hAnsi="微软雅黑" w:hint="eastAsia"/>
          <w:sz w:val="22"/>
        </w:rPr>
        <w:tab/>
      </w:r>
      <w:r w:rsidRPr="000B6CDE">
        <w:rPr>
          <w:rFonts w:ascii="微软雅黑" w:eastAsia="微软雅黑" w:hAnsi="微软雅黑" w:hint="eastAsia"/>
          <w:sz w:val="22"/>
        </w:rPr>
        <w:tab/>
      </w:r>
      <w:r w:rsidRPr="000B6CDE">
        <w:rPr>
          <w:rFonts w:ascii="微软雅黑" w:eastAsia="微软雅黑" w:hAnsi="微软雅黑" w:hint="eastAsia"/>
          <w:sz w:val="22"/>
        </w:rPr>
        <w:tab/>
      </w:r>
      <m:oMath>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i+1</m:t>
            </m:r>
          </m:sub>
        </m:sSub>
        <m:r>
          <m:rPr>
            <m:sty m:val="p"/>
          </m:rPr>
          <w:rPr>
            <w:rFonts w:ascii="Cambria Math" w:eastAsia="微软雅黑" w:hAnsi="Cambria Math"/>
            <w:sz w:val="22"/>
          </w:rPr>
          <m:t xml:space="preserve">= </m:t>
        </m:r>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m:t>
            </m:r>
          </m:sub>
        </m:sSub>
        <m:r>
          <m:rPr>
            <m:sty m:val="p"/>
          </m:rPr>
          <w:rPr>
            <w:rFonts w:ascii="Cambria Math" w:eastAsia="微软雅黑" w:hAnsi="Cambria Math"/>
            <w:sz w:val="22"/>
          </w:rPr>
          <m:t xml:space="preserve">*(1+ </m:t>
        </m:r>
        <m:f>
          <m:fPr>
            <m:ctrlPr>
              <w:rPr>
                <w:rFonts w:ascii="Cambria Math" w:eastAsia="微软雅黑" w:hAnsi="Cambria Math"/>
                <w:sz w:val="22"/>
              </w:rPr>
            </m:ctrlPr>
          </m:fPr>
          <m:num>
            <m:r>
              <m:rPr>
                <m:sty m:val="p"/>
              </m:rPr>
              <w:rPr>
                <w:rFonts w:ascii="Cambria Math" w:eastAsia="微软雅黑" w:hAnsi="Cambria Math"/>
                <w:sz w:val="22"/>
              </w:rPr>
              <m:t>1</m:t>
            </m:r>
          </m:num>
          <m:den>
            <m:r>
              <m:rPr>
                <m:sty m:val="p"/>
              </m:rPr>
              <w:rPr>
                <w:rFonts w:ascii="Cambria Math" w:eastAsia="微软雅黑" w:hAnsi="Cambria Math"/>
                <w:sz w:val="22"/>
              </w:rPr>
              <m:t>n</m:t>
            </m:r>
          </m:den>
        </m:f>
        <m:nary>
          <m:naryPr>
            <m:chr m:val="∑"/>
            <m:limLoc m:val="undOvr"/>
            <m:subHide m:val="1"/>
            <m:supHide m:val="1"/>
            <m:ctrlPr>
              <w:rPr>
                <w:rFonts w:ascii="Cambria Math" w:eastAsia="微软雅黑" w:hAnsi="Cambria Math"/>
                <w:sz w:val="22"/>
              </w:rPr>
            </m:ctrlPr>
          </m:naryPr>
          <m:sub/>
          <m:sup/>
          <m:e>
            <m:sSub>
              <m:sSubPr>
                <m:ctrlPr>
                  <w:rPr>
                    <w:rFonts w:ascii="Cambria Math" w:eastAsia="微软雅黑" w:hAnsi="Cambria Math"/>
                    <w:sz w:val="22"/>
                  </w:rPr>
                </m:ctrlPr>
              </m:sSubPr>
              <m:e>
                <m:r>
                  <m:rPr>
                    <m:sty m:val="p"/>
                  </m:rPr>
                  <w:rPr>
                    <w:rFonts w:ascii="Cambria Math" w:eastAsia="微软雅黑" w:hAnsi="Cambria Math"/>
                    <w:sz w:val="22"/>
                  </w:rPr>
                  <m:t>R</m:t>
                </m:r>
              </m:e>
              <m:sub>
                <m:r>
                  <m:rPr>
                    <m:sty m:val="p"/>
                  </m:rPr>
                  <w:rPr>
                    <w:rFonts w:ascii="Cambria Math" w:eastAsia="微软雅黑" w:hAnsi="Cambria Math"/>
                    <w:sz w:val="22"/>
                  </w:rPr>
                  <m:t>j,i+1</m:t>
                </m:r>
              </m:sub>
            </m:sSub>
          </m:e>
        </m:nary>
        <m:r>
          <m:rPr>
            <m:sty m:val="p"/>
          </m:rPr>
          <w:rPr>
            <w:rFonts w:ascii="Cambria Math" w:eastAsia="微软雅黑" w:hAnsi="Cambria Math"/>
            <w:sz w:val="22"/>
          </w:rPr>
          <m:t xml:space="preserve"> )</m:t>
        </m:r>
      </m:oMath>
      <w:r w:rsidRPr="000B6CDE">
        <w:rPr>
          <w:rFonts w:ascii="微软雅黑" w:eastAsia="微软雅黑" w:hAnsi="微软雅黑" w:hint="eastAsia"/>
          <w:sz w:val="22"/>
        </w:rPr>
        <w:t xml:space="preserve">             (2)</w:t>
      </w:r>
    </w:p>
    <w:p w14:paraId="409A93E6" w14:textId="77777777" w:rsidR="007C3268" w:rsidRPr="000B6CDE" w:rsidRDefault="007C3268" w:rsidP="00404B62">
      <w:pPr>
        <w:spacing w:beforeLines="100" w:before="312" w:line="400" w:lineRule="exact"/>
        <w:rPr>
          <w:rFonts w:ascii="微软雅黑" w:eastAsia="微软雅黑" w:hAnsi="微软雅黑"/>
          <w:sz w:val="22"/>
        </w:rPr>
      </w:pPr>
      <w:r w:rsidRPr="000B6CDE">
        <w:rPr>
          <w:rFonts w:ascii="微软雅黑" w:eastAsia="微软雅黑" w:hAnsi="微软雅黑" w:hint="eastAsia"/>
          <w:sz w:val="22"/>
        </w:rPr>
        <w:t>其中,</w:t>
      </w:r>
      <m:oMath>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m:t>
            </m:r>
          </m:sub>
        </m:sSub>
      </m:oMath>
      <w:r w:rsidRPr="000B6CDE">
        <w:rPr>
          <w:rFonts w:ascii="微软雅黑" w:eastAsia="微软雅黑" w:hAnsi="微软雅黑" w:hint="eastAsia"/>
          <w:sz w:val="22"/>
        </w:rPr>
        <w:t xml:space="preserve"> 为第</w:t>
      </w:r>
      <w:proofErr w:type="spellStart"/>
      <w:r w:rsidRPr="000B6CDE">
        <w:rPr>
          <w:rFonts w:ascii="微软雅黑" w:eastAsia="微软雅黑" w:hAnsi="微软雅黑" w:hint="eastAsia"/>
          <w:sz w:val="22"/>
        </w:rPr>
        <w:t>i</w:t>
      </w:r>
      <w:proofErr w:type="spellEnd"/>
      <w:proofErr w:type="gramStart"/>
      <w:r w:rsidRPr="000B6CDE">
        <w:rPr>
          <w:rFonts w:ascii="微软雅黑" w:eastAsia="微软雅黑" w:hAnsi="微软雅黑" w:hint="eastAsia"/>
          <w:sz w:val="22"/>
        </w:rPr>
        <w:t>周指数</w:t>
      </w:r>
      <w:proofErr w:type="gramEnd"/>
      <w:r w:rsidRPr="000B6CDE">
        <w:rPr>
          <w:rFonts w:ascii="微软雅黑" w:eastAsia="微软雅黑" w:hAnsi="微软雅黑" w:hint="eastAsia"/>
          <w:sz w:val="22"/>
        </w:rPr>
        <w:t>净值，</w:t>
      </w:r>
      <m:oMath>
        <m:sSub>
          <m:sSubPr>
            <m:ctrlPr>
              <w:rPr>
                <w:rFonts w:ascii="Cambria Math" w:eastAsia="微软雅黑" w:hAnsi="Cambria Math"/>
                <w:sz w:val="22"/>
              </w:rPr>
            </m:ctrlPr>
          </m:sSubPr>
          <m:e>
            <m:r>
              <m:rPr>
                <m:sty m:val="p"/>
              </m:rPr>
              <w:rPr>
                <w:rFonts w:ascii="Cambria Math" w:eastAsia="微软雅黑" w:hAnsi="Cambria Math"/>
                <w:sz w:val="22"/>
              </w:rPr>
              <m:t>Index</m:t>
            </m:r>
          </m:e>
          <m:sub>
            <m:r>
              <m:rPr>
                <m:sty m:val="p"/>
              </m:rPr>
              <w:rPr>
                <w:rFonts w:ascii="Cambria Math" w:eastAsia="微软雅黑" w:hAnsi="Cambria Math"/>
                <w:sz w:val="22"/>
              </w:rPr>
              <m:t>i+1</m:t>
            </m:r>
          </m:sub>
        </m:sSub>
      </m:oMath>
      <w:r w:rsidRPr="000B6CDE">
        <w:rPr>
          <w:rFonts w:ascii="微软雅黑" w:eastAsia="微软雅黑" w:hAnsi="微软雅黑" w:hint="eastAsia"/>
          <w:sz w:val="22"/>
        </w:rPr>
        <w:t xml:space="preserve"> 为第i+</w:t>
      </w:r>
      <w:r w:rsidR="00D2531E" w:rsidRPr="000B6CDE">
        <w:rPr>
          <w:rFonts w:ascii="微软雅黑" w:eastAsia="微软雅黑" w:hAnsi="微软雅黑"/>
          <w:sz w:val="22"/>
        </w:rPr>
        <w:softHyphen/>
      </w:r>
      <w:r w:rsidR="00D2531E" w:rsidRPr="000B6CDE">
        <w:rPr>
          <w:rFonts w:ascii="微软雅黑" w:eastAsia="微软雅黑" w:hAnsi="微软雅黑"/>
          <w:sz w:val="22"/>
        </w:rPr>
        <w:softHyphen/>
      </w:r>
      <w:r w:rsidR="00D2531E" w:rsidRPr="000B6CDE">
        <w:rPr>
          <w:rFonts w:ascii="微软雅黑" w:eastAsia="微软雅黑" w:hAnsi="微软雅黑"/>
          <w:sz w:val="22"/>
        </w:rPr>
        <w:softHyphen/>
      </w:r>
      <w:r w:rsidRPr="000B6CDE">
        <w:rPr>
          <w:rFonts w:ascii="微软雅黑" w:eastAsia="微软雅黑" w:hAnsi="微软雅黑" w:hint="eastAsia"/>
          <w:sz w:val="22"/>
        </w:rPr>
        <w:t>1周指数净值,</w:t>
      </w:r>
      <m:oMath>
        <m:sSub>
          <m:sSubPr>
            <m:ctrlPr>
              <w:rPr>
                <w:rFonts w:ascii="Cambria Math" w:eastAsia="微软雅黑" w:hAnsi="Cambria Math"/>
                <w:sz w:val="22"/>
              </w:rPr>
            </m:ctrlPr>
          </m:sSubPr>
          <m:e>
            <m:r>
              <m:rPr>
                <m:sty m:val="p"/>
              </m:rPr>
              <w:rPr>
                <w:rFonts w:ascii="Cambria Math" w:eastAsia="微软雅黑" w:hAnsi="Cambria Math"/>
                <w:sz w:val="22"/>
              </w:rPr>
              <m:t>R</m:t>
            </m:r>
          </m:e>
          <m:sub>
            <m:r>
              <m:rPr>
                <m:sty m:val="p"/>
              </m:rPr>
              <w:rPr>
                <w:rFonts w:ascii="Cambria Math" w:eastAsia="微软雅黑" w:hAnsi="Cambria Math"/>
                <w:sz w:val="22"/>
              </w:rPr>
              <m:t>j,i+1</m:t>
            </m:r>
          </m:sub>
        </m:sSub>
      </m:oMath>
      <w:r w:rsidRPr="000B6CDE">
        <w:rPr>
          <w:rFonts w:ascii="微软雅黑" w:eastAsia="微软雅黑" w:hAnsi="微软雅黑" w:hint="eastAsia"/>
          <w:sz w:val="22"/>
        </w:rPr>
        <w:t xml:space="preserve"> 为第j个基金在第</w:t>
      </w:r>
      <w:proofErr w:type="spellStart"/>
      <w:r w:rsidRPr="000B6CDE">
        <w:rPr>
          <w:rFonts w:ascii="微软雅黑" w:eastAsia="微软雅黑" w:hAnsi="微软雅黑" w:hint="eastAsia"/>
          <w:sz w:val="22"/>
        </w:rPr>
        <w:t>i</w:t>
      </w:r>
      <w:proofErr w:type="spellEnd"/>
      <w:r w:rsidRPr="000B6CDE">
        <w:rPr>
          <w:rFonts w:ascii="微软雅黑" w:eastAsia="微软雅黑" w:hAnsi="微软雅黑" w:hint="eastAsia"/>
          <w:sz w:val="22"/>
        </w:rPr>
        <w:t>至i+1周的收益率，n为当期该类别下的基金总数量。</w:t>
      </w:r>
    </w:p>
    <w:p w14:paraId="0528C0B7" w14:textId="77777777" w:rsidR="00AD0B79" w:rsidRDefault="00AD0B79" w:rsidP="00AD0B79">
      <w:pPr>
        <w:widowControl/>
        <w:jc w:val="left"/>
        <w:rPr>
          <w:color w:val="000080"/>
          <w:sz w:val="28"/>
          <w:szCs w:val="36"/>
        </w:rPr>
      </w:pPr>
      <w:r>
        <w:rPr>
          <w:color w:val="000080"/>
          <w:sz w:val="28"/>
          <w:szCs w:val="36"/>
        </w:rPr>
        <w:br w:type="page"/>
      </w:r>
    </w:p>
    <w:p w14:paraId="0F45166E" w14:textId="77777777" w:rsidR="00CC69E6" w:rsidRDefault="00AD0B79" w:rsidP="00CC69E6">
      <w:pPr>
        <w:spacing w:line="400" w:lineRule="exact"/>
        <w:rPr>
          <w:rFonts w:ascii="微软雅黑" w:eastAsia="微软雅黑" w:hAnsi="微软雅黑"/>
          <w:color w:val="000080"/>
          <w:sz w:val="32"/>
          <w:szCs w:val="32"/>
        </w:rPr>
      </w:pPr>
      <w:r w:rsidRPr="00072F20">
        <w:rPr>
          <w:rFonts w:ascii="微软雅黑" w:eastAsia="微软雅黑" w:hAnsi="微软雅黑" w:hint="eastAsia"/>
          <w:color w:val="000080"/>
          <w:sz w:val="32"/>
          <w:szCs w:val="32"/>
        </w:rPr>
        <w:lastRenderedPageBreak/>
        <w:t>信息披露</w:t>
      </w:r>
    </w:p>
    <w:p w14:paraId="655D8414" w14:textId="46C85A82" w:rsidR="00AD0B79" w:rsidRPr="00072F20" w:rsidRDefault="00AD0B79" w:rsidP="00CC69E6">
      <w:pPr>
        <w:spacing w:line="400" w:lineRule="exact"/>
        <w:rPr>
          <w:rFonts w:ascii="微软雅黑" w:eastAsia="微软雅黑" w:hAnsi="微软雅黑"/>
          <w:color w:val="000080"/>
          <w:sz w:val="24"/>
          <w:szCs w:val="24"/>
        </w:rPr>
      </w:pPr>
      <w:r w:rsidRPr="00072F20">
        <w:rPr>
          <w:rFonts w:ascii="微软雅黑" w:eastAsia="微软雅黑" w:hAnsi="微软雅黑" w:hint="eastAsia"/>
          <w:color w:val="000080"/>
          <w:sz w:val="24"/>
          <w:szCs w:val="24"/>
        </w:rPr>
        <w:t>分析师声明</w:t>
      </w:r>
    </w:p>
    <w:p w14:paraId="4FA0DE1D" w14:textId="77777777" w:rsidR="00AD0B79" w:rsidRPr="00BA081C" w:rsidRDefault="00AD0B79" w:rsidP="00CC69E6">
      <w:pPr>
        <w:spacing w:beforeLines="100" w:before="312"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主要负责撰写本研究报告全部或部分内容的研究分析师在此声明：</w:t>
      </w:r>
    </w:p>
    <w:p w14:paraId="6975D91F" w14:textId="77777777" w:rsidR="00AD0B79" w:rsidRPr="00BA081C" w:rsidRDefault="00AD0B79" w:rsidP="00CC69E6">
      <w:pPr>
        <w:spacing w:beforeLines="100" w:before="312"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（1</w:t>
      </w:r>
      <w:r w:rsidRPr="00BA081C">
        <w:rPr>
          <w:rFonts w:ascii="微软雅黑" w:eastAsia="微软雅黑" w:hAnsi="微软雅黑"/>
          <w:sz w:val="22"/>
        </w:rPr>
        <w:t>）</w:t>
      </w:r>
      <w:r w:rsidRPr="00BA081C">
        <w:rPr>
          <w:rFonts w:ascii="微软雅黑" w:eastAsia="微软雅黑" w:hAnsi="微软雅黑" w:hint="eastAsia"/>
          <w:sz w:val="22"/>
        </w:rPr>
        <w:t>分析师以勤勉的职业态度，独立、客观地出具</w:t>
      </w:r>
      <w:r w:rsidR="00183B9B">
        <w:rPr>
          <w:rFonts w:ascii="微软雅黑" w:eastAsia="微软雅黑" w:hAnsi="微软雅黑" w:hint="eastAsia"/>
          <w:sz w:val="22"/>
        </w:rPr>
        <w:t>本研究报告/</w:t>
      </w:r>
      <w:r w:rsidRPr="00BA081C">
        <w:rPr>
          <w:rFonts w:ascii="微软雅黑" w:eastAsia="微软雅黑" w:hAnsi="微软雅黑" w:hint="eastAsia"/>
          <w:sz w:val="22"/>
        </w:rPr>
        <w:t>本报告。本报告所采用的数据和信息均来自市场公开信息，不保证该等信息的准确性或完整性。</w:t>
      </w:r>
    </w:p>
    <w:p w14:paraId="2EF36139" w14:textId="77777777" w:rsidR="00CC69E6" w:rsidRDefault="00AD0B79" w:rsidP="00CC69E6">
      <w:pPr>
        <w:spacing w:beforeLines="100" w:before="312"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（2</w:t>
      </w:r>
      <w:r w:rsidRPr="00BA081C">
        <w:rPr>
          <w:rFonts w:ascii="微软雅黑" w:eastAsia="微软雅黑" w:hAnsi="微软雅黑"/>
          <w:sz w:val="22"/>
        </w:rPr>
        <w:t>）本研究报告所表述的任何观</w:t>
      </w:r>
      <w:r w:rsidRPr="00BA081C">
        <w:rPr>
          <w:rFonts w:ascii="微软雅黑" w:eastAsia="微软雅黑" w:hAnsi="微软雅黑" w:hint="eastAsia"/>
          <w:sz w:val="22"/>
        </w:rPr>
        <w:t>点均如实反映了每位分析师个人对标的资产的看法，分析逻辑基于</w:t>
      </w:r>
      <w:r w:rsidR="00183B9B">
        <w:rPr>
          <w:rFonts w:ascii="微软雅黑" w:eastAsia="微软雅黑" w:hAnsi="微软雅黑" w:hint="eastAsia"/>
          <w:sz w:val="22"/>
        </w:rPr>
        <w:t>分析师</w:t>
      </w:r>
      <w:r w:rsidRPr="00BA081C">
        <w:rPr>
          <w:rFonts w:ascii="微软雅黑" w:eastAsia="微软雅黑" w:hAnsi="微软雅黑" w:hint="eastAsia"/>
          <w:sz w:val="22"/>
        </w:rPr>
        <w:t>的职业理解，清晰准确地反映了</w:t>
      </w:r>
      <w:r w:rsidR="00183B9B">
        <w:rPr>
          <w:rFonts w:ascii="微软雅黑" w:eastAsia="微软雅黑" w:hAnsi="微软雅黑" w:hint="eastAsia"/>
          <w:sz w:val="22"/>
        </w:rPr>
        <w:t>分析师</w:t>
      </w:r>
      <w:r w:rsidRPr="00BA081C">
        <w:rPr>
          <w:rFonts w:ascii="微软雅黑" w:eastAsia="微软雅黑" w:hAnsi="微软雅黑" w:hint="eastAsia"/>
          <w:sz w:val="22"/>
        </w:rPr>
        <w:t>的研究观点，结论不受任何第三方的授意或影响，特此声明。</w:t>
      </w:r>
    </w:p>
    <w:p w14:paraId="427A7328" w14:textId="532AE080" w:rsidR="00AD0B79" w:rsidRPr="00CC69E6" w:rsidRDefault="00AD0B79" w:rsidP="00CC69E6">
      <w:pPr>
        <w:spacing w:beforeLines="100" w:before="312" w:line="400" w:lineRule="exact"/>
        <w:rPr>
          <w:rFonts w:ascii="微软雅黑" w:eastAsia="微软雅黑" w:hAnsi="微软雅黑"/>
          <w:sz w:val="22"/>
        </w:rPr>
      </w:pPr>
      <w:r w:rsidRPr="00072F20">
        <w:rPr>
          <w:rFonts w:ascii="微软雅黑" w:eastAsia="微软雅黑" w:hAnsi="微软雅黑" w:hint="eastAsia"/>
          <w:color w:val="000080"/>
          <w:sz w:val="24"/>
          <w:szCs w:val="24"/>
        </w:rPr>
        <w:t>一般性声明</w:t>
      </w:r>
    </w:p>
    <w:p w14:paraId="6EA09780" w14:textId="77777777" w:rsidR="00AD0B79" w:rsidRPr="00BA081C" w:rsidRDefault="00183B9B" w:rsidP="00CC69E6">
      <w:pPr>
        <w:spacing w:beforeLines="100" w:before="312" w:line="400" w:lineRule="exact"/>
        <w:ind w:firstLineChars="300" w:firstLine="660"/>
        <w:rPr>
          <w:rFonts w:ascii="微软雅黑" w:eastAsia="微软雅黑" w:hAnsi="微软雅黑"/>
          <w:sz w:val="22"/>
        </w:rPr>
      </w:pPr>
      <w:r>
        <w:rPr>
          <w:rFonts w:ascii="微软雅黑" w:eastAsia="微软雅黑" w:hAnsi="微软雅黑" w:hint="eastAsia"/>
          <w:sz w:val="22"/>
        </w:rPr>
        <w:t>本</w:t>
      </w:r>
      <w:r w:rsidR="00AD0B79" w:rsidRPr="00BA081C">
        <w:rPr>
          <w:rFonts w:ascii="微软雅黑" w:eastAsia="微软雅黑" w:hAnsi="微软雅黑" w:hint="eastAsia"/>
          <w:sz w:val="22"/>
        </w:rPr>
        <w:t>报告并非针对或意图送发给或为任何就送发、发布、可得到或使用</w:t>
      </w:r>
      <w:r>
        <w:rPr>
          <w:rFonts w:ascii="微软雅黑" w:eastAsia="微软雅黑" w:hAnsi="微软雅黑" w:hint="eastAsia"/>
          <w:sz w:val="22"/>
        </w:rPr>
        <w:t>本报告而使本机构违反当地的法律法规或可致使本机构受制于相关法律法规的任何国家、地区</w:t>
      </w:r>
      <w:r w:rsidR="00AD0B79" w:rsidRPr="00BA081C">
        <w:rPr>
          <w:rFonts w:ascii="微软雅黑" w:eastAsia="微软雅黑" w:hAnsi="微软雅黑" w:hint="eastAsia"/>
          <w:sz w:val="22"/>
        </w:rPr>
        <w:t>或其它管辖区域的公民或居民。除非另有规定，本报告中的所有材料版权均属本机构。未经本机构事先书面授权，不得以任何方式修改、发送或者复制本报告及其所包含的材料、内容。</w:t>
      </w:r>
      <w:r>
        <w:rPr>
          <w:rFonts w:ascii="微软雅黑" w:eastAsia="微软雅黑" w:hAnsi="微软雅黑" w:hint="eastAsia"/>
          <w:sz w:val="22"/>
        </w:rPr>
        <w:t>本</w:t>
      </w:r>
      <w:r w:rsidR="00AD0B79" w:rsidRPr="00BA081C">
        <w:rPr>
          <w:rFonts w:ascii="微软雅黑" w:eastAsia="微软雅黑" w:hAnsi="微软雅黑" w:hint="eastAsia"/>
          <w:sz w:val="22"/>
        </w:rPr>
        <w:t>报告中使用的</w:t>
      </w:r>
      <w:r>
        <w:rPr>
          <w:rFonts w:ascii="微软雅黑" w:eastAsia="微软雅黑" w:hAnsi="微软雅黑" w:hint="eastAsia"/>
          <w:sz w:val="22"/>
        </w:rPr>
        <w:t>所有</w:t>
      </w:r>
      <w:r w:rsidR="00AD0B79" w:rsidRPr="00BA081C">
        <w:rPr>
          <w:rFonts w:ascii="微软雅黑" w:eastAsia="微软雅黑" w:hAnsi="微软雅黑" w:hint="eastAsia"/>
          <w:sz w:val="22"/>
        </w:rPr>
        <w:t>商标、服务标识及标记均为本机构的商标、服务标识及标记。如欲引用或转载本</w:t>
      </w:r>
      <w:r>
        <w:rPr>
          <w:rFonts w:ascii="微软雅黑" w:eastAsia="微软雅黑" w:hAnsi="微软雅黑" w:hint="eastAsia"/>
          <w:sz w:val="22"/>
        </w:rPr>
        <w:t>报告</w:t>
      </w:r>
      <w:r w:rsidR="00AD0B79" w:rsidRPr="00BA081C">
        <w:rPr>
          <w:rFonts w:ascii="微软雅黑" w:eastAsia="微软雅黑" w:hAnsi="微软雅黑" w:hint="eastAsia"/>
          <w:sz w:val="22"/>
        </w:rPr>
        <w:t>内容，务必联络复华投资</w:t>
      </w:r>
      <w:r w:rsidR="005C040E">
        <w:rPr>
          <w:rFonts w:ascii="微软雅黑" w:eastAsia="微软雅黑" w:hAnsi="微软雅黑" w:hint="eastAsia"/>
          <w:sz w:val="22"/>
        </w:rPr>
        <w:t>金融</w:t>
      </w:r>
      <w:r w:rsidR="00447CC1">
        <w:rPr>
          <w:rFonts w:ascii="微软雅黑" w:eastAsia="微软雅黑" w:hAnsi="微软雅黑" w:hint="eastAsia"/>
          <w:sz w:val="22"/>
        </w:rPr>
        <w:t>＋</w:t>
      </w:r>
      <w:r w:rsidR="00AD0B79" w:rsidRPr="00BA081C">
        <w:rPr>
          <w:rFonts w:ascii="微软雅黑" w:eastAsia="微软雅黑" w:hAnsi="微软雅黑" w:hint="eastAsia"/>
          <w:sz w:val="22"/>
        </w:rPr>
        <w:t>研究院并获得许可，并需注明出处为复华投资</w:t>
      </w:r>
      <w:r w:rsidR="00447CC1">
        <w:rPr>
          <w:rFonts w:ascii="微软雅黑" w:eastAsia="微软雅黑" w:hAnsi="微软雅黑" w:hint="eastAsia"/>
          <w:sz w:val="22"/>
        </w:rPr>
        <w:t>金融＋</w:t>
      </w:r>
      <w:r>
        <w:rPr>
          <w:rFonts w:ascii="微软雅黑" w:eastAsia="微软雅黑" w:hAnsi="微软雅黑" w:hint="eastAsia"/>
          <w:sz w:val="22"/>
        </w:rPr>
        <w:t>研究院，且不得对本报告</w:t>
      </w:r>
      <w:r w:rsidR="00AD0B79" w:rsidRPr="00BA081C">
        <w:rPr>
          <w:rFonts w:ascii="微软雅黑" w:eastAsia="微软雅黑" w:hAnsi="微软雅黑" w:hint="eastAsia"/>
          <w:sz w:val="22"/>
        </w:rPr>
        <w:t>进行有悖原意的引用和删改。</w:t>
      </w:r>
    </w:p>
    <w:p w14:paraId="21E0FEC4" w14:textId="77777777" w:rsidR="00AD0B79" w:rsidRPr="00BA081C" w:rsidRDefault="00AD0B79" w:rsidP="00CC69E6">
      <w:pPr>
        <w:spacing w:beforeLines="100" w:before="312"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本报告</w:t>
      </w:r>
      <w:r w:rsidR="00DA1514" w:rsidRPr="00BA081C">
        <w:rPr>
          <w:rFonts w:ascii="微软雅黑" w:eastAsia="微软雅黑" w:hAnsi="微软雅黑" w:hint="eastAsia"/>
          <w:sz w:val="22"/>
        </w:rPr>
        <w:t>为</w:t>
      </w:r>
      <w:r w:rsidRPr="00BA081C">
        <w:rPr>
          <w:rFonts w:ascii="微软雅黑" w:eastAsia="微软雅黑" w:hAnsi="微软雅黑" w:hint="eastAsia"/>
          <w:sz w:val="22"/>
        </w:rPr>
        <w:t>机密</w:t>
      </w:r>
      <w:r w:rsidR="00DC7825" w:rsidRPr="00BA081C">
        <w:rPr>
          <w:rFonts w:ascii="微软雅黑" w:eastAsia="微软雅黑" w:hAnsi="微软雅黑" w:hint="eastAsia"/>
          <w:sz w:val="22"/>
        </w:rPr>
        <w:t>材料</w:t>
      </w:r>
      <w:r w:rsidRPr="00BA081C">
        <w:rPr>
          <w:rFonts w:ascii="微软雅黑" w:eastAsia="微软雅黑" w:hAnsi="微软雅黑" w:hint="eastAsia"/>
          <w:sz w:val="22"/>
        </w:rPr>
        <w:t>，只有</w:t>
      </w:r>
      <w:r w:rsidR="00183B9B">
        <w:rPr>
          <w:rFonts w:ascii="微软雅黑" w:eastAsia="微软雅黑" w:hAnsi="微软雅黑" w:hint="eastAsia"/>
          <w:sz w:val="22"/>
        </w:rPr>
        <w:t>本机构定向推送的</w:t>
      </w:r>
      <w:r w:rsidRPr="00BA081C">
        <w:rPr>
          <w:rFonts w:ascii="微软雅黑" w:eastAsia="微软雅黑" w:hAnsi="微软雅黑" w:hint="eastAsia"/>
          <w:sz w:val="22"/>
        </w:rPr>
        <w:t>收件人</w:t>
      </w:r>
      <w:r w:rsidR="00183B9B">
        <w:rPr>
          <w:rFonts w:ascii="微软雅黑" w:eastAsia="微软雅黑" w:hAnsi="微软雅黑" w:hint="eastAsia"/>
          <w:sz w:val="22"/>
        </w:rPr>
        <w:t>（以下简称“收件人”）</w:t>
      </w:r>
      <w:r w:rsidRPr="00BA081C">
        <w:rPr>
          <w:rFonts w:ascii="微软雅黑" w:eastAsia="微软雅黑" w:hAnsi="微软雅黑" w:hint="eastAsia"/>
          <w:sz w:val="22"/>
        </w:rPr>
        <w:t>才能使用。本报告所载的信息、材料或分析工具只作参考之用，不是或不应被视为出售、购买或认购证券、基金或其它金融工具的要约或要约邀请。本机构也不因收件人收到本报告而视其为本机构的客户。本报告所载资料的来源及观点的</w:t>
      </w:r>
      <w:r w:rsidR="00183B9B">
        <w:rPr>
          <w:rFonts w:ascii="微软雅黑" w:eastAsia="微软雅黑" w:hAnsi="微软雅黑" w:hint="eastAsia"/>
          <w:sz w:val="22"/>
        </w:rPr>
        <w:t>出处皆被本机构认为可靠，但本机构不保证其准确性或完整性。除法律法规</w:t>
      </w:r>
      <w:r w:rsidRPr="00BA081C">
        <w:rPr>
          <w:rFonts w:ascii="微软雅黑" w:eastAsia="微软雅黑" w:hAnsi="微软雅黑" w:hint="eastAsia"/>
          <w:sz w:val="22"/>
        </w:rPr>
        <w:t>规定必须承担的责任外，本机构不对因使用</w:t>
      </w:r>
      <w:r w:rsidR="00183B9B">
        <w:rPr>
          <w:rFonts w:ascii="微软雅黑" w:eastAsia="微软雅黑" w:hAnsi="微软雅黑" w:hint="eastAsia"/>
          <w:sz w:val="22"/>
        </w:rPr>
        <w:t>本</w:t>
      </w:r>
      <w:r w:rsidRPr="00BA081C">
        <w:rPr>
          <w:rFonts w:ascii="微软雅黑" w:eastAsia="微软雅黑" w:hAnsi="微软雅黑" w:hint="eastAsia"/>
          <w:sz w:val="22"/>
        </w:rPr>
        <w:t>报告的材料而引致的损失负任何责任。收件人不应单纯依靠</w:t>
      </w:r>
      <w:r w:rsidR="00183B9B">
        <w:rPr>
          <w:rFonts w:ascii="微软雅黑" w:eastAsia="微软雅黑" w:hAnsi="微软雅黑" w:hint="eastAsia"/>
          <w:sz w:val="22"/>
        </w:rPr>
        <w:t>本</w:t>
      </w:r>
      <w:r w:rsidRPr="00BA081C">
        <w:rPr>
          <w:rFonts w:ascii="微软雅黑" w:eastAsia="微软雅黑" w:hAnsi="微软雅黑" w:hint="eastAsia"/>
          <w:sz w:val="22"/>
        </w:rPr>
        <w:t>报告而取代个人的独立判断。本报告所载的资料、意见及推测反映本机构于最初发布</w:t>
      </w:r>
      <w:r w:rsidR="00183B9B">
        <w:rPr>
          <w:rFonts w:ascii="微软雅黑" w:eastAsia="微软雅黑" w:hAnsi="微软雅黑" w:hint="eastAsia"/>
          <w:sz w:val="22"/>
        </w:rPr>
        <w:t>本</w:t>
      </w:r>
      <w:r w:rsidRPr="00BA081C">
        <w:rPr>
          <w:rFonts w:ascii="微软雅黑" w:eastAsia="微软雅黑" w:hAnsi="微软雅黑" w:hint="eastAsia"/>
          <w:sz w:val="22"/>
        </w:rPr>
        <w:t>报告日期当日的判断，可在不发出通知的情形下做出更改，亦可因使用不同假设和标准、采用不同观点和分析方法而与本机构其它业务部门或单位所给出的意见不同或者相反。</w:t>
      </w:r>
    </w:p>
    <w:p w14:paraId="70D58B08" w14:textId="77777777" w:rsidR="000837A7" w:rsidRPr="00BA081C" w:rsidRDefault="00AD0B79" w:rsidP="00CC69E6">
      <w:pPr>
        <w:spacing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本报告不构成私人咨询建议，也没有考虑到个别客户特殊的投资目标、财务状况或需要。收件人应考虑本报告中的任何意见或建议是否符合其特定状况。</w:t>
      </w:r>
      <w:r w:rsidRPr="00183B9B">
        <w:rPr>
          <w:rFonts w:ascii="微软雅黑" w:eastAsia="微软雅黑" w:hAnsi="微软雅黑" w:hint="eastAsia"/>
          <w:b/>
          <w:sz w:val="22"/>
        </w:rPr>
        <w:t>本报告不构成本机构向发送本报告金融机构之客户提供的投资建议</w:t>
      </w:r>
      <w:r w:rsidRPr="00BA081C">
        <w:rPr>
          <w:rFonts w:ascii="微软雅黑" w:eastAsia="微软雅黑" w:hAnsi="微软雅黑" w:hint="eastAsia"/>
          <w:sz w:val="22"/>
        </w:rPr>
        <w:t>，本机构的董事、高级职员和员工亦不为客户因使用本报告或报告载明的内容引起的直接或</w:t>
      </w:r>
      <w:r w:rsidR="00183B9B">
        <w:rPr>
          <w:rFonts w:ascii="微软雅黑" w:eastAsia="微软雅黑" w:hAnsi="微软雅黑" w:hint="eastAsia"/>
          <w:sz w:val="22"/>
        </w:rPr>
        <w:t>间接</w:t>
      </w:r>
      <w:r w:rsidRPr="00BA081C">
        <w:rPr>
          <w:rFonts w:ascii="微软雅黑" w:eastAsia="微软雅黑" w:hAnsi="微软雅黑" w:hint="eastAsia"/>
          <w:sz w:val="22"/>
        </w:rPr>
        <w:t>损失承担任何责任。</w:t>
      </w:r>
    </w:p>
    <w:p w14:paraId="4B43B867" w14:textId="77777777" w:rsidR="009E3B68" w:rsidRPr="00BA081C" w:rsidRDefault="009E3B68" w:rsidP="00600543">
      <w:pPr>
        <w:spacing w:beforeLines="100" w:before="312" w:line="400" w:lineRule="exact"/>
        <w:ind w:leftChars="800" w:left="1680" w:firstLineChars="200" w:firstLine="440"/>
        <w:rPr>
          <w:rFonts w:ascii="微软雅黑" w:eastAsia="微软雅黑" w:hAnsi="微软雅黑"/>
          <w:color w:val="000080"/>
          <w:sz w:val="22"/>
        </w:rPr>
      </w:pPr>
    </w:p>
    <w:p w14:paraId="0006230F" w14:textId="77777777" w:rsidR="00DF2ED4" w:rsidRPr="00074705" w:rsidRDefault="000837A7" w:rsidP="00CC69E6">
      <w:pPr>
        <w:spacing w:line="400" w:lineRule="exact"/>
        <w:rPr>
          <w:rFonts w:ascii="微软雅黑" w:eastAsia="微软雅黑" w:hAnsi="微软雅黑"/>
          <w:color w:val="000080"/>
          <w:sz w:val="32"/>
          <w:szCs w:val="32"/>
        </w:rPr>
      </w:pPr>
      <w:r w:rsidRPr="00074705">
        <w:rPr>
          <w:rFonts w:ascii="微软雅黑" w:eastAsia="微软雅黑" w:hAnsi="微软雅黑" w:hint="eastAsia"/>
          <w:color w:val="000080"/>
          <w:sz w:val="32"/>
          <w:szCs w:val="32"/>
        </w:rPr>
        <w:t>复华FOF</w:t>
      </w:r>
      <w:r w:rsidR="00447CC1" w:rsidRPr="00074705">
        <w:rPr>
          <w:rFonts w:ascii="微软雅黑" w:eastAsia="微软雅黑" w:hAnsi="微软雅黑" w:hint="eastAsia"/>
          <w:color w:val="000080"/>
          <w:sz w:val="32"/>
          <w:szCs w:val="32"/>
        </w:rPr>
        <w:t>投</w:t>
      </w:r>
      <w:proofErr w:type="gramStart"/>
      <w:r w:rsidR="00447CC1" w:rsidRPr="00074705">
        <w:rPr>
          <w:rFonts w:ascii="微软雅黑" w:eastAsia="微软雅黑" w:hAnsi="微软雅黑" w:hint="eastAsia"/>
          <w:color w:val="000080"/>
          <w:sz w:val="32"/>
          <w:szCs w:val="32"/>
        </w:rPr>
        <w:t>研</w:t>
      </w:r>
      <w:proofErr w:type="gramEnd"/>
      <w:r w:rsidRPr="00074705">
        <w:rPr>
          <w:rFonts w:ascii="微软雅黑" w:eastAsia="微软雅黑" w:hAnsi="微软雅黑" w:hint="eastAsia"/>
          <w:color w:val="000080"/>
          <w:sz w:val="32"/>
          <w:szCs w:val="32"/>
        </w:rPr>
        <w:t>团队</w:t>
      </w:r>
    </w:p>
    <w:p w14:paraId="067BAF8C" w14:textId="77777777" w:rsidR="000837A7" w:rsidRPr="00BA081C" w:rsidRDefault="000837A7" w:rsidP="00CC69E6">
      <w:pPr>
        <w:spacing w:beforeLines="100" w:before="312"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复华</w:t>
      </w:r>
      <w:r w:rsidRPr="00BA081C">
        <w:rPr>
          <w:rFonts w:ascii="微软雅黑" w:eastAsia="微软雅黑" w:hAnsi="微软雅黑"/>
          <w:sz w:val="22"/>
        </w:rPr>
        <w:t>FOF投</w:t>
      </w:r>
      <w:proofErr w:type="gramStart"/>
      <w:r w:rsidRPr="00BA081C">
        <w:rPr>
          <w:rFonts w:ascii="微软雅黑" w:eastAsia="微软雅黑" w:hAnsi="微软雅黑"/>
          <w:sz w:val="22"/>
        </w:rPr>
        <w:t>研</w:t>
      </w:r>
      <w:proofErr w:type="gramEnd"/>
      <w:r w:rsidRPr="00BA081C">
        <w:rPr>
          <w:rFonts w:ascii="微软雅黑" w:eastAsia="微软雅黑" w:hAnsi="微软雅黑"/>
          <w:sz w:val="22"/>
        </w:rPr>
        <w:t>团队由各投资领域的金融研究专家组成，成员均是来自于知名基金公司、证券公司、期货公司及投资机构的行业翘楚，集多家之所长，在股票、定增、债券、期货、期权等方面拥有多年的投研经验，对多种投资策略有着深入的研究和独到的见解。</w:t>
      </w:r>
    </w:p>
    <w:p w14:paraId="520A5112" w14:textId="77777777" w:rsidR="00A04BB9" w:rsidRPr="00BA081C" w:rsidRDefault="006714C4" w:rsidP="00CC69E6">
      <w:pPr>
        <w:spacing w:beforeLines="100" w:before="312" w:line="400" w:lineRule="exact"/>
        <w:ind w:firstLineChars="300" w:firstLine="660"/>
        <w:rPr>
          <w:rFonts w:ascii="微软雅黑" w:eastAsia="微软雅黑" w:hAnsi="微软雅黑"/>
          <w:sz w:val="22"/>
        </w:rPr>
      </w:pPr>
      <w:r w:rsidRPr="00BA081C">
        <w:rPr>
          <w:rFonts w:ascii="微软雅黑" w:eastAsia="微软雅黑" w:hAnsi="微软雅黑" w:hint="eastAsia"/>
          <w:sz w:val="22"/>
        </w:rPr>
        <w:t>复华</w:t>
      </w:r>
      <w:r w:rsidRPr="00BA081C">
        <w:rPr>
          <w:rFonts w:ascii="微软雅黑" w:eastAsia="微软雅黑" w:hAnsi="微软雅黑"/>
          <w:sz w:val="22"/>
        </w:rPr>
        <w:t>FOF</w:t>
      </w:r>
      <w:r w:rsidR="00447CC1" w:rsidRPr="00BA081C">
        <w:rPr>
          <w:rFonts w:ascii="微软雅黑" w:eastAsia="微软雅黑" w:hAnsi="微软雅黑"/>
          <w:sz w:val="22"/>
        </w:rPr>
        <w:t>投</w:t>
      </w:r>
      <w:proofErr w:type="gramStart"/>
      <w:r w:rsidR="00447CC1" w:rsidRPr="00BA081C">
        <w:rPr>
          <w:rFonts w:ascii="微软雅黑" w:eastAsia="微软雅黑" w:hAnsi="微软雅黑"/>
          <w:sz w:val="22"/>
        </w:rPr>
        <w:t>研</w:t>
      </w:r>
      <w:proofErr w:type="gramEnd"/>
      <w:r w:rsidRPr="00BA081C">
        <w:rPr>
          <w:rFonts w:ascii="微软雅黑" w:eastAsia="微软雅黑" w:hAnsi="微软雅黑"/>
          <w:sz w:val="22"/>
        </w:rPr>
        <w:t>团队</w:t>
      </w:r>
      <w:r w:rsidR="00CC7737" w:rsidRPr="00BA081C">
        <w:rPr>
          <w:rFonts w:ascii="微软雅黑" w:eastAsia="微软雅黑" w:hAnsi="微软雅黑" w:hint="eastAsia"/>
          <w:sz w:val="22"/>
        </w:rPr>
        <w:t>以前瞻性的视角对宏观经济和金融市场进行全面深入研究，</w:t>
      </w:r>
      <w:r w:rsidRPr="00BA081C">
        <w:rPr>
          <w:rFonts w:ascii="微软雅黑" w:eastAsia="微软雅黑" w:hAnsi="微软雅黑" w:hint="eastAsia"/>
          <w:sz w:val="22"/>
        </w:rPr>
        <w:t>从大类</w:t>
      </w:r>
      <w:r w:rsidR="00CC7737" w:rsidRPr="00BA081C">
        <w:rPr>
          <w:rFonts w:ascii="微软雅黑" w:eastAsia="微软雅黑" w:hAnsi="微软雅黑" w:hint="eastAsia"/>
          <w:sz w:val="22"/>
        </w:rPr>
        <w:t>资产配置的视角来确立大类资产和策略配置方向，在深入研究市场的基础上，依据其科学的资产配置和组合体系，确定各类资产在投资组合中的比例，从而最优化投资组合，获取配置收益。</w:t>
      </w:r>
    </w:p>
    <w:p w14:paraId="70D50469" w14:textId="77777777" w:rsidR="00CC7737" w:rsidRDefault="00DC6D27" w:rsidP="00CC69E6">
      <w:pPr>
        <w:spacing w:beforeLines="100" w:before="312" w:line="400" w:lineRule="exact"/>
        <w:ind w:firstLineChars="200" w:firstLine="440"/>
        <w:rPr>
          <w:rFonts w:ascii="微软雅黑" w:eastAsia="微软雅黑" w:hAnsi="微软雅黑"/>
          <w:sz w:val="22"/>
        </w:rPr>
      </w:pPr>
      <w:r w:rsidRPr="00BA081C">
        <w:rPr>
          <w:rFonts w:ascii="微软雅黑" w:eastAsia="微软雅黑" w:hAnsi="微软雅黑" w:hint="eastAsia"/>
          <w:sz w:val="22"/>
        </w:rPr>
        <w:t>复华FOF</w:t>
      </w:r>
      <w:r w:rsidR="00447CC1" w:rsidRPr="00BA081C">
        <w:rPr>
          <w:rFonts w:ascii="微软雅黑" w:eastAsia="微软雅黑" w:hAnsi="微软雅黑"/>
          <w:sz w:val="22"/>
        </w:rPr>
        <w:t>投</w:t>
      </w:r>
      <w:proofErr w:type="gramStart"/>
      <w:r w:rsidR="00447CC1" w:rsidRPr="00BA081C">
        <w:rPr>
          <w:rFonts w:ascii="微软雅黑" w:eastAsia="微软雅黑" w:hAnsi="微软雅黑"/>
          <w:sz w:val="22"/>
        </w:rPr>
        <w:t>研</w:t>
      </w:r>
      <w:proofErr w:type="gramEnd"/>
      <w:r w:rsidRPr="00BA081C">
        <w:rPr>
          <w:rFonts w:ascii="微软雅黑" w:eastAsia="微软雅黑" w:hAnsi="微软雅黑" w:hint="eastAsia"/>
          <w:sz w:val="22"/>
        </w:rPr>
        <w:t>团队</w:t>
      </w:r>
      <w:r w:rsidR="00CC7737" w:rsidRPr="00BA081C">
        <w:rPr>
          <w:rFonts w:ascii="微软雅黑" w:eastAsia="微软雅黑" w:hAnsi="微软雅黑" w:hint="eastAsia"/>
          <w:sz w:val="22"/>
        </w:rPr>
        <w:t>利用自主研发的FOF</w:t>
      </w:r>
      <w:r w:rsidR="003A6ED0">
        <w:rPr>
          <w:rFonts w:ascii="微软雅黑" w:eastAsia="微软雅黑" w:hAnsi="微软雅黑" w:hint="eastAsia"/>
          <w:sz w:val="22"/>
        </w:rPr>
        <w:t>管理系统，</w:t>
      </w:r>
      <w:r w:rsidR="00CC7737" w:rsidRPr="00BA081C">
        <w:rPr>
          <w:rFonts w:ascii="微软雅黑" w:eastAsia="微软雅黑" w:hAnsi="微软雅黑" w:hint="eastAsia"/>
          <w:sz w:val="22"/>
        </w:rPr>
        <w:t>优化资产配置，对FOF</w:t>
      </w:r>
      <w:proofErr w:type="gramStart"/>
      <w:r w:rsidR="00CC7737" w:rsidRPr="00BA081C">
        <w:rPr>
          <w:rFonts w:ascii="微软雅黑" w:eastAsia="微软雅黑" w:hAnsi="微软雅黑" w:hint="eastAsia"/>
          <w:sz w:val="22"/>
        </w:rPr>
        <w:t>子基</w:t>
      </w:r>
      <w:proofErr w:type="gramEnd"/>
      <w:r w:rsidR="00CC7737" w:rsidRPr="00BA081C">
        <w:rPr>
          <w:rFonts w:ascii="微软雅黑" w:eastAsia="微软雅黑" w:hAnsi="微软雅黑" w:hint="eastAsia"/>
          <w:sz w:val="22"/>
        </w:rPr>
        <w:t>金进行精细化管理。复华</w:t>
      </w:r>
      <w:r w:rsidR="00CC7737" w:rsidRPr="00BA081C">
        <w:rPr>
          <w:rFonts w:ascii="微软雅黑" w:eastAsia="微软雅黑" w:hAnsi="微软雅黑"/>
          <w:sz w:val="22"/>
        </w:rPr>
        <w:t>FOF</w:t>
      </w:r>
      <w:r w:rsidR="00CC7737" w:rsidRPr="00BA081C">
        <w:rPr>
          <w:rFonts w:ascii="微软雅黑" w:eastAsia="微软雅黑" w:hAnsi="微软雅黑" w:hint="eastAsia"/>
          <w:sz w:val="22"/>
        </w:rPr>
        <w:t>团队格外重视风险管理，依托动态风险监控体系，利用多重风险评估和管理手段，有效控制产品风险敞口，在风险可控前提下追求</w:t>
      </w:r>
      <w:r w:rsidR="00ED11EB" w:rsidRPr="00BA081C">
        <w:rPr>
          <w:rFonts w:ascii="微软雅黑" w:eastAsia="微软雅黑" w:hAnsi="微软雅黑" w:hint="eastAsia"/>
          <w:sz w:val="22"/>
        </w:rPr>
        <w:t>超额</w:t>
      </w:r>
      <w:r w:rsidR="00CC7737" w:rsidRPr="00BA081C">
        <w:rPr>
          <w:rFonts w:ascii="微软雅黑" w:eastAsia="微软雅黑" w:hAnsi="微软雅黑" w:hint="eastAsia"/>
          <w:sz w:val="22"/>
        </w:rPr>
        <w:t>收益。</w:t>
      </w:r>
    </w:p>
    <w:p w14:paraId="0B87A778" w14:textId="49E58F90" w:rsidR="00BA081C" w:rsidRPr="00074705" w:rsidRDefault="00BA081C" w:rsidP="00CC69E6">
      <w:pPr>
        <w:spacing w:beforeLines="100" w:before="312" w:line="400" w:lineRule="exact"/>
        <w:rPr>
          <w:rFonts w:ascii="微软雅黑" w:eastAsia="微软雅黑" w:hAnsi="微软雅黑"/>
          <w:color w:val="000080"/>
          <w:sz w:val="32"/>
          <w:szCs w:val="32"/>
        </w:rPr>
      </w:pPr>
      <w:r w:rsidRPr="00074705">
        <w:rPr>
          <w:rFonts w:ascii="微软雅黑" w:eastAsia="微软雅黑" w:hAnsi="微软雅黑" w:hint="eastAsia"/>
          <w:color w:val="000080"/>
          <w:sz w:val="32"/>
          <w:szCs w:val="32"/>
        </w:rPr>
        <w:t>复华投资简介</w:t>
      </w:r>
    </w:p>
    <w:p w14:paraId="6E3069E0" w14:textId="77777777" w:rsidR="00072F20" w:rsidRPr="00072F20" w:rsidRDefault="00072F20" w:rsidP="00CC69E6">
      <w:pPr>
        <w:spacing w:beforeLines="50" w:before="156" w:line="400" w:lineRule="exact"/>
        <w:ind w:firstLineChars="300" w:firstLine="660"/>
        <w:rPr>
          <w:rFonts w:ascii="微软雅黑" w:eastAsia="微软雅黑" w:hAnsi="微软雅黑"/>
          <w:sz w:val="22"/>
        </w:rPr>
      </w:pPr>
      <w:r w:rsidRPr="00072F20">
        <w:rPr>
          <w:rFonts w:ascii="微软雅黑" w:eastAsia="微软雅黑" w:hAnsi="微软雅黑" w:hint="eastAsia"/>
          <w:sz w:val="22"/>
        </w:rPr>
        <w:t>复华投资致力于在</w:t>
      </w:r>
      <w:proofErr w:type="gramStart"/>
      <w:r w:rsidRPr="00072F20">
        <w:rPr>
          <w:rFonts w:ascii="微软雅黑" w:eastAsia="微软雅黑" w:hAnsi="微软雅黑" w:hint="eastAsia"/>
          <w:sz w:val="22"/>
        </w:rPr>
        <w:t>大资管领域</w:t>
      </w:r>
      <w:proofErr w:type="gramEnd"/>
      <w:r w:rsidRPr="00072F20">
        <w:rPr>
          <w:rFonts w:ascii="微软雅黑" w:eastAsia="微软雅黑" w:hAnsi="微软雅黑" w:hint="eastAsia"/>
          <w:sz w:val="22"/>
        </w:rPr>
        <w:t>提供业内领先的多元化金融服务解决方案。我们拥有深谙资本市场的国际化投行团队，在</w:t>
      </w:r>
      <w:proofErr w:type="gramStart"/>
      <w:r w:rsidRPr="00072F20">
        <w:rPr>
          <w:rFonts w:ascii="微软雅黑" w:eastAsia="微软雅黑" w:hAnsi="微软雅黑" w:hint="eastAsia"/>
          <w:sz w:val="22"/>
        </w:rPr>
        <w:t>践行</w:t>
      </w:r>
      <w:proofErr w:type="gramEnd"/>
      <w:r w:rsidRPr="00072F20">
        <w:rPr>
          <w:rFonts w:ascii="微软雅黑" w:eastAsia="微软雅黑" w:hAnsi="微软雅黑" w:hint="eastAsia"/>
          <w:sz w:val="22"/>
        </w:rPr>
        <w:t>创新资本运作、基金管理、股权投资及跨界投行业务等方面，成绩斐然。复华投资将继续以前瞻性的视角整合全球金融资源，促进产融结合，推动平台经济发展，秉承诚信、严谨、科学、创新的精神，逐鹿全球资本市场，打造具有全球竞争力的投资公司！</w:t>
      </w:r>
    </w:p>
    <w:p w14:paraId="525ABAEC" w14:textId="77777777" w:rsidR="00564A67" w:rsidRDefault="00564A67" w:rsidP="00600543">
      <w:pPr>
        <w:spacing w:beforeLines="100" w:before="312" w:line="400" w:lineRule="exact"/>
        <w:ind w:leftChars="800" w:left="1680" w:firstLineChars="200" w:firstLine="440"/>
        <w:rPr>
          <w:rFonts w:ascii="微软雅黑" w:eastAsia="微软雅黑" w:hAnsi="微软雅黑"/>
          <w:noProof/>
          <w:sz w:val="22"/>
        </w:rPr>
      </w:pPr>
    </w:p>
    <w:p w14:paraId="7DC1D602" w14:textId="77777777" w:rsidR="00564A67" w:rsidRDefault="00564A67" w:rsidP="00600543">
      <w:pPr>
        <w:spacing w:beforeLines="100" w:before="312" w:line="400" w:lineRule="exact"/>
        <w:ind w:leftChars="800" w:left="1680" w:firstLineChars="200" w:firstLine="440"/>
        <w:rPr>
          <w:rFonts w:ascii="微软雅黑" w:eastAsia="微软雅黑" w:hAnsi="微软雅黑"/>
          <w:noProof/>
          <w:sz w:val="22"/>
        </w:rPr>
      </w:pPr>
    </w:p>
    <w:p w14:paraId="103C089C" w14:textId="77777777" w:rsidR="00340540" w:rsidRPr="00BA081C" w:rsidRDefault="00564A67" w:rsidP="0070304F">
      <w:pPr>
        <w:spacing w:beforeLines="100" w:before="312" w:line="400" w:lineRule="exact"/>
        <w:ind w:leftChars="800" w:left="1680" w:firstLineChars="200" w:firstLine="440"/>
        <w:rPr>
          <w:rFonts w:ascii="微软雅黑" w:eastAsia="微软雅黑" w:hAnsi="微软雅黑"/>
          <w:sz w:val="22"/>
        </w:rPr>
      </w:pPr>
      <w:r>
        <w:rPr>
          <w:rFonts w:ascii="微软雅黑" w:eastAsia="微软雅黑" w:hAnsi="微软雅黑"/>
          <w:noProof/>
          <w:sz w:val="22"/>
        </w:rPr>
        <w:lastRenderedPageBreak/>
        <w:drawing>
          <wp:anchor distT="0" distB="0" distL="114300" distR="114300" simplePos="0" relativeHeight="251701248" behindDoc="0" locked="0" layoutInCell="1" allowOverlap="1" wp14:anchorId="58E4F2FA" wp14:editId="624A41DA">
            <wp:simplePos x="0" y="0"/>
            <wp:positionH relativeFrom="column">
              <wp:posOffset>-1000125</wp:posOffset>
            </wp:positionH>
            <wp:positionV relativeFrom="paragraph">
              <wp:posOffset>-914400</wp:posOffset>
            </wp:positionV>
            <wp:extent cx="7883525" cy="10758170"/>
            <wp:effectExtent l="0" t="0" r="0" b="11430"/>
            <wp:wrapSquare wrapText="bothSides"/>
            <wp:docPr id="1" name="图片 1" descr="Macintosh HD:Users:imac:Desktop:季刊: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mac:Desktop:季刊:封底.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3525" cy="10758170"/>
                    </a:xfrm>
                    <a:prstGeom prst="rect">
                      <a:avLst/>
                    </a:prstGeom>
                    <a:noFill/>
                    <a:ln>
                      <a:noFill/>
                    </a:ln>
                  </pic:spPr>
                </pic:pic>
              </a:graphicData>
            </a:graphic>
          </wp:anchor>
        </w:drawing>
      </w:r>
    </w:p>
    <w:sectPr w:rsidR="00340540" w:rsidRPr="00BA081C" w:rsidSect="008867FE">
      <w:headerReference w:type="default" r:id="rId16"/>
      <w:footerReference w:type="default" r:id="rId17"/>
      <w:footerReference w:type="first" r:id="rId18"/>
      <w:pgSz w:w="11906" w:h="16838"/>
      <w:pgMar w:top="1440" w:right="1418" w:bottom="1440" w:left="1418"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D970B" w14:textId="77777777" w:rsidR="00640E35" w:rsidRDefault="00640E35" w:rsidP="00616240">
      <w:r>
        <w:separator/>
      </w:r>
    </w:p>
  </w:endnote>
  <w:endnote w:type="continuationSeparator" w:id="0">
    <w:p w14:paraId="129681C2" w14:textId="77777777" w:rsidR="00640E35" w:rsidRDefault="00640E35" w:rsidP="0061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PMingLiU">
    <w:altName w:val="PMingLiU"/>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C73D" w14:textId="62DE9A11" w:rsidR="00FE6B26" w:rsidRPr="008867FE" w:rsidRDefault="00CC69E6">
    <w:pPr>
      <w:pStyle w:val="Footer"/>
      <w:rPr>
        <w:rFonts w:ascii="微软雅黑" w:eastAsia="微软雅黑" w:hAnsi="微软雅黑"/>
        <w:sz w:val="20"/>
        <w:szCs w:val="20"/>
      </w:rPr>
    </w:pPr>
    <w:r>
      <w:rPr>
        <w:rFonts w:ascii="微软雅黑" w:eastAsia="微软雅黑" w:hAnsi="微软雅黑"/>
        <w:noProof/>
        <w:sz w:val="22"/>
      </w:rPr>
      <mc:AlternateContent>
        <mc:Choice Requires="wps">
          <w:drawing>
            <wp:anchor distT="0" distB="0" distL="114300" distR="114300" simplePos="0" relativeHeight="251661312" behindDoc="0" locked="0" layoutInCell="1" allowOverlap="1" wp14:anchorId="1A251D6A" wp14:editId="39829D70">
              <wp:simplePos x="0" y="0"/>
              <wp:positionH relativeFrom="column">
                <wp:posOffset>-266700</wp:posOffset>
              </wp:positionH>
              <wp:positionV relativeFrom="paragraph">
                <wp:posOffset>-36195</wp:posOffset>
              </wp:positionV>
              <wp:extent cx="6286500" cy="35560"/>
              <wp:effectExtent l="0" t="0" r="0" b="0"/>
              <wp:wrapNone/>
              <wp:docPr id="2"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0" cy="35560"/>
                      </a:xfrm>
                      <a:prstGeom prst="rect">
                        <a:avLst/>
                      </a:prstGeom>
                      <a:solidFill>
                        <a:srgbClr val="7F7F7F"/>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EF8B" id="矩形 9" o:spid="_x0000_s1026" style="position:absolute;left:0;text-align:left;margin-left:-21pt;margin-top:-2.85pt;width:495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" fillcolor="#7f7f7f" stroked="f" strokeweight=".5pt"/>
          </w:pict>
        </mc:Fallback>
      </mc:AlternateContent>
    </w:r>
    <w:r w:rsidR="00FE6B26" w:rsidRPr="008867FE">
      <w:rPr>
        <w:rFonts w:ascii="微软雅黑" w:eastAsia="微软雅黑" w:hAnsi="微软雅黑" w:hint="eastAsia"/>
      </w:rPr>
      <w:t xml:space="preserve">凝聚全球资源  创新跨界投行               </w:t>
    </w:r>
    <w:r w:rsidR="00177B3E">
      <w:rPr>
        <w:rFonts w:ascii="微软雅黑" w:eastAsia="微软雅黑" w:hAnsi="微软雅黑" w:hint="eastAsia"/>
      </w:rPr>
      <w:t xml:space="preserve">                                                      </w:t>
    </w:r>
    <w:r w:rsidR="00FE6B26" w:rsidRPr="008867FE">
      <w:rPr>
        <w:rFonts w:ascii="微软雅黑" w:eastAsia="微软雅黑" w:hAnsi="微软雅黑" w:hint="eastAsia"/>
      </w:rPr>
      <w:t xml:space="preserve">  </w:t>
    </w:r>
    <w:r w:rsidR="00FE6B26">
      <w:rPr>
        <w:rStyle w:val="PageNumber"/>
      </w:rPr>
      <w:fldChar w:fldCharType="begin"/>
    </w:r>
    <w:r w:rsidR="00FE6B26">
      <w:rPr>
        <w:rStyle w:val="PageNumber"/>
      </w:rPr>
      <w:instrText xml:space="preserve"> PAGE </w:instrText>
    </w:r>
    <w:r w:rsidR="00FE6B26">
      <w:rPr>
        <w:rStyle w:val="PageNumber"/>
      </w:rPr>
      <w:fldChar w:fldCharType="separate"/>
    </w:r>
    <w:r w:rsidR="00174011">
      <w:rPr>
        <w:rStyle w:val="PageNumber"/>
        <w:noProof/>
      </w:rPr>
      <w:t>7</w:t>
    </w:r>
    <w:r w:rsidR="00FE6B26">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1B79" w14:textId="72E1B9AE" w:rsidR="00FE6B26" w:rsidRDefault="00FE6B26" w:rsidP="008867F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4011">
      <w:rPr>
        <w:rStyle w:val="PageNumber"/>
        <w:noProof/>
      </w:rPr>
      <w:t>0</w:t>
    </w:r>
    <w:r>
      <w:rPr>
        <w:rStyle w:val="PageNumber"/>
      </w:rPr>
      <w:fldChar w:fldCharType="end"/>
    </w:r>
  </w:p>
  <w:p w14:paraId="1237D00B" w14:textId="77777777" w:rsidR="00FE6B26" w:rsidRDefault="00FE6B26" w:rsidP="008867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D5FC9" w14:textId="77777777" w:rsidR="00640E35" w:rsidRDefault="00640E35" w:rsidP="00616240">
      <w:r>
        <w:separator/>
      </w:r>
    </w:p>
  </w:footnote>
  <w:footnote w:type="continuationSeparator" w:id="0">
    <w:p w14:paraId="2286171E" w14:textId="77777777" w:rsidR="00640E35" w:rsidRDefault="00640E35" w:rsidP="006162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0FED5" w14:textId="6326FFEF" w:rsidR="00FE6B26" w:rsidRPr="00980A91" w:rsidRDefault="00CC69E6" w:rsidP="00A62CEB">
    <w:pPr>
      <w:rPr>
        <w:rFonts w:ascii="微软雅黑" w:eastAsia="微软雅黑" w:hAnsi="微软雅黑"/>
        <w:sz w:val="22"/>
      </w:rPr>
    </w:pPr>
    <w:r>
      <w:rPr>
        <w:rFonts w:ascii="微软雅黑" w:eastAsia="微软雅黑" w:hAnsi="微软雅黑"/>
        <w:noProof/>
        <w:sz w:val="22"/>
      </w:rPr>
      <mc:AlternateContent>
        <mc:Choice Requires="wps">
          <w:drawing>
            <wp:anchor distT="0" distB="0" distL="114300" distR="114300" simplePos="0" relativeHeight="251659264" behindDoc="0" locked="0" layoutInCell="1" allowOverlap="1" wp14:anchorId="64B57FC7" wp14:editId="431DA3F0">
              <wp:simplePos x="0" y="0"/>
              <wp:positionH relativeFrom="column">
                <wp:posOffset>-228600</wp:posOffset>
              </wp:positionH>
              <wp:positionV relativeFrom="paragraph">
                <wp:posOffset>274955</wp:posOffset>
              </wp:positionV>
              <wp:extent cx="6286500" cy="99060"/>
              <wp:effectExtent l="0" t="0" r="0"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0" cy="99060"/>
                      </a:xfrm>
                      <a:prstGeom prst="rect">
                        <a:avLst/>
                      </a:prstGeom>
                      <a:gradFill flip="none" rotWithShape="1">
                        <a:gsLst>
                          <a:gs pos="0">
                            <a:srgbClr val="182B87"/>
                          </a:gs>
                          <a:gs pos="51000">
                            <a:srgbClr val="1F41C0"/>
                          </a:gs>
                          <a:gs pos="100000">
                            <a:srgbClr val="182B87"/>
                          </a:gs>
                        </a:gsLst>
                        <a:lin ang="0" scaled="1"/>
                        <a:tileRect/>
                      </a:gra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804E9" id="矩形 19" o:spid="_x0000_s1026" style="position:absolute;left:0;text-align:left;margin-left:-18pt;margin-top:21.65pt;width:495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" fillcolor="#182b87" stroked="f" strokeweight=".5pt">
              <v:fill color2="#1f41c0" rotate="t" angle="90" focus="51%" type="gradient"/>
            </v:rect>
          </w:pict>
        </mc:Fallback>
      </mc:AlternateContent>
    </w:r>
    <w:r w:rsidR="00FE6B26" w:rsidRPr="00980A91">
      <w:rPr>
        <w:rFonts w:ascii="微软雅黑" w:eastAsia="微软雅黑" w:hAnsi="微软雅黑" w:hint="eastAsia"/>
        <w:noProof/>
        <w:sz w:val="22"/>
      </w:rPr>
      <w:drawing>
        <wp:anchor distT="0" distB="0" distL="114300" distR="114300" simplePos="0" relativeHeight="251658240" behindDoc="0" locked="0" layoutInCell="1" allowOverlap="1" wp14:anchorId="21F3EE14" wp14:editId="2601479D">
          <wp:simplePos x="0" y="0"/>
          <wp:positionH relativeFrom="column">
            <wp:posOffset>4457700</wp:posOffset>
          </wp:positionH>
          <wp:positionV relativeFrom="paragraph">
            <wp:posOffset>-22225</wp:posOffset>
          </wp:positionV>
          <wp:extent cx="1435735" cy="238125"/>
          <wp:effectExtent l="0" t="0" r="12065" b="0"/>
          <wp:wrapNone/>
          <wp:docPr id="21" name="图片 21" descr="Macintosh HD:Users:imac:Desktop:文件:复华投资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cintosh HD:Users:imac:Desktop:文件:复华投资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35735" cy="238125"/>
                  </a:xfrm>
                  <a:prstGeom prst="rect">
                    <a:avLst/>
                  </a:prstGeom>
                  <a:noFill/>
                  <a:ln>
                    <a:noFill/>
                  </a:ln>
                </pic:spPr>
              </pic:pic>
            </a:graphicData>
          </a:graphic>
        </wp:anchor>
      </w:drawing>
    </w:r>
    <w:r w:rsidR="00FE6B26" w:rsidRPr="00980A91">
      <w:rPr>
        <w:rFonts w:ascii="微软雅黑" w:eastAsia="微软雅黑" w:hAnsi="微软雅黑" w:hint="eastAsia"/>
        <w:color w:val="2F5496" w:themeColor="accent1" w:themeShade="BF"/>
        <w:sz w:val="22"/>
      </w:rPr>
      <w:t>复华投资私募基金运行季刊（</w:t>
    </w:r>
    <w:r w:rsidR="00FE6B26">
      <w:rPr>
        <w:rFonts w:ascii="微软雅黑" w:eastAsia="微软雅黑" w:hAnsi="微软雅黑" w:hint="eastAsia"/>
        <w:color w:val="2F5496" w:themeColor="accent1" w:themeShade="BF"/>
        <w:sz w:val="22"/>
      </w:rPr>
      <w:t>二季度</w:t>
    </w:r>
    <w:r w:rsidR="00FE6B26" w:rsidRPr="00980A91">
      <w:rPr>
        <w:rFonts w:ascii="微软雅黑" w:eastAsia="微软雅黑" w:hAnsi="微软雅黑" w:hint="eastAsia"/>
        <w:color w:val="2F5496" w:themeColor="accent1" w:themeShade="BF"/>
        <w:sz w:val="22"/>
      </w:rPr>
      <w:t>）</w:t>
    </w:r>
    <w:r w:rsidR="00FE6B26" w:rsidRPr="00980A91">
      <w:rPr>
        <w:rFonts w:ascii="微软雅黑" w:eastAsia="微软雅黑" w:hAnsi="微软雅黑"/>
        <w:color w:val="2F5496" w:themeColor="accent1" w:themeShade="BF"/>
        <w:sz w:val="22"/>
      </w:rPr>
      <w:tab/>
    </w:r>
    <w:r w:rsidR="00FE6B26" w:rsidRPr="00980A91">
      <w:rPr>
        <w:rFonts w:ascii="微软雅黑" w:eastAsia="微软雅黑" w:hAnsi="微软雅黑"/>
        <w:color w:val="2F5496" w:themeColor="accent1" w:themeShade="BF"/>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B7100"/>
    <w:multiLevelType w:val="singleLevel"/>
    <w:tmpl w:val="58DB7100"/>
    <w:lvl w:ilvl="0">
      <w:start w:val="1"/>
      <w:numFmt w:val="decimal"/>
      <w:suff w:val="space"/>
      <w:lvlText w:val="%1."/>
      <w:lvlJc w:val="left"/>
    </w:lvl>
  </w:abstractNum>
  <w:abstractNum w:abstractNumId="1" w15:restartNumberingAfterBreak="0">
    <w:nsid w:val="6BD639BA"/>
    <w:multiLevelType w:val="hybridMultilevel"/>
    <w:tmpl w:val="FD0C65FC"/>
    <w:lvl w:ilvl="0" w:tplc="D15E7918">
      <w:start w:val="1"/>
      <w:numFmt w:val="chineseCountingThousand"/>
      <w:lvlText w:val="%1、"/>
      <w:lvlJc w:val="left"/>
      <w:pPr>
        <w:ind w:left="420" w:hanging="420"/>
      </w:pPr>
      <w:rPr>
        <w:color w:val="2F5496" w:themeColor="accent1" w:themeShade="B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B4"/>
    <w:rsid w:val="00003536"/>
    <w:rsid w:val="00006748"/>
    <w:rsid w:val="000119CE"/>
    <w:rsid w:val="00016218"/>
    <w:rsid w:val="0002593C"/>
    <w:rsid w:val="00035941"/>
    <w:rsid w:val="00043E8A"/>
    <w:rsid w:val="000530B9"/>
    <w:rsid w:val="00055D00"/>
    <w:rsid w:val="000620FA"/>
    <w:rsid w:val="00072F20"/>
    <w:rsid w:val="0007440F"/>
    <w:rsid w:val="00074705"/>
    <w:rsid w:val="000837A7"/>
    <w:rsid w:val="00085E14"/>
    <w:rsid w:val="000933CE"/>
    <w:rsid w:val="000B07D4"/>
    <w:rsid w:val="000B21AA"/>
    <w:rsid w:val="000B2F51"/>
    <w:rsid w:val="000B638A"/>
    <w:rsid w:val="000B6CDE"/>
    <w:rsid w:val="000C2E66"/>
    <w:rsid w:val="000C308B"/>
    <w:rsid w:val="000D7761"/>
    <w:rsid w:val="000E55F7"/>
    <w:rsid w:val="000F1EBF"/>
    <w:rsid w:val="00103420"/>
    <w:rsid w:val="0010659E"/>
    <w:rsid w:val="00122694"/>
    <w:rsid w:val="00132257"/>
    <w:rsid w:val="00136AED"/>
    <w:rsid w:val="00137B65"/>
    <w:rsid w:val="00146D02"/>
    <w:rsid w:val="001524D8"/>
    <w:rsid w:val="00155F63"/>
    <w:rsid w:val="0017127B"/>
    <w:rsid w:val="00174011"/>
    <w:rsid w:val="00177B3E"/>
    <w:rsid w:val="00183B9B"/>
    <w:rsid w:val="00190CFA"/>
    <w:rsid w:val="001942EE"/>
    <w:rsid w:val="001943B6"/>
    <w:rsid w:val="001B1994"/>
    <w:rsid w:val="001B7B28"/>
    <w:rsid w:val="001C6440"/>
    <w:rsid w:val="001D051A"/>
    <w:rsid w:val="001E27A0"/>
    <w:rsid w:val="001E41A7"/>
    <w:rsid w:val="00203781"/>
    <w:rsid w:val="00212DEE"/>
    <w:rsid w:val="002130E1"/>
    <w:rsid w:val="0021320C"/>
    <w:rsid w:val="002165A2"/>
    <w:rsid w:val="002203FE"/>
    <w:rsid w:val="002342C6"/>
    <w:rsid w:val="002467B9"/>
    <w:rsid w:val="00255D72"/>
    <w:rsid w:val="00264809"/>
    <w:rsid w:val="00270106"/>
    <w:rsid w:val="00270A43"/>
    <w:rsid w:val="002812FF"/>
    <w:rsid w:val="00282EBA"/>
    <w:rsid w:val="002917CA"/>
    <w:rsid w:val="00296766"/>
    <w:rsid w:val="002B1214"/>
    <w:rsid w:val="002B4520"/>
    <w:rsid w:val="002C7DC3"/>
    <w:rsid w:val="002D44BF"/>
    <w:rsid w:val="002E1A39"/>
    <w:rsid w:val="002E47E8"/>
    <w:rsid w:val="002E60E9"/>
    <w:rsid w:val="002F7977"/>
    <w:rsid w:val="0032105F"/>
    <w:rsid w:val="0032174A"/>
    <w:rsid w:val="00325DE3"/>
    <w:rsid w:val="00327FE8"/>
    <w:rsid w:val="00336C5A"/>
    <w:rsid w:val="00340540"/>
    <w:rsid w:val="0035284E"/>
    <w:rsid w:val="003533CE"/>
    <w:rsid w:val="003609AA"/>
    <w:rsid w:val="00362DFE"/>
    <w:rsid w:val="0036400B"/>
    <w:rsid w:val="00370103"/>
    <w:rsid w:val="0038141B"/>
    <w:rsid w:val="00394AD0"/>
    <w:rsid w:val="00397884"/>
    <w:rsid w:val="003A0B57"/>
    <w:rsid w:val="003A6ED0"/>
    <w:rsid w:val="003B1142"/>
    <w:rsid w:val="003B5043"/>
    <w:rsid w:val="003C76A2"/>
    <w:rsid w:val="003C7B9C"/>
    <w:rsid w:val="003D03A8"/>
    <w:rsid w:val="003D6D64"/>
    <w:rsid w:val="003E113D"/>
    <w:rsid w:val="003E35EA"/>
    <w:rsid w:val="003E5267"/>
    <w:rsid w:val="003F04F6"/>
    <w:rsid w:val="003F21FC"/>
    <w:rsid w:val="003F3D34"/>
    <w:rsid w:val="004042BA"/>
    <w:rsid w:val="00404B62"/>
    <w:rsid w:val="00412A50"/>
    <w:rsid w:val="00415CDC"/>
    <w:rsid w:val="004170BC"/>
    <w:rsid w:val="004178D4"/>
    <w:rsid w:val="004243F7"/>
    <w:rsid w:val="00424412"/>
    <w:rsid w:val="00434068"/>
    <w:rsid w:val="0043791F"/>
    <w:rsid w:val="00442223"/>
    <w:rsid w:val="00442736"/>
    <w:rsid w:val="00445AB5"/>
    <w:rsid w:val="004463BE"/>
    <w:rsid w:val="00447CC1"/>
    <w:rsid w:val="004547C9"/>
    <w:rsid w:val="00455400"/>
    <w:rsid w:val="00456387"/>
    <w:rsid w:val="00456DFD"/>
    <w:rsid w:val="00457C40"/>
    <w:rsid w:val="00461086"/>
    <w:rsid w:val="0046161D"/>
    <w:rsid w:val="004624AE"/>
    <w:rsid w:val="00463103"/>
    <w:rsid w:val="0047078A"/>
    <w:rsid w:val="0049054D"/>
    <w:rsid w:val="004B34EC"/>
    <w:rsid w:val="004B762D"/>
    <w:rsid w:val="004C00B7"/>
    <w:rsid w:val="004C7351"/>
    <w:rsid w:val="004D1845"/>
    <w:rsid w:val="004D2D80"/>
    <w:rsid w:val="004E6501"/>
    <w:rsid w:val="004E66B0"/>
    <w:rsid w:val="004E6810"/>
    <w:rsid w:val="004F14F1"/>
    <w:rsid w:val="004F3368"/>
    <w:rsid w:val="004F3A08"/>
    <w:rsid w:val="00501CFD"/>
    <w:rsid w:val="0050616D"/>
    <w:rsid w:val="00507E1D"/>
    <w:rsid w:val="00510372"/>
    <w:rsid w:val="005106DB"/>
    <w:rsid w:val="00511854"/>
    <w:rsid w:val="00512C7B"/>
    <w:rsid w:val="005140B2"/>
    <w:rsid w:val="005219A1"/>
    <w:rsid w:val="00522FC9"/>
    <w:rsid w:val="005302ED"/>
    <w:rsid w:val="00544145"/>
    <w:rsid w:val="00545344"/>
    <w:rsid w:val="00551BE5"/>
    <w:rsid w:val="00564A67"/>
    <w:rsid w:val="00573BDD"/>
    <w:rsid w:val="00577903"/>
    <w:rsid w:val="005832B7"/>
    <w:rsid w:val="005A625D"/>
    <w:rsid w:val="005A65AB"/>
    <w:rsid w:val="005B621C"/>
    <w:rsid w:val="005B68D8"/>
    <w:rsid w:val="005C040E"/>
    <w:rsid w:val="005D0387"/>
    <w:rsid w:val="005D0989"/>
    <w:rsid w:val="005D1C96"/>
    <w:rsid w:val="005D1CC7"/>
    <w:rsid w:val="005D246C"/>
    <w:rsid w:val="005F30FE"/>
    <w:rsid w:val="00600543"/>
    <w:rsid w:val="006043F3"/>
    <w:rsid w:val="00606453"/>
    <w:rsid w:val="00607608"/>
    <w:rsid w:val="00612E26"/>
    <w:rsid w:val="00616240"/>
    <w:rsid w:val="0061671D"/>
    <w:rsid w:val="00616E9C"/>
    <w:rsid w:val="00621C81"/>
    <w:rsid w:val="006228F2"/>
    <w:rsid w:val="0062383C"/>
    <w:rsid w:val="00624C0D"/>
    <w:rsid w:val="00625D4F"/>
    <w:rsid w:val="00625DB5"/>
    <w:rsid w:val="00626259"/>
    <w:rsid w:val="006266A6"/>
    <w:rsid w:val="00640E35"/>
    <w:rsid w:val="006476D4"/>
    <w:rsid w:val="00651DB7"/>
    <w:rsid w:val="00656898"/>
    <w:rsid w:val="006573AD"/>
    <w:rsid w:val="00660568"/>
    <w:rsid w:val="00662E4B"/>
    <w:rsid w:val="00662EBF"/>
    <w:rsid w:val="00670A4A"/>
    <w:rsid w:val="006714C4"/>
    <w:rsid w:val="00674D46"/>
    <w:rsid w:val="006772EF"/>
    <w:rsid w:val="00677E5A"/>
    <w:rsid w:val="00684986"/>
    <w:rsid w:val="00686C7B"/>
    <w:rsid w:val="006A1FC2"/>
    <w:rsid w:val="006A3B72"/>
    <w:rsid w:val="006A4EA5"/>
    <w:rsid w:val="006B4059"/>
    <w:rsid w:val="006B6847"/>
    <w:rsid w:val="006C6291"/>
    <w:rsid w:val="006E1220"/>
    <w:rsid w:val="006E4C5A"/>
    <w:rsid w:val="00701435"/>
    <w:rsid w:val="00701F3E"/>
    <w:rsid w:val="0070304F"/>
    <w:rsid w:val="0074500A"/>
    <w:rsid w:val="007519EC"/>
    <w:rsid w:val="007539D4"/>
    <w:rsid w:val="0076104B"/>
    <w:rsid w:val="00764BE2"/>
    <w:rsid w:val="00766BE1"/>
    <w:rsid w:val="007677B9"/>
    <w:rsid w:val="007738B3"/>
    <w:rsid w:val="0077781C"/>
    <w:rsid w:val="00783A8B"/>
    <w:rsid w:val="00785F2E"/>
    <w:rsid w:val="007903B3"/>
    <w:rsid w:val="007B4BAA"/>
    <w:rsid w:val="007C3268"/>
    <w:rsid w:val="007C6AF4"/>
    <w:rsid w:val="007C7153"/>
    <w:rsid w:val="007F270E"/>
    <w:rsid w:val="00800984"/>
    <w:rsid w:val="00801E47"/>
    <w:rsid w:val="008046CA"/>
    <w:rsid w:val="00804AB6"/>
    <w:rsid w:val="00805C5A"/>
    <w:rsid w:val="00807B13"/>
    <w:rsid w:val="00813FD9"/>
    <w:rsid w:val="00817EA3"/>
    <w:rsid w:val="00824251"/>
    <w:rsid w:val="0082783A"/>
    <w:rsid w:val="00837754"/>
    <w:rsid w:val="008416A0"/>
    <w:rsid w:val="00854297"/>
    <w:rsid w:val="008579D0"/>
    <w:rsid w:val="0086325F"/>
    <w:rsid w:val="00867ECC"/>
    <w:rsid w:val="008702BB"/>
    <w:rsid w:val="008769A6"/>
    <w:rsid w:val="008867FE"/>
    <w:rsid w:val="00887278"/>
    <w:rsid w:val="00890FD3"/>
    <w:rsid w:val="008944CF"/>
    <w:rsid w:val="00894933"/>
    <w:rsid w:val="00897802"/>
    <w:rsid w:val="008A0D73"/>
    <w:rsid w:val="008A1E5A"/>
    <w:rsid w:val="008B47CC"/>
    <w:rsid w:val="008B5DE9"/>
    <w:rsid w:val="008E50DB"/>
    <w:rsid w:val="008F69F5"/>
    <w:rsid w:val="009052E8"/>
    <w:rsid w:val="00913C6D"/>
    <w:rsid w:val="00921AA9"/>
    <w:rsid w:val="00922B86"/>
    <w:rsid w:val="00922CC7"/>
    <w:rsid w:val="00935CEA"/>
    <w:rsid w:val="0094671A"/>
    <w:rsid w:val="00953095"/>
    <w:rsid w:val="00953B74"/>
    <w:rsid w:val="00965010"/>
    <w:rsid w:val="00966384"/>
    <w:rsid w:val="00967413"/>
    <w:rsid w:val="0097065D"/>
    <w:rsid w:val="00970E06"/>
    <w:rsid w:val="00973F2B"/>
    <w:rsid w:val="00980A91"/>
    <w:rsid w:val="00983DDD"/>
    <w:rsid w:val="00995F3E"/>
    <w:rsid w:val="009A271F"/>
    <w:rsid w:val="009A3A3F"/>
    <w:rsid w:val="009A5EA8"/>
    <w:rsid w:val="009B3BF3"/>
    <w:rsid w:val="009C572A"/>
    <w:rsid w:val="009D1D35"/>
    <w:rsid w:val="009D7828"/>
    <w:rsid w:val="009E073F"/>
    <w:rsid w:val="009E3B68"/>
    <w:rsid w:val="009F50AD"/>
    <w:rsid w:val="00A03C85"/>
    <w:rsid w:val="00A04BB9"/>
    <w:rsid w:val="00A11741"/>
    <w:rsid w:val="00A138B2"/>
    <w:rsid w:val="00A20849"/>
    <w:rsid w:val="00A27C89"/>
    <w:rsid w:val="00A30DCD"/>
    <w:rsid w:val="00A3199B"/>
    <w:rsid w:val="00A361D1"/>
    <w:rsid w:val="00A438E6"/>
    <w:rsid w:val="00A47AFC"/>
    <w:rsid w:val="00A549F3"/>
    <w:rsid w:val="00A60FD7"/>
    <w:rsid w:val="00A62CEB"/>
    <w:rsid w:val="00A63666"/>
    <w:rsid w:val="00A70328"/>
    <w:rsid w:val="00A7341E"/>
    <w:rsid w:val="00A96DB0"/>
    <w:rsid w:val="00AA2B90"/>
    <w:rsid w:val="00AA7ADF"/>
    <w:rsid w:val="00AB3F24"/>
    <w:rsid w:val="00AB4697"/>
    <w:rsid w:val="00AB55AF"/>
    <w:rsid w:val="00AC2DB4"/>
    <w:rsid w:val="00AD0B79"/>
    <w:rsid w:val="00AD4C2B"/>
    <w:rsid w:val="00AF3656"/>
    <w:rsid w:val="00B037E4"/>
    <w:rsid w:val="00B068FD"/>
    <w:rsid w:val="00B13FC6"/>
    <w:rsid w:val="00B227BF"/>
    <w:rsid w:val="00B534B6"/>
    <w:rsid w:val="00B534C4"/>
    <w:rsid w:val="00B573E9"/>
    <w:rsid w:val="00B64838"/>
    <w:rsid w:val="00B70B0E"/>
    <w:rsid w:val="00B7638C"/>
    <w:rsid w:val="00B8021F"/>
    <w:rsid w:val="00BA081C"/>
    <w:rsid w:val="00BA60C0"/>
    <w:rsid w:val="00BB14C6"/>
    <w:rsid w:val="00BB79E0"/>
    <w:rsid w:val="00BC7320"/>
    <w:rsid w:val="00C12A19"/>
    <w:rsid w:val="00C151C0"/>
    <w:rsid w:val="00C157C9"/>
    <w:rsid w:val="00C17755"/>
    <w:rsid w:val="00C22E75"/>
    <w:rsid w:val="00C24369"/>
    <w:rsid w:val="00C372F8"/>
    <w:rsid w:val="00C64402"/>
    <w:rsid w:val="00C652DC"/>
    <w:rsid w:val="00C72132"/>
    <w:rsid w:val="00C84EFF"/>
    <w:rsid w:val="00C85408"/>
    <w:rsid w:val="00C93A31"/>
    <w:rsid w:val="00C94D63"/>
    <w:rsid w:val="00C95FC2"/>
    <w:rsid w:val="00C978D1"/>
    <w:rsid w:val="00CA7EB3"/>
    <w:rsid w:val="00CB2866"/>
    <w:rsid w:val="00CB4D62"/>
    <w:rsid w:val="00CC69E6"/>
    <w:rsid w:val="00CC7737"/>
    <w:rsid w:val="00CC7918"/>
    <w:rsid w:val="00CD742B"/>
    <w:rsid w:val="00CE2D1B"/>
    <w:rsid w:val="00CF58BE"/>
    <w:rsid w:val="00D0180A"/>
    <w:rsid w:val="00D025EB"/>
    <w:rsid w:val="00D051A8"/>
    <w:rsid w:val="00D059CE"/>
    <w:rsid w:val="00D0734D"/>
    <w:rsid w:val="00D21F88"/>
    <w:rsid w:val="00D21FAE"/>
    <w:rsid w:val="00D2531E"/>
    <w:rsid w:val="00D25E2C"/>
    <w:rsid w:val="00D34005"/>
    <w:rsid w:val="00D34856"/>
    <w:rsid w:val="00D35A16"/>
    <w:rsid w:val="00D45EE7"/>
    <w:rsid w:val="00D5773B"/>
    <w:rsid w:val="00D652A4"/>
    <w:rsid w:val="00D67741"/>
    <w:rsid w:val="00D71802"/>
    <w:rsid w:val="00D77872"/>
    <w:rsid w:val="00D85172"/>
    <w:rsid w:val="00D87474"/>
    <w:rsid w:val="00D96DEA"/>
    <w:rsid w:val="00DA1233"/>
    <w:rsid w:val="00DA1514"/>
    <w:rsid w:val="00DA31D0"/>
    <w:rsid w:val="00DA3D8A"/>
    <w:rsid w:val="00DB1209"/>
    <w:rsid w:val="00DB5D24"/>
    <w:rsid w:val="00DC39E7"/>
    <w:rsid w:val="00DC6D27"/>
    <w:rsid w:val="00DC7825"/>
    <w:rsid w:val="00DD1A48"/>
    <w:rsid w:val="00DE0F58"/>
    <w:rsid w:val="00DE58F8"/>
    <w:rsid w:val="00DF2ED4"/>
    <w:rsid w:val="00E0199E"/>
    <w:rsid w:val="00E041DB"/>
    <w:rsid w:val="00E05CAC"/>
    <w:rsid w:val="00E200EE"/>
    <w:rsid w:val="00E254B0"/>
    <w:rsid w:val="00E27750"/>
    <w:rsid w:val="00E3185A"/>
    <w:rsid w:val="00E3532B"/>
    <w:rsid w:val="00E40A34"/>
    <w:rsid w:val="00E4640C"/>
    <w:rsid w:val="00E609EC"/>
    <w:rsid w:val="00E623A0"/>
    <w:rsid w:val="00E65383"/>
    <w:rsid w:val="00E702D3"/>
    <w:rsid w:val="00E95543"/>
    <w:rsid w:val="00E96506"/>
    <w:rsid w:val="00EA43F3"/>
    <w:rsid w:val="00EA478B"/>
    <w:rsid w:val="00EB3108"/>
    <w:rsid w:val="00EC0D6B"/>
    <w:rsid w:val="00ED11EB"/>
    <w:rsid w:val="00ED35DC"/>
    <w:rsid w:val="00ED5FC8"/>
    <w:rsid w:val="00EE3797"/>
    <w:rsid w:val="00EE564A"/>
    <w:rsid w:val="00EF1089"/>
    <w:rsid w:val="00F01880"/>
    <w:rsid w:val="00F079EF"/>
    <w:rsid w:val="00F173FB"/>
    <w:rsid w:val="00F21E19"/>
    <w:rsid w:val="00F2236B"/>
    <w:rsid w:val="00F27B60"/>
    <w:rsid w:val="00F31B6F"/>
    <w:rsid w:val="00F366E6"/>
    <w:rsid w:val="00F405B5"/>
    <w:rsid w:val="00F4761E"/>
    <w:rsid w:val="00F577FB"/>
    <w:rsid w:val="00F604CB"/>
    <w:rsid w:val="00F6321D"/>
    <w:rsid w:val="00F74140"/>
    <w:rsid w:val="00F84894"/>
    <w:rsid w:val="00F90C19"/>
    <w:rsid w:val="00FA55B1"/>
    <w:rsid w:val="00FA6120"/>
    <w:rsid w:val="00FA6472"/>
    <w:rsid w:val="00FB0809"/>
    <w:rsid w:val="00FB5B4D"/>
    <w:rsid w:val="00FC3916"/>
    <w:rsid w:val="00FC5798"/>
    <w:rsid w:val="00FC6D9E"/>
    <w:rsid w:val="00FD4FBE"/>
    <w:rsid w:val="00FE6A12"/>
    <w:rsid w:val="00FE6B26"/>
    <w:rsid w:val="00FE77AE"/>
    <w:rsid w:val="00FF248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43439"/>
  <w15:docId w15:val="{7213BB71-D97F-4FB7-864C-86464343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AA9"/>
    <w:pPr>
      <w:widowControl w:val="0"/>
      <w:jc w:val="both"/>
    </w:pPr>
  </w:style>
  <w:style w:type="paragraph" w:styleId="Heading1">
    <w:name w:val="heading 1"/>
    <w:basedOn w:val="Normal"/>
    <w:next w:val="Normal"/>
    <w:link w:val="Heading1Char"/>
    <w:uiPriority w:val="9"/>
    <w:qFormat/>
    <w:rsid w:val="009A5EA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B2F5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AC2DB4"/>
    <w:pPr>
      <w:widowControl w:val="0"/>
      <w:autoSpaceDE w:val="0"/>
      <w:autoSpaceDN w:val="0"/>
      <w:adjustRightInd w:val="0"/>
    </w:pPr>
    <w:rPr>
      <w:rFonts w:ascii="微软雅黑" w:eastAsia="微软雅黑" w:cs="微软雅黑"/>
      <w:color w:val="000000"/>
      <w:kern w:val="0"/>
      <w:sz w:val="24"/>
      <w:szCs w:val="24"/>
    </w:rPr>
  </w:style>
  <w:style w:type="character" w:customStyle="1" w:styleId="Heading2Char">
    <w:name w:val="Heading 2 Char"/>
    <w:basedOn w:val="DefaultParagraphFont"/>
    <w:link w:val="Heading2"/>
    <w:uiPriority w:val="9"/>
    <w:rsid w:val="000B2F51"/>
    <w:rPr>
      <w:rFonts w:asciiTheme="majorHAnsi" w:eastAsiaTheme="majorEastAsia" w:hAnsiTheme="majorHAnsi" w:cstheme="majorBidi"/>
      <w:b/>
      <w:bCs/>
      <w:sz w:val="32"/>
      <w:szCs w:val="32"/>
    </w:rPr>
  </w:style>
  <w:style w:type="table" w:styleId="TableGrid">
    <w:name w:val="Table Grid"/>
    <w:basedOn w:val="TableNormal"/>
    <w:uiPriority w:val="39"/>
    <w:rsid w:val="00461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5EA8"/>
    <w:rPr>
      <w:b/>
      <w:bCs/>
      <w:kern w:val="44"/>
      <w:sz w:val="44"/>
      <w:szCs w:val="44"/>
    </w:rPr>
  </w:style>
  <w:style w:type="paragraph" w:styleId="Header">
    <w:name w:val="header"/>
    <w:basedOn w:val="Normal"/>
    <w:link w:val="HeaderChar"/>
    <w:uiPriority w:val="99"/>
    <w:unhideWhenUsed/>
    <w:rsid w:val="0061624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16240"/>
    <w:rPr>
      <w:sz w:val="18"/>
      <w:szCs w:val="18"/>
    </w:rPr>
  </w:style>
  <w:style w:type="paragraph" w:styleId="Footer">
    <w:name w:val="footer"/>
    <w:basedOn w:val="Normal"/>
    <w:link w:val="FooterChar"/>
    <w:uiPriority w:val="99"/>
    <w:unhideWhenUsed/>
    <w:rsid w:val="0061624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16240"/>
    <w:rPr>
      <w:sz w:val="18"/>
      <w:szCs w:val="18"/>
    </w:rPr>
  </w:style>
  <w:style w:type="paragraph" w:styleId="ListParagraph">
    <w:name w:val="List Paragraph"/>
    <w:basedOn w:val="Normal"/>
    <w:uiPriority w:val="34"/>
    <w:qFormat/>
    <w:rsid w:val="00507E1D"/>
    <w:pPr>
      <w:ind w:firstLineChars="200" w:firstLine="420"/>
    </w:pPr>
  </w:style>
  <w:style w:type="paragraph" w:styleId="BalloonText">
    <w:name w:val="Balloon Text"/>
    <w:basedOn w:val="Normal"/>
    <w:link w:val="BalloonTextChar"/>
    <w:uiPriority w:val="99"/>
    <w:semiHidden/>
    <w:unhideWhenUsed/>
    <w:rsid w:val="00E200EE"/>
    <w:rPr>
      <w:sz w:val="18"/>
      <w:szCs w:val="18"/>
    </w:rPr>
  </w:style>
  <w:style w:type="character" w:customStyle="1" w:styleId="BalloonTextChar">
    <w:name w:val="Balloon Text Char"/>
    <w:basedOn w:val="DefaultParagraphFont"/>
    <w:link w:val="BalloonText"/>
    <w:uiPriority w:val="99"/>
    <w:semiHidden/>
    <w:rsid w:val="00E200EE"/>
    <w:rPr>
      <w:sz w:val="18"/>
      <w:szCs w:val="18"/>
    </w:rPr>
  </w:style>
  <w:style w:type="table" w:customStyle="1" w:styleId="-11">
    <w:name w:val="浅色底纹 - 着色 11"/>
    <w:basedOn w:val="TableNormal"/>
    <w:uiPriority w:val="60"/>
    <w:rsid w:val="002342C6"/>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110">
    <w:name w:val="浅色列表 - 着色 11"/>
    <w:basedOn w:val="TableNormal"/>
    <w:uiPriority w:val="61"/>
    <w:rsid w:val="002342C6"/>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1-11">
    <w:name w:val="中等深浅底纹 1 - 着色 11"/>
    <w:basedOn w:val="TableNormal"/>
    <w:uiPriority w:val="63"/>
    <w:rsid w:val="002342C6"/>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2342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1">
    <w:name w:val="Medium Grid 3 Accent 1"/>
    <w:basedOn w:val="TableNormal"/>
    <w:uiPriority w:val="69"/>
    <w:rsid w:val="002342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Shading1-Accent5">
    <w:name w:val="Medium Shading 1 Accent 5"/>
    <w:basedOn w:val="TableNormal"/>
    <w:uiPriority w:val="63"/>
    <w:rsid w:val="002342C6"/>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2-11">
    <w:name w:val="中等深浅底纹 2 - 着色 11"/>
    <w:basedOn w:val="TableNormal"/>
    <w:uiPriority w:val="64"/>
    <w:rsid w:val="002342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10">
    <w:name w:val="中等深浅列表 1 - 着色 11"/>
    <w:basedOn w:val="TableNormal"/>
    <w:uiPriority w:val="65"/>
    <w:rsid w:val="002342C6"/>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Grid3-Accent2">
    <w:name w:val="Medium Grid 3 Accent 2"/>
    <w:basedOn w:val="TableNormal"/>
    <w:uiPriority w:val="69"/>
    <w:rsid w:val="002342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customStyle="1" w:styleId="1">
    <w:name w:val="彩色列表1"/>
    <w:basedOn w:val="TableNormal"/>
    <w:uiPriority w:val="72"/>
    <w:rsid w:val="002342C6"/>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4">
    <w:name w:val="Colorful Grid Accent 4"/>
    <w:basedOn w:val="TableNormal"/>
    <w:uiPriority w:val="73"/>
    <w:rsid w:val="002342C6"/>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DarkList-Accent2">
    <w:name w:val="Dark List Accent 2"/>
    <w:basedOn w:val="TableNormal"/>
    <w:uiPriority w:val="70"/>
    <w:rsid w:val="002342C6"/>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ColorfulShading-Accent3">
    <w:name w:val="Colorful Shading Accent 3"/>
    <w:basedOn w:val="TableNormal"/>
    <w:uiPriority w:val="71"/>
    <w:rsid w:val="002342C6"/>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MediumShading2-Accent2">
    <w:name w:val="Medium Shading 2 Accent 2"/>
    <w:basedOn w:val="TableNormal"/>
    <w:uiPriority w:val="64"/>
    <w:rsid w:val="002342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2">
    <w:name w:val="Colorful List Accent 2"/>
    <w:basedOn w:val="TableNormal"/>
    <w:uiPriority w:val="72"/>
    <w:rsid w:val="00122694"/>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MediumList2-Accent2">
    <w:name w:val="Medium List 2 Accent 2"/>
    <w:basedOn w:val="TableNormal"/>
    <w:uiPriority w:val="66"/>
    <w:rsid w:val="000E55F7"/>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link w:val="NoSpacingChar"/>
    <w:qFormat/>
    <w:rsid w:val="008867FE"/>
    <w:rPr>
      <w:rFonts w:ascii="PMingLiU" w:hAnsi="PMingLiU"/>
      <w:kern w:val="0"/>
      <w:sz w:val="22"/>
    </w:rPr>
  </w:style>
  <w:style w:type="character" w:customStyle="1" w:styleId="NoSpacingChar">
    <w:name w:val="No Spacing Char"/>
    <w:basedOn w:val="DefaultParagraphFont"/>
    <w:link w:val="NoSpacing"/>
    <w:rsid w:val="008867FE"/>
    <w:rPr>
      <w:rFonts w:ascii="PMingLiU" w:hAnsi="PMingLiU"/>
      <w:kern w:val="0"/>
      <w:sz w:val="22"/>
    </w:rPr>
  </w:style>
  <w:style w:type="character" w:styleId="PageNumber">
    <w:name w:val="page number"/>
    <w:basedOn w:val="DefaultParagraphFont"/>
    <w:uiPriority w:val="99"/>
    <w:semiHidden/>
    <w:unhideWhenUsed/>
    <w:rsid w:val="008867FE"/>
  </w:style>
  <w:style w:type="paragraph" w:styleId="FootnoteText">
    <w:name w:val="footnote text"/>
    <w:basedOn w:val="Normal"/>
    <w:link w:val="FootnoteTextChar"/>
    <w:uiPriority w:val="99"/>
    <w:unhideWhenUsed/>
    <w:rsid w:val="00512C7B"/>
    <w:pPr>
      <w:snapToGrid w:val="0"/>
      <w:jc w:val="left"/>
    </w:pPr>
    <w:rPr>
      <w:sz w:val="18"/>
      <w:szCs w:val="18"/>
    </w:rPr>
  </w:style>
  <w:style w:type="character" w:customStyle="1" w:styleId="FootnoteTextChar">
    <w:name w:val="Footnote Text Char"/>
    <w:basedOn w:val="DefaultParagraphFont"/>
    <w:link w:val="FootnoteText"/>
    <w:uiPriority w:val="99"/>
    <w:rsid w:val="00512C7B"/>
    <w:rPr>
      <w:sz w:val="18"/>
      <w:szCs w:val="18"/>
    </w:rPr>
  </w:style>
  <w:style w:type="character" w:styleId="FootnoteReference">
    <w:name w:val="footnote reference"/>
    <w:basedOn w:val="DefaultParagraphFont"/>
    <w:uiPriority w:val="99"/>
    <w:unhideWhenUsed/>
    <w:rsid w:val="00512C7B"/>
    <w:rPr>
      <w:vertAlign w:val="superscript"/>
    </w:rPr>
  </w:style>
  <w:style w:type="paragraph" w:styleId="NormalWeb">
    <w:name w:val="Normal (Web)"/>
    <w:basedOn w:val="Normal"/>
    <w:uiPriority w:val="99"/>
    <w:semiHidden/>
    <w:unhideWhenUsed/>
    <w:rsid w:val="0082783A"/>
    <w:pPr>
      <w:widowControl/>
      <w:spacing w:before="100" w:beforeAutospacing="1" w:after="100" w:afterAutospacing="1"/>
      <w:jc w:val="left"/>
    </w:pPr>
    <w:rPr>
      <w:rFonts w:ascii="Times" w:hAnsi="Times" w:cs="Times New Roman"/>
      <w:kern w:val="0"/>
      <w:sz w:val="20"/>
      <w:szCs w:val="20"/>
    </w:rPr>
  </w:style>
  <w:style w:type="table" w:styleId="MediumList2-Accent5">
    <w:name w:val="Medium List 2 Accent 5"/>
    <w:basedOn w:val="TableNormal"/>
    <w:uiPriority w:val="66"/>
    <w:rsid w:val="00AA2B90"/>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AA2B90"/>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3">
    <w:name w:val="Colorful List Accent 3"/>
    <w:basedOn w:val="TableNormal"/>
    <w:uiPriority w:val="72"/>
    <w:rsid w:val="00AA2B90"/>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Shading-Accent2">
    <w:name w:val="Colorful Shading Accent 2"/>
    <w:basedOn w:val="TableNormal"/>
    <w:uiPriority w:val="71"/>
    <w:rsid w:val="00AA2B90"/>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AA2B90"/>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1">
    <w:name w:val="Colorful Grid Accent 1"/>
    <w:basedOn w:val="TableNormal"/>
    <w:uiPriority w:val="73"/>
    <w:rsid w:val="00AA2B90"/>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LightGrid-Accent3">
    <w:name w:val="Light Grid Accent 3"/>
    <w:basedOn w:val="TableNormal"/>
    <w:uiPriority w:val="62"/>
    <w:rsid w:val="0060054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CM24">
    <w:name w:val="CM24"/>
    <w:basedOn w:val="Default"/>
    <w:next w:val="Default"/>
    <w:uiPriority w:val="99"/>
    <w:rsid w:val="007519EC"/>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89323">
      <w:bodyDiv w:val="1"/>
      <w:marLeft w:val="0"/>
      <w:marRight w:val="0"/>
      <w:marTop w:val="0"/>
      <w:marBottom w:val="0"/>
      <w:divBdr>
        <w:top w:val="none" w:sz="0" w:space="0" w:color="auto"/>
        <w:left w:val="none" w:sz="0" w:space="0" w:color="auto"/>
        <w:bottom w:val="none" w:sz="0" w:space="0" w:color="auto"/>
        <w:right w:val="none" w:sz="0" w:space="0" w:color="auto"/>
      </w:divBdr>
    </w:div>
    <w:div w:id="226112666">
      <w:bodyDiv w:val="1"/>
      <w:marLeft w:val="0"/>
      <w:marRight w:val="0"/>
      <w:marTop w:val="0"/>
      <w:marBottom w:val="0"/>
      <w:divBdr>
        <w:top w:val="none" w:sz="0" w:space="0" w:color="auto"/>
        <w:left w:val="none" w:sz="0" w:space="0" w:color="auto"/>
        <w:bottom w:val="none" w:sz="0" w:space="0" w:color="auto"/>
        <w:right w:val="none" w:sz="0" w:space="0" w:color="auto"/>
      </w:divBdr>
    </w:div>
    <w:div w:id="372073569">
      <w:bodyDiv w:val="1"/>
      <w:marLeft w:val="0"/>
      <w:marRight w:val="0"/>
      <w:marTop w:val="0"/>
      <w:marBottom w:val="0"/>
      <w:divBdr>
        <w:top w:val="none" w:sz="0" w:space="0" w:color="auto"/>
        <w:left w:val="none" w:sz="0" w:space="0" w:color="auto"/>
        <w:bottom w:val="none" w:sz="0" w:space="0" w:color="auto"/>
        <w:right w:val="none" w:sz="0" w:space="0" w:color="auto"/>
      </w:divBdr>
    </w:div>
    <w:div w:id="646276731">
      <w:bodyDiv w:val="1"/>
      <w:marLeft w:val="0"/>
      <w:marRight w:val="0"/>
      <w:marTop w:val="0"/>
      <w:marBottom w:val="0"/>
      <w:divBdr>
        <w:top w:val="none" w:sz="0" w:space="0" w:color="auto"/>
        <w:left w:val="none" w:sz="0" w:space="0" w:color="auto"/>
        <w:bottom w:val="none" w:sz="0" w:space="0" w:color="auto"/>
        <w:right w:val="none" w:sz="0" w:space="0" w:color="auto"/>
      </w:divBdr>
      <w:divsChild>
        <w:div w:id="824857847">
          <w:marLeft w:val="547"/>
          <w:marRight w:val="0"/>
          <w:marTop w:val="0"/>
          <w:marBottom w:val="0"/>
          <w:divBdr>
            <w:top w:val="none" w:sz="0" w:space="0" w:color="auto"/>
            <w:left w:val="none" w:sz="0" w:space="0" w:color="auto"/>
            <w:bottom w:val="none" w:sz="0" w:space="0" w:color="auto"/>
            <w:right w:val="none" w:sz="0" w:space="0" w:color="auto"/>
          </w:divBdr>
        </w:div>
      </w:divsChild>
    </w:div>
    <w:div w:id="899294349">
      <w:bodyDiv w:val="1"/>
      <w:marLeft w:val="0"/>
      <w:marRight w:val="0"/>
      <w:marTop w:val="0"/>
      <w:marBottom w:val="0"/>
      <w:divBdr>
        <w:top w:val="none" w:sz="0" w:space="0" w:color="auto"/>
        <w:left w:val="none" w:sz="0" w:space="0" w:color="auto"/>
        <w:bottom w:val="none" w:sz="0" w:space="0" w:color="auto"/>
        <w:right w:val="none" w:sz="0" w:space="0" w:color="auto"/>
      </w:divBdr>
    </w:div>
    <w:div w:id="941109039">
      <w:bodyDiv w:val="1"/>
      <w:marLeft w:val="0"/>
      <w:marRight w:val="0"/>
      <w:marTop w:val="0"/>
      <w:marBottom w:val="0"/>
      <w:divBdr>
        <w:top w:val="none" w:sz="0" w:space="0" w:color="auto"/>
        <w:left w:val="none" w:sz="0" w:space="0" w:color="auto"/>
        <w:bottom w:val="none" w:sz="0" w:space="0" w:color="auto"/>
        <w:right w:val="none" w:sz="0" w:space="0" w:color="auto"/>
      </w:divBdr>
    </w:div>
    <w:div w:id="944846386">
      <w:bodyDiv w:val="1"/>
      <w:marLeft w:val="0"/>
      <w:marRight w:val="0"/>
      <w:marTop w:val="0"/>
      <w:marBottom w:val="0"/>
      <w:divBdr>
        <w:top w:val="none" w:sz="0" w:space="0" w:color="auto"/>
        <w:left w:val="none" w:sz="0" w:space="0" w:color="auto"/>
        <w:bottom w:val="none" w:sz="0" w:space="0" w:color="auto"/>
        <w:right w:val="none" w:sz="0" w:space="0" w:color="auto"/>
      </w:divBdr>
    </w:div>
    <w:div w:id="970212304">
      <w:bodyDiv w:val="1"/>
      <w:marLeft w:val="0"/>
      <w:marRight w:val="0"/>
      <w:marTop w:val="0"/>
      <w:marBottom w:val="0"/>
      <w:divBdr>
        <w:top w:val="none" w:sz="0" w:space="0" w:color="auto"/>
        <w:left w:val="none" w:sz="0" w:space="0" w:color="auto"/>
        <w:bottom w:val="none" w:sz="0" w:space="0" w:color="auto"/>
        <w:right w:val="none" w:sz="0" w:space="0" w:color="auto"/>
      </w:divBdr>
    </w:div>
    <w:div w:id="1331173118">
      <w:bodyDiv w:val="1"/>
      <w:marLeft w:val="0"/>
      <w:marRight w:val="0"/>
      <w:marTop w:val="0"/>
      <w:marBottom w:val="0"/>
      <w:divBdr>
        <w:top w:val="none" w:sz="0" w:space="0" w:color="auto"/>
        <w:left w:val="none" w:sz="0" w:space="0" w:color="auto"/>
        <w:bottom w:val="none" w:sz="0" w:space="0" w:color="auto"/>
        <w:right w:val="none" w:sz="0" w:space="0" w:color="auto"/>
      </w:divBdr>
    </w:div>
    <w:div w:id="1579286613">
      <w:bodyDiv w:val="1"/>
      <w:marLeft w:val="0"/>
      <w:marRight w:val="0"/>
      <w:marTop w:val="0"/>
      <w:marBottom w:val="0"/>
      <w:divBdr>
        <w:top w:val="none" w:sz="0" w:space="0" w:color="auto"/>
        <w:left w:val="none" w:sz="0" w:space="0" w:color="auto"/>
        <w:bottom w:val="none" w:sz="0" w:space="0" w:color="auto"/>
        <w:right w:val="none" w:sz="0" w:space="0" w:color="auto"/>
      </w:divBdr>
    </w:div>
    <w:div w:id="1691680817">
      <w:bodyDiv w:val="1"/>
      <w:marLeft w:val="0"/>
      <w:marRight w:val="0"/>
      <w:marTop w:val="0"/>
      <w:marBottom w:val="0"/>
      <w:divBdr>
        <w:top w:val="none" w:sz="0" w:space="0" w:color="auto"/>
        <w:left w:val="none" w:sz="0" w:space="0" w:color="auto"/>
        <w:bottom w:val="none" w:sz="0" w:space="0" w:color="auto"/>
        <w:right w:val="none" w:sz="0" w:space="0" w:color="auto"/>
      </w:divBdr>
    </w:div>
    <w:div w:id="1744141773">
      <w:bodyDiv w:val="1"/>
      <w:marLeft w:val="0"/>
      <w:marRight w:val="0"/>
      <w:marTop w:val="0"/>
      <w:marBottom w:val="0"/>
      <w:divBdr>
        <w:top w:val="none" w:sz="0" w:space="0" w:color="auto"/>
        <w:left w:val="none" w:sz="0" w:space="0" w:color="auto"/>
        <w:bottom w:val="none" w:sz="0" w:space="0" w:color="auto"/>
        <w:right w:val="none" w:sz="0" w:space="0" w:color="auto"/>
      </w:divBdr>
    </w:div>
    <w:div w:id="1788037399">
      <w:bodyDiv w:val="1"/>
      <w:marLeft w:val="0"/>
      <w:marRight w:val="0"/>
      <w:marTop w:val="0"/>
      <w:marBottom w:val="0"/>
      <w:divBdr>
        <w:top w:val="none" w:sz="0" w:space="0" w:color="auto"/>
        <w:left w:val="none" w:sz="0" w:space="0" w:color="auto"/>
        <w:bottom w:val="none" w:sz="0" w:space="0" w:color="auto"/>
        <w:right w:val="none" w:sz="0" w:space="0" w:color="auto"/>
      </w:divBdr>
      <w:divsChild>
        <w:div w:id="566767018">
          <w:marLeft w:val="547"/>
          <w:marRight w:val="0"/>
          <w:marTop w:val="0"/>
          <w:marBottom w:val="0"/>
          <w:divBdr>
            <w:top w:val="none" w:sz="0" w:space="0" w:color="auto"/>
            <w:left w:val="none" w:sz="0" w:space="0" w:color="auto"/>
            <w:bottom w:val="none" w:sz="0" w:space="0" w:color="auto"/>
            <w:right w:val="none" w:sz="0" w:space="0" w:color="auto"/>
          </w:divBdr>
        </w:div>
      </w:divsChild>
    </w:div>
    <w:div w:id="1839685709">
      <w:bodyDiv w:val="1"/>
      <w:marLeft w:val="0"/>
      <w:marRight w:val="0"/>
      <w:marTop w:val="0"/>
      <w:marBottom w:val="0"/>
      <w:divBdr>
        <w:top w:val="none" w:sz="0" w:space="0" w:color="auto"/>
        <w:left w:val="none" w:sz="0" w:space="0" w:color="auto"/>
        <w:bottom w:val="none" w:sz="0" w:space="0" w:color="auto"/>
        <w:right w:val="none" w:sz="0" w:space="0" w:color="auto"/>
      </w:divBdr>
    </w:div>
    <w:div w:id="1877110753">
      <w:bodyDiv w:val="1"/>
      <w:marLeft w:val="0"/>
      <w:marRight w:val="0"/>
      <w:marTop w:val="0"/>
      <w:marBottom w:val="0"/>
      <w:divBdr>
        <w:top w:val="none" w:sz="0" w:space="0" w:color="auto"/>
        <w:left w:val="none" w:sz="0" w:space="0" w:color="auto"/>
        <w:bottom w:val="none" w:sz="0" w:space="0" w:color="auto"/>
        <w:right w:val="none" w:sz="0" w:space="0" w:color="auto"/>
      </w:divBdr>
    </w:div>
    <w:div w:id="1883204765">
      <w:bodyDiv w:val="1"/>
      <w:marLeft w:val="0"/>
      <w:marRight w:val="0"/>
      <w:marTop w:val="0"/>
      <w:marBottom w:val="0"/>
      <w:divBdr>
        <w:top w:val="none" w:sz="0" w:space="0" w:color="auto"/>
        <w:left w:val="none" w:sz="0" w:space="0" w:color="auto"/>
        <w:bottom w:val="none" w:sz="0" w:space="0" w:color="auto"/>
        <w:right w:val="none" w:sz="0" w:space="0" w:color="auto"/>
      </w:divBdr>
    </w:div>
    <w:div w:id="2038309865">
      <w:bodyDiv w:val="1"/>
      <w:marLeft w:val="0"/>
      <w:marRight w:val="0"/>
      <w:marTop w:val="0"/>
      <w:marBottom w:val="0"/>
      <w:divBdr>
        <w:top w:val="none" w:sz="0" w:space="0" w:color="auto"/>
        <w:left w:val="none" w:sz="0" w:space="0" w:color="auto"/>
        <w:bottom w:val="none" w:sz="0" w:space="0" w:color="auto"/>
        <w:right w:val="none" w:sz="0" w:space="0" w:color="auto"/>
      </w:divBdr>
    </w:div>
    <w:div w:id="2055540512">
      <w:bodyDiv w:val="1"/>
      <w:marLeft w:val="0"/>
      <w:marRight w:val="0"/>
      <w:marTop w:val="0"/>
      <w:marBottom w:val="0"/>
      <w:divBdr>
        <w:top w:val="none" w:sz="0" w:space="0" w:color="auto"/>
        <w:left w:val="none" w:sz="0" w:space="0" w:color="auto"/>
        <w:bottom w:val="none" w:sz="0" w:space="0" w:color="auto"/>
        <w:right w:val="none" w:sz="0" w:space="0" w:color="auto"/>
      </w:divBdr>
      <w:divsChild>
        <w:div w:id="1803231528">
          <w:marLeft w:val="547"/>
          <w:marRight w:val="0"/>
          <w:marTop w:val="0"/>
          <w:marBottom w:val="0"/>
          <w:divBdr>
            <w:top w:val="none" w:sz="0" w:space="0" w:color="auto"/>
            <w:left w:val="none" w:sz="0" w:space="0" w:color="auto"/>
            <w:bottom w:val="none" w:sz="0" w:space="0" w:color="auto"/>
            <w:right w:val="none" w:sz="0" w:space="0" w:color="auto"/>
          </w:divBdr>
        </w:div>
      </w:divsChild>
    </w:div>
    <w:div w:id="213702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IM%20data\wechat\WeChat%20Files\BaoyuanYEUNG\Files\&#21508;&#31574;&#30053;&#25351;&#25968;&#36208;&#21183;_&#25353;&#26426;&#26500;.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forise\Downloads\&#31574;&#30053;&#32479;&#35745;+&#25353;&#26426;&#26500;+&#24180;&#24230;\&#32929;&#31080;&#22810;&#22836;&#31574;&#30053;_&#27599;&#21608;idx_&#20998;&#20301;&#22270;.csv"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OneDrive\&#22797;&#21326;&#25237;&#36164;\&#39033;&#30446;\&#25351;&#25968;&#26376;&#21002;\&#19977;&#23395;&#24230;\&#20462;&#27491;&#25968;&#25454;\&#31574;&#30053;&#32479;&#35745;%20&#25353;&#26426;&#26500;%20&#24180;&#24230;\&#38463;&#23572;&#27861;&#31574;&#30053;_&#27599;&#21608;idx_&#20998;&#20301;&#22270;.csv"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OneDrive\&#22797;&#21326;&#25237;&#36164;\&#39033;&#30446;\&#25351;&#25968;&#26376;&#21002;\&#19977;&#23395;&#24230;\&#20462;&#27491;&#25968;&#25454;\&#31574;&#30053;&#32479;&#35745;%20&#25353;&#26426;&#26500;%20&#24180;&#24230;\&#31649;&#29702;&#26399;&#36135;&#31574;&#30053;_&#27599;&#21608;idx_&#20998;&#20301;&#22270;.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D:\IM%20data\wechat\WeChat%20Files\BaoyuanYEUNG\Files\&#22871;&#21033;&#31574;&#30053;_&#27599;&#21608;idx_&#20998;&#20301;&#22270;.csv"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forise\AppData\Local\Temp\Rar$DIa0.242\&#20538;&#21048;&#31574;&#30053;_&#27599;&#21608;idx_&#20998;&#20301;&#22270;.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复华策略指数表现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8.1524058309797115E-2"/>
          <c:y val="0.10287090250851011"/>
          <c:w val="0.70930871088338676"/>
          <c:h val="0.72282116967679066"/>
        </c:manualLayout>
      </c:layout>
      <c:lineChart>
        <c:grouping val="standard"/>
        <c:varyColors val="0"/>
        <c:ser>
          <c:idx val="0"/>
          <c:order val="0"/>
          <c:tx>
            <c:strRef>
              <c:f>各策略指数走势_按机构!$B$1</c:f>
              <c:strCache>
                <c:ptCount val="1"/>
                <c:pt idx="0">
                  <c:v>债券策略</c:v>
                </c:pt>
              </c:strCache>
            </c:strRef>
          </c:tx>
          <c:spPr>
            <a:ln w="28575" cap="rnd">
              <a:solidFill>
                <a:schemeClr val="accent1"/>
              </a:solidFill>
              <a:round/>
            </a:ln>
            <a:effectLst/>
          </c:spPr>
          <c:marker>
            <c:symbol val="none"/>
          </c:marker>
          <c:cat>
            <c:numRef>
              <c:f>各策略指数走势_按机构!$A$2:$A$54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各策略指数走势_按机构!$B$2:$B$54</c:f>
              <c:numCache>
                <c:formatCode>General</c:formatCode>
                <c:ptCount val="53"/>
                <c:pt idx="0">
                  <c:v>1</c:v>
                </c:pt>
                <c:pt idx="1">
                  <c:v>1.00164966827281</c:v>
                </c:pt>
                <c:pt idx="2">
                  <c:v>1.0034157621025499</c:v>
                </c:pt>
                <c:pt idx="3">
                  <c:v>1.0060270256715</c:v>
                </c:pt>
                <c:pt idx="4">
                  <c:v>1.0076106291275599</c:v>
                </c:pt>
                <c:pt idx="5">
                  <c:v>1.00908331049737</c:v>
                </c:pt>
                <c:pt idx="6">
                  <c:v>1.01124527048825</c:v>
                </c:pt>
                <c:pt idx="7">
                  <c:v>1.0100704598833199</c:v>
                </c:pt>
                <c:pt idx="8">
                  <c:v>1.01085964058818</c:v>
                </c:pt>
                <c:pt idx="9">
                  <c:v>1.0098593475191</c:v>
                </c:pt>
                <c:pt idx="10">
                  <c:v>1.00863013801032</c:v>
                </c:pt>
                <c:pt idx="11">
                  <c:v>1.00261663067051</c:v>
                </c:pt>
                <c:pt idx="12">
                  <c:v>1.0032229462321001</c:v>
                </c:pt>
                <c:pt idx="13">
                  <c:v>1.0048083300747499</c:v>
                </c:pt>
                <c:pt idx="14">
                  <c:v>1.0038680493419601</c:v>
                </c:pt>
                <c:pt idx="15">
                  <c:v>1.00405771329659</c:v>
                </c:pt>
                <c:pt idx="16">
                  <c:v>1.0039096910282601</c:v>
                </c:pt>
                <c:pt idx="17">
                  <c:v>1.0077691299664699</c:v>
                </c:pt>
                <c:pt idx="18">
                  <c:v>1.0050262875917599</c:v>
                </c:pt>
                <c:pt idx="19">
                  <c:v>1.01147536204427</c:v>
                </c:pt>
                <c:pt idx="20">
                  <c:v>1.01627022227413</c:v>
                </c:pt>
                <c:pt idx="21">
                  <c:v>1.0177404692015599</c:v>
                </c:pt>
                <c:pt idx="22">
                  <c:v>1.0190324210955799</c:v>
                </c:pt>
                <c:pt idx="23">
                  <c:v>1.01532534795743</c:v>
                </c:pt>
                <c:pt idx="24">
                  <c:v>1.01522650951015</c:v>
                </c:pt>
                <c:pt idx="25">
                  <c:v>1.0163165475332501</c:v>
                </c:pt>
                <c:pt idx="26">
                  <c:v>1.01403400515459</c:v>
                </c:pt>
                <c:pt idx="27">
                  <c:v>1.01636423646925</c:v>
                </c:pt>
                <c:pt idx="28">
                  <c:v>1.0171152507160699</c:v>
                </c:pt>
                <c:pt idx="29">
                  <c:v>1.0165833697319</c:v>
                </c:pt>
                <c:pt idx="30">
                  <c:v>1.01271434444471</c:v>
                </c:pt>
                <c:pt idx="31">
                  <c:v>1.0101749880047901</c:v>
                </c:pt>
                <c:pt idx="32">
                  <c:v>1.0084954016313901</c:v>
                </c:pt>
                <c:pt idx="33">
                  <c:v>1.00843930695443</c:v>
                </c:pt>
                <c:pt idx="34">
                  <c:v>1.0085953259072999</c:v>
                </c:pt>
                <c:pt idx="35">
                  <c:v>1.0043715776651001</c:v>
                </c:pt>
                <c:pt idx="36">
                  <c:v>1.0055051719227399</c:v>
                </c:pt>
                <c:pt idx="37">
                  <c:v>1.01393724071422</c:v>
                </c:pt>
                <c:pt idx="38">
                  <c:v>1.0078906757675199</c:v>
                </c:pt>
                <c:pt idx="39">
                  <c:v>1.01165062880589</c:v>
                </c:pt>
                <c:pt idx="40">
                  <c:v>1.0173157496165599</c:v>
                </c:pt>
                <c:pt idx="41">
                  <c:v>1.0175842347088</c:v>
                </c:pt>
                <c:pt idx="42">
                  <c:v>1.0206274795699499</c:v>
                </c:pt>
                <c:pt idx="43">
                  <c:v>1.02274773074183</c:v>
                </c:pt>
                <c:pt idx="44">
                  <c:v>1.02366862981775</c:v>
                </c:pt>
                <c:pt idx="45">
                  <c:v>1.02082540462225</c:v>
                </c:pt>
                <c:pt idx="46">
                  <c:v>1.0223482900285401</c:v>
                </c:pt>
                <c:pt idx="47">
                  <c:v>1.0209070844999</c:v>
                </c:pt>
                <c:pt idx="48">
                  <c:v>1.0232526557277299</c:v>
                </c:pt>
                <c:pt idx="49">
                  <c:v>1.02845526407421</c:v>
                </c:pt>
                <c:pt idx="50">
                  <c:v>1.02503989974954</c:v>
                </c:pt>
                <c:pt idx="51">
                  <c:v>1.03052717591678</c:v>
                </c:pt>
                <c:pt idx="52">
                  <c:v>1.0304761578706301</c:v>
                </c:pt>
              </c:numCache>
            </c:numRef>
          </c:val>
          <c:smooth val="0"/>
          <c:extLst>
            <c:ext xmlns:c16="http://schemas.microsoft.com/office/drawing/2014/chart" uri="{C3380CC4-5D6E-409C-BE32-E72D297353CC}">
              <c16:uniqueId val="{00000000-290C-47FB-8FFB-AAF8B0CCEF5F}"/>
            </c:ext>
          </c:extLst>
        </c:ser>
        <c:ser>
          <c:idx val="1"/>
          <c:order val="1"/>
          <c:tx>
            <c:strRef>
              <c:f>各策略指数走势_按机构!$C$1</c:f>
              <c:strCache>
                <c:ptCount val="1"/>
                <c:pt idx="0">
                  <c:v>套利策略</c:v>
                </c:pt>
              </c:strCache>
            </c:strRef>
          </c:tx>
          <c:spPr>
            <a:ln w="28575" cap="rnd">
              <a:solidFill>
                <a:schemeClr val="accent2"/>
              </a:solidFill>
              <a:round/>
            </a:ln>
            <a:effectLst/>
          </c:spPr>
          <c:marker>
            <c:symbol val="none"/>
          </c:marker>
          <c:cat>
            <c:numRef>
              <c:f>各策略指数走势_按机构!$A$2:$A$54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各策略指数走势_按机构!$C$2:$C$54</c:f>
              <c:numCache>
                <c:formatCode>General</c:formatCode>
                <c:ptCount val="53"/>
                <c:pt idx="0">
                  <c:v>1</c:v>
                </c:pt>
                <c:pt idx="2">
                  <c:v>1.0053092220959801</c:v>
                </c:pt>
                <c:pt idx="3">
                  <c:v>1.0057829858469001</c:v>
                </c:pt>
                <c:pt idx="4">
                  <c:v>1.0042809091835601</c:v>
                </c:pt>
                <c:pt idx="5">
                  <c:v>1.0050963204566301</c:v>
                </c:pt>
                <c:pt idx="6">
                  <c:v>1.0089192219068199</c:v>
                </c:pt>
                <c:pt idx="7">
                  <c:v>1.0105643346570701</c:v>
                </c:pt>
                <c:pt idx="8">
                  <c:v>1.0144574646172499</c:v>
                </c:pt>
                <c:pt idx="9">
                  <c:v>1.0033916270465699</c:v>
                </c:pt>
                <c:pt idx="10">
                  <c:v>1.00727148368174</c:v>
                </c:pt>
                <c:pt idx="11">
                  <c:v>1.00174995832833</c:v>
                </c:pt>
                <c:pt idx="12">
                  <c:v>1.0008984725965799</c:v>
                </c:pt>
                <c:pt idx="13">
                  <c:v>0.996153899364978</c:v>
                </c:pt>
                <c:pt idx="14">
                  <c:v>0.99969507184992501</c:v>
                </c:pt>
                <c:pt idx="15">
                  <c:v>0.99346992985708504</c:v>
                </c:pt>
                <c:pt idx="16">
                  <c:v>0.99212794510313895</c:v>
                </c:pt>
                <c:pt idx="17">
                  <c:v>0.99078596034919197</c:v>
                </c:pt>
                <c:pt idx="18">
                  <c:v>0.99182550198756403</c:v>
                </c:pt>
                <c:pt idx="19">
                  <c:v>0.99553562327999101</c:v>
                </c:pt>
                <c:pt idx="20">
                  <c:v>0.99902477608106199</c:v>
                </c:pt>
                <c:pt idx="21">
                  <c:v>1.0012856099418601</c:v>
                </c:pt>
                <c:pt idx="22">
                  <c:v>1.0012856099418601</c:v>
                </c:pt>
                <c:pt idx="23">
                  <c:v>1.00917338653704</c:v>
                </c:pt>
                <c:pt idx="24">
                  <c:v>1.0096859082341401</c:v>
                </c:pt>
                <c:pt idx="25">
                  <c:v>1.0096732482578099</c:v>
                </c:pt>
                <c:pt idx="26">
                  <c:v>1.0092609078446599</c:v>
                </c:pt>
                <c:pt idx="27">
                  <c:v>1.0143002454713701</c:v>
                </c:pt>
                <c:pt idx="28">
                  <c:v>1.0078730559837801</c:v>
                </c:pt>
                <c:pt idx="29">
                  <c:v>1.0142971123859099</c:v>
                </c:pt>
                <c:pt idx="30">
                  <c:v>1.01230235823576</c:v>
                </c:pt>
                <c:pt idx="31">
                  <c:v>1.0117546262166299</c:v>
                </c:pt>
                <c:pt idx="32">
                  <c:v>0.99724798695341899</c:v>
                </c:pt>
                <c:pt idx="33">
                  <c:v>1.0043828355927</c:v>
                </c:pt>
                <c:pt idx="34">
                  <c:v>0.99329098592208998</c:v>
                </c:pt>
                <c:pt idx="35">
                  <c:v>0.981936679264797</c:v>
                </c:pt>
                <c:pt idx="36">
                  <c:v>0.98477889050865497</c:v>
                </c:pt>
                <c:pt idx="37">
                  <c:v>0.98073799259327599</c:v>
                </c:pt>
                <c:pt idx="38">
                  <c:v>0.97884893141916796</c:v>
                </c:pt>
                <c:pt idx="39">
                  <c:v>0.98250788090428898</c:v>
                </c:pt>
                <c:pt idx="40">
                  <c:v>0.98547122921047503</c:v>
                </c:pt>
                <c:pt idx="41">
                  <c:v>0.98311349009112303</c:v>
                </c:pt>
                <c:pt idx="42">
                  <c:v>0.98402372894892498</c:v>
                </c:pt>
                <c:pt idx="43">
                  <c:v>0.98774373918190805</c:v>
                </c:pt>
                <c:pt idx="44">
                  <c:v>0.99246690001521798</c:v>
                </c:pt>
                <c:pt idx="45">
                  <c:v>0.99710850707654797</c:v>
                </c:pt>
                <c:pt idx="46">
                  <c:v>0.99550615079611304</c:v>
                </c:pt>
                <c:pt idx="47">
                  <c:v>0.99467356566732601</c:v>
                </c:pt>
                <c:pt idx="48">
                  <c:v>0.99779333434789197</c:v>
                </c:pt>
                <c:pt idx="49">
                  <c:v>0.99794551818596799</c:v>
                </c:pt>
                <c:pt idx="50">
                  <c:v>0.99741287475270102</c:v>
                </c:pt>
                <c:pt idx="51">
                  <c:v>0.99824988586212104</c:v>
                </c:pt>
                <c:pt idx="52">
                  <c:v>0.99824988586212104</c:v>
                </c:pt>
              </c:numCache>
            </c:numRef>
          </c:val>
          <c:smooth val="0"/>
          <c:extLst>
            <c:ext xmlns:c16="http://schemas.microsoft.com/office/drawing/2014/chart" uri="{C3380CC4-5D6E-409C-BE32-E72D297353CC}">
              <c16:uniqueId val="{00000001-290C-47FB-8FFB-AAF8B0CCEF5F}"/>
            </c:ext>
          </c:extLst>
        </c:ser>
        <c:ser>
          <c:idx val="2"/>
          <c:order val="2"/>
          <c:tx>
            <c:strRef>
              <c:f>各策略指数走势_按机构!$D$1</c:f>
              <c:strCache>
                <c:ptCount val="1"/>
                <c:pt idx="0">
                  <c:v>管理期货策略</c:v>
                </c:pt>
              </c:strCache>
            </c:strRef>
          </c:tx>
          <c:spPr>
            <a:ln w="28575" cap="rnd">
              <a:solidFill>
                <a:schemeClr val="accent3"/>
              </a:solidFill>
              <a:round/>
            </a:ln>
            <a:effectLst/>
          </c:spPr>
          <c:marker>
            <c:symbol val="none"/>
          </c:marker>
          <c:cat>
            <c:numRef>
              <c:f>各策略指数走势_按机构!$A$2:$A$54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各策略指数走势_按机构!$D$2:$D$54</c:f>
              <c:numCache>
                <c:formatCode>General</c:formatCode>
                <c:ptCount val="53"/>
                <c:pt idx="0">
                  <c:v>1</c:v>
                </c:pt>
                <c:pt idx="1">
                  <c:v>1.00370079270406</c:v>
                </c:pt>
                <c:pt idx="2">
                  <c:v>1.00740158540812</c:v>
                </c:pt>
                <c:pt idx="3">
                  <c:v>1.0148733831229899</c:v>
                </c:pt>
                <c:pt idx="4">
                  <c:v>1.02830578931535</c:v>
                </c:pt>
                <c:pt idx="5">
                  <c:v>1.0372966152427501</c:v>
                </c:pt>
                <c:pt idx="6">
                  <c:v>1.06264059137292</c:v>
                </c:pt>
                <c:pt idx="7">
                  <c:v>1.0439908392488799</c:v>
                </c:pt>
                <c:pt idx="8">
                  <c:v>1.0616854200598</c:v>
                </c:pt>
                <c:pt idx="9">
                  <c:v>1.06451965076259</c:v>
                </c:pt>
                <c:pt idx="10">
                  <c:v>1.05618198696056</c:v>
                </c:pt>
                <c:pt idx="11">
                  <c:v>1.05209947174591</c:v>
                </c:pt>
                <c:pt idx="12">
                  <c:v>1.0512593012268301</c:v>
                </c:pt>
                <c:pt idx="13">
                  <c:v>1.0524218777859899</c:v>
                </c:pt>
                <c:pt idx="14">
                  <c:v>1.05019658211925</c:v>
                </c:pt>
                <c:pt idx="15">
                  <c:v>1.05163979835595</c:v>
                </c:pt>
                <c:pt idx="16">
                  <c:v>1.0561493995176101</c:v>
                </c:pt>
                <c:pt idx="17">
                  <c:v>1.0563930616320001</c:v>
                </c:pt>
                <c:pt idx="18">
                  <c:v>1.0565144462159499</c:v>
                </c:pt>
                <c:pt idx="19">
                  <c:v>1.0570558621138699</c:v>
                </c:pt>
                <c:pt idx="20">
                  <c:v>1.0596916669191001</c:v>
                </c:pt>
                <c:pt idx="21">
                  <c:v>1.06152355482886</c:v>
                </c:pt>
                <c:pt idx="22">
                  <c:v>1.06341085910912</c:v>
                </c:pt>
                <c:pt idx="23">
                  <c:v>1.0664880903007801</c:v>
                </c:pt>
                <c:pt idx="24">
                  <c:v>1.0773497953184099</c:v>
                </c:pt>
                <c:pt idx="25">
                  <c:v>1.07733861460855</c:v>
                </c:pt>
                <c:pt idx="26">
                  <c:v>1.0749983306594</c:v>
                </c:pt>
                <c:pt idx="27">
                  <c:v>1.08117006526308</c:v>
                </c:pt>
                <c:pt idx="28">
                  <c:v>1.08370438990536</c:v>
                </c:pt>
                <c:pt idx="29">
                  <c:v>1.07585610528688</c:v>
                </c:pt>
                <c:pt idx="30">
                  <c:v>1.05876793076998</c:v>
                </c:pt>
                <c:pt idx="31">
                  <c:v>1.06309246539642</c:v>
                </c:pt>
                <c:pt idx="32">
                  <c:v>1.06053775227711</c:v>
                </c:pt>
                <c:pt idx="33">
                  <c:v>1.05630340232916</c:v>
                </c:pt>
                <c:pt idx="34">
                  <c:v>1.0539729837790599</c:v>
                </c:pt>
                <c:pt idx="35">
                  <c:v>1.06129046107164</c:v>
                </c:pt>
                <c:pt idx="36">
                  <c:v>1.0570412099600299</c:v>
                </c:pt>
                <c:pt idx="37">
                  <c:v>1.0538886629372199</c:v>
                </c:pt>
                <c:pt idx="38">
                  <c:v>1.0534605634523999</c:v>
                </c:pt>
                <c:pt idx="39">
                  <c:v>1.0531758430481499</c:v>
                </c:pt>
                <c:pt idx="40">
                  <c:v>1.0576382281479499</c:v>
                </c:pt>
                <c:pt idx="41">
                  <c:v>1.06222974094657</c:v>
                </c:pt>
                <c:pt idx="42">
                  <c:v>1.0704697964079399</c:v>
                </c:pt>
                <c:pt idx="43">
                  <c:v>1.0655970888857</c:v>
                </c:pt>
                <c:pt idx="44">
                  <c:v>1.07234318169218</c:v>
                </c:pt>
                <c:pt idx="45">
                  <c:v>1.0644084589037699</c:v>
                </c:pt>
                <c:pt idx="46">
                  <c:v>1.0792142347068201</c:v>
                </c:pt>
                <c:pt idx="47">
                  <c:v>1.09374450524184</c:v>
                </c:pt>
                <c:pt idx="48">
                  <c:v>1.09182378998675</c:v>
                </c:pt>
                <c:pt idx="49">
                  <c:v>1.0924089840914699</c:v>
                </c:pt>
                <c:pt idx="50">
                  <c:v>1.0790988214136801</c:v>
                </c:pt>
                <c:pt idx="51">
                  <c:v>1.0771074847487201</c:v>
                </c:pt>
                <c:pt idx="52">
                  <c:v>1.0828044958317999</c:v>
                </c:pt>
              </c:numCache>
            </c:numRef>
          </c:val>
          <c:smooth val="0"/>
          <c:extLst>
            <c:ext xmlns:c16="http://schemas.microsoft.com/office/drawing/2014/chart" uri="{C3380CC4-5D6E-409C-BE32-E72D297353CC}">
              <c16:uniqueId val="{00000002-290C-47FB-8FFB-AAF8B0CCEF5F}"/>
            </c:ext>
          </c:extLst>
        </c:ser>
        <c:ser>
          <c:idx val="3"/>
          <c:order val="3"/>
          <c:tx>
            <c:strRef>
              <c:f>各策略指数走势_按机构!$E$1</c:f>
              <c:strCache>
                <c:ptCount val="1"/>
                <c:pt idx="0">
                  <c:v>股票多头策略</c:v>
                </c:pt>
              </c:strCache>
            </c:strRef>
          </c:tx>
          <c:spPr>
            <a:ln w="28575" cap="rnd">
              <a:solidFill>
                <a:schemeClr val="accent4"/>
              </a:solidFill>
              <a:round/>
            </a:ln>
            <a:effectLst/>
          </c:spPr>
          <c:marker>
            <c:symbol val="none"/>
          </c:marker>
          <c:cat>
            <c:numRef>
              <c:f>各策略指数走势_按机构!$A$2:$A$54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各策略指数走势_按机构!$E$2:$E$54</c:f>
              <c:numCache>
                <c:formatCode>General</c:formatCode>
                <c:ptCount val="53"/>
                <c:pt idx="0">
                  <c:v>1</c:v>
                </c:pt>
                <c:pt idx="1">
                  <c:v>1.00403269007542</c:v>
                </c:pt>
                <c:pt idx="2">
                  <c:v>1.00814693966306</c:v>
                </c:pt>
                <c:pt idx="3">
                  <c:v>1.0096791855440901</c:v>
                </c:pt>
                <c:pt idx="4">
                  <c:v>1.0103168865746699</c:v>
                </c:pt>
                <c:pt idx="5">
                  <c:v>1.0112637417944801</c:v>
                </c:pt>
                <c:pt idx="6">
                  <c:v>1.0190264035523899</c:v>
                </c:pt>
                <c:pt idx="7">
                  <c:v>1.01907772919907</c:v>
                </c:pt>
                <c:pt idx="8">
                  <c:v>1.02760127169644</c:v>
                </c:pt>
                <c:pt idx="9">
                  <c:v>1.0193005462398499</c:v>
                </c:pt>
                <c:pt idx="10">
                  <c:v>1.0183071624869</c:v>
                </c:pt>
                <c:pt idx="11">
                  <c:v>1.0025999066325799</c:v>
                </c:pt>
                <c:pt idx="12">
                  <c:v>0.99973904814195202</c:v>
                </c:pt>
                <c:pt idx="13">
                  <c:v>0.99954542356244902</c:v>
                </c:pt>
                <c:pt idx="14">
                  <c:v>1.00308715495802</c:v>
                </c:pt>
                <c:pt idx="15">
                  <c:v>0.995906914881726</c:v>
                </c:pt>
                <c:pt idx="16">
                  <c:v>0.99426375785501397</c:v>
                </c:pt>
                <c:pt idx="17">
                  <c:v>0.99834924174689099</c:v>
                </c:pt>
                <c:pt idx="18">
                  <c:v>0.998821904744568</c:v>
                </c:pt>
                <c:pt idx="19">
                  <c:v>1.0018143532381401</c:v>
                </c:pt>
                <c:pt idx="20">
                  <c:v>1.00536567255966</c:v>
                </c:pt>
                <c:pt idx="21">
                  <c:v>1.0159692502740501</c:v>
                </c:pt>
                <c:pt idx="22">
                  <c:v>1.0129157052233899</c:v>
                </c:pt>
                <c:pt idx="23">
                  <c:v>1.0148874664999501</c:v>
                </c:pt>
                <c:pt idx="24">
                  <c:v>1.0196730725174401</c:v>
                </c:pt>
                <c:pt idx="25">
                  <c:v>1.0289702077229701</c:v>
                </c:pt>
                <c:pt idx="26">
                  <c:v>1.018595731737</c:v>
                </c:pt>
                <c:pt idx="27">
                  <c:v>1.0277535632100601</c:v>
                </c:pt>
                <c:pt idx="28">
                  <c:v>1.02046787288317</c:v>
                </c:pt>
                <c:pt idx="29">
                  <c:v>1.0119267174339499</c:v>
                </c:pt>
                <c:pt idx="30">
                  <c:v>1.0083804045202001</c:v>
                </c:pt>
                <c:pt idx="31">
                  <c:v>1.0022320071005599</c:v>
                </c:pt>
                <c:pt idx="32">
                  <c:v>0.99651431764465703</c:v>
                </c:pt>
                <c:pt idx="33">
                  <c:v>0.99833462317044996</c:v>
                </c:pt>
                <c:pt idx="34">
                  <c:v>0.99453242641394202</c:v>
                </c:pt>
                <c:pt idx="35">
                  <c:v>0.99229244565605101</c:v>
                </c:pt>
                <c:pt idx="36">
                  <c:v>1.00044270924626</c:v>
                </c:pt>
                <c:pt idx="37">
                  <c:v>1.00303022846264</c:v>
                </c:pt>
                <c:pt idx="38">
                  <c:v>1.0092186083844501</c:v>
                </c:pt>
                <c:pt idx="39">
                  <c:v>1.01433098079503</c:v>
                </c:pt>
                <c:pt idx="40">
                  <c:v>1.0183015100728601</c:v>
                </c:pt>
                <c:pt idx="41">
                  <c:v>1.01458849533294</c:v>
                </c:pt>
                <c:pt idx="42">
                  <c:v>1.0149299808749099</c:v>
                </c:pt>
                <c:pt idx="43">
                  <c:v>1.0169672265465799</c:v>
                </c:pt>
                <c:pt idx="44">
                  <c:v>1.0162624711088599</c:v>
                </c:pt>
                <c:pt idx="45">
                  <c:v>1.0122804094345801</c:v>
                </c:pt>
                <c:pt idx="46">
                  <c:v>1.0240584425258401</c:v>
                </c:pt>
                <c:pt idx="47">
                  <c:v>1.02890454139247</c:v>
                </c:pt>
                <c:pt idx="48">
                  <c:v>1.0442989815313899</c:v>
                </c:pt>
                <c:pt idx="49">
                  <c:v>1.05009111012183</c:v>
                </c:pt>
                <c:pt idx="50">
                  <c:v>1.05129145709141</c:v>
                </c:pt>
                <c:pt idx="51">
                  <c:v>1.0500458110698501</c:v>
                </c:pt>
                <c:pt idx="52">
                  <c:v>1.0497285335597899</c:v>
                </c:pt>
              </c:numCache>
            </c:numRef>
          </c:val>
          <c:smooth val="0"/>
          <c:extLst>
            <c:ext xmlns:c16="http://schemas.microsoft.com/office/drawing/2014/chart" uri="{C3380CC4-5D6E-409C-BE32-E72D297353CC}">
              <c16:uniqueId val="{00000003-290C-47FB-8FFB-AAF8B0CCEF5F}"/>
            </c:ext>
          </c:extLst>
        </c:ser>
        <c:ser>
          <c:idx val="4"/>
          <c:order val="4"/>
          <c:tx>
            <c:strRef>
              <c:f>各策略指数走势_按机构!$F$1</c:f>
              <c:strCache>
                <c:ptCount val="1"/>
                <c:pt idx="0">
                  <c:v>阿尔法策略</c:v>
                </c:pt>
              </c:strCache>
            </c:strRef>
          </c:tx>
          <c:spPr>
            <a:ln w="28575" cap="rnd">
              <a:solidFill>
                <a:schemeClr val="accent5"/>
              </a:solidFill>
              <a:round/>
            </a:ln>
            <a:effectLst/>
          </c:spPr>
          <c:marker>
            <c:symbol val="none"/>
          </c:marker>
          <c:cat>
            <c:numRef>
              <c:f>各策略指数走势_按机构!$A$2:$A$54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各策略指数走势_按机构!$F$2:$F$54</c:f>
              <c:numCache>
                <c:formatCode>General</c:formatCode>
                <c:ptCount val="53"/>
                <c:pt idx="0">
                  <c:v>1</c:v>
                </c:pt>
                <c:pt idx="2">
                  <c:v>1.0037360315316901</c:v>
                </c:pt>
                <c:pt idx="3">
                  <c:v>1.00303385506446</c:v>
                </c:pt>
                <c:pt idx="4">
                  <c:v>1.0039960039960001</c:v>
                </c:pt>
                <c:pt idx="5">
                  <c:v>1.0076101298767599</c:v>
                </c:pt>
                <c:pt idx="6">
                  <c:v>1.0098555750507701</c:v>
                </c:pt>
                <c:pt idx="7">
                  <c:v>1.0109890109890101</c:v>
                </c:pt>
                <c:pt idx="8">
                  <c:v>1.0099900099900101</c:v>
                </c:pt>
                <c:pt idx="9">
                  <c:v>1.00339755715062</c:v>
                </c:pt>
                <c:pt idx="10">
                  <c:v>1.00516222084771</c:v>
                </c:pt>
                <c:pt idx="11">
                  <c:v>1.0002535516223601</c:v>
                </c:pt>
                <c:pt idx="12">
                  <c:v>1.0005139982823199</c:v>
                </c:pt>
                <c:pt idx="13">
                  <c:v>1.0024722417413301</c:v>
                </c:pt>
                <c:pt idx="14">
                  <c:v>1.00274014280026</c:v>
                </c:pt>
                <c:pt idx="15">
                  <c:v>0.99765460269665696</c:v>
                </c:pt>
                <c:pt idx="16">
                  <c:v>0.995922789203463</c:v>
                </c:pt>
                <c:pt idx="17">
                  <c:v>0.99657794676806</c:v>
                </c:pt>
                <c:pt idx="18">
                  <c:v>0.99771863117870696</c:v>
                </c:pt>
                <c:pt idx="19">
                  <c:v>0.99885931558935304</c:v>
                </c:pt>
                <c:pt idx="20">
                  <c:v>1</c:v>
                </c:pt>
                <c:pt idx="21">
                  <c:v>1.0043880789717301</c:v>
                </c:pt>
                <c:pt idx="22">
                  <c:v>1.0001464986815101</c:v>
                </c:pt>
                <c:pt idx="23">
                  <c:v>1.0018463091392</c:v>
                </c:pt>
                <c:pt idx="24">
                  <c:v>1.0003333270110299</c:v>
                </c:pt>
                <c:pt idx="25">
                  <c:v>1.0023337159949699</c:v>
                </c:pt>
                <c:pt idx="26">
                  <c:v>0.99669873608753001</c:v>
                </c:pt>
                <c:pt idx="27">
                  <c:v>0.99941400527395197</c:v>
                </c:pt>
                <c:pt idx="28">
                  <c:v>0.99900099900099903</c:v>
                </c:pt>
                <c:pt idx="29">
                  <c:v>1.0009071906622899</c:v>
                </c:pt>
                <c:pt idx="30">
                  <c:v>1.0019980019979999</c:v>
                </c:pt>
                <c:pt idx="31">
                  <c:v>0.99012728165330099</c:v>
                </c:pt>
                <c:pt idx="32">
                  <c:v>0.980089478652026</c:v>
                </c:pt>
                <c:pt idx="33">
                  <c:v>0.98427178160838602</c:v>
                </c:pt>
                <c:pt idx="34">
                  <c:v>0.97909655919424099</c:v>
                </c:pt>
                <c:pt idx="35">
                  <c:v>0.98081901553141104</c:v>
                </c:pt>
                <c:pt idx="36">
                  <c:v>0.991982644784002</c:v>
                </c:pt>
                <c:pt idx="37">
                  <c:v>0.99405772495755396</c:v>
                </c:pt>
                <c:pt idx="38">
                  <c:v>0.99587250630589297</c:v>
                </c:pt>
                <c:pt idx="39">
                  <c:v>0.99587250630589297</c:v>
                </c:pt>
                <c:pt idx="40">
                  <c:v>0.99791393132306705</c:v>
                </c:pt>
                <c:pt idx="41">
                  <c:v>0.99892990904226797</c:v>
                </c:pt>
                <c:pt idx="42">
                  <c:v>0.99587250630589297</c:v>
                </c:pt>
                <c:pt idx="43">
                  <c:v>0.998165558358175</c:v>
                </c:pt>
                <c:pt idx="44">
                  <c:v>0.99587250630589297</c:v>
                </c:pt>
                <c:pt idx="45">
                  <c:v>0.99663685698998705</c:v>
                </c:pt>
                <c:pt idx="46">
                  <c:v>0.99740120767408003</c:v>
                </c:pt>
                <c:pt idx="47">
                  <c:v>0.999030947860994</c:v>
                </c:pt>
                <c:pt idx="48">
                  <c:v>1.00122296109455</c:v>
                </c:pt>
                <c:pt idx="49">
                  <c:v>1.0042803638309199</c:v>
                </c:pt>
                <c:pt idx="50">
                  <c:v>1.00549370055669</c:v>
                </c:pt>
                <c:pt idx="51">
                  <c:v>1.0042803638309199</c:v>
                </c:pt>
                <c:pt idx="52">
                  <c:v>1.0042803638309199</c:v>
                </c:pt>
              </c:numCache>
            </c:numRef>
          </c:val>
          <c:smooth val="0"/>
          <c:extLst>
            <c:ext xmlns:c16="http://schemas.microsoft.com/office/drawing/2014/chart" uri="{C3380CC4-5D6E-409C-BE32-E72D297353CC}">
              <c16:uniqueId val="{00000004-290C-47FB-8FFB-AAF8B0CCEF5F}"/>
            </c:ext>
          </c:extLst>
        </c:ser>
        <c:dLbls>
          <c:showLegendKey val="0"/>
          <c:showVal val="0"/>
          <c:showCatName val="0"/>
          <c:showSerName val="0"/>
          <c:showPercent val="0"/>
          <c:showBubbleSize val="0"/>
        </c:dLbls>
        <c:smooth val="0"/>
        <c:axId val="1775523200"/>
        <c:axId val="1778813968"/>
      </c:lineChart>
      <c:dateAx>
        <c:axId val="177552320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8813968"/>
        <c:crosses val="autoZero"/>
        <c:auto val="1"/>
        <c:lblOffset val="100"/>
        <c:baseTimeUnit val="days"/>
      </c:dateAx>
      <c:valAx>
        <c:axId val="177881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5523200"/>
        <c:crosses val="autoZero"/>
        <c:crossBetween val="between"/>
      </c:valAx>
      <c:spPr>
        <a:noFill/>
        <a:ln>
          <a:noFill/>
        </a:ln>
        <a:effectLst/>
      </c:spPr>
    </c:plotArea>
    <c:legend>
      <c:legendPos val="b"/>
      <c:layout>
        <c:manualLayout>
          <c:xMode val="edge"/>
          <c:yMode val="edge"/>
          <c:x val="0.81866492652106337"/>
          <c:y val="0.2069619956575392"/>
          <c:w val="0.17871078335882348"/>
          <c:h val="0.5069150144127886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100" b="0"/>
              <a:t>股票多头策略业绩表现</a:t>
            </a:r>
            <a:endParaRPr lang="en-US" altLang="zh-CN" sz="1100" b="0"/>
          </a:p>
        </c:rich>
      </c:tx>
      <c:overlay val="0"/>
    </c:title>
    <c:autoTitleDeleted val="0"/>
    <c:plotArea>
      <c:layout>
        <c:manualLayout>
          <c:layoutTarget val="inner"/>
          <c:xMode val="edge"/>
          <c:yMode val="edge"/>
          <c:x val="9.6909942024479362E-2"/>
          <c:y val="0.12916666666666665"/>
          <c:w val="0.66712650700442844"/>
          <c:h val="0.61886410032079331"/>
        </c:manualLayout>
      </c:layout>
      <c:lineChart>
        <c:grouping val="standard"/>
        <c:varyColors val="0"/>
        <c:ser>
          <c:idx val="0"/>
          <c:order val="0"/>
          <c:tx>
            <c:strRef>
              <c:f>股票多头策略_每周idx_分位图!$B$1</c:f>
              <c:strCache>
                <c:ptCount val="1"/>
                <c:pt idx="0">
                  <c:v>10%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股票多头策略_每周idx_分位图!$B$2:$B$54</c:f>
              <c:numCache>
                <c:formatCode>General</c:formatCode>
                <c:ptCount val="53"/>
                <c:pt idx="0">
                  <c:v>1</c:v>
                </c:pt>
                <c:pt idx="1">
                  <c:v>0.9988190503357951</c:v>
                </c:pt>
                <c:pt idx="2">
                  <c:v>0.99734641340819619</c:v>
                </c:pt>
                <c:pt idx="3">
                  <c:v>0.99645177524713291</c:v>
                </c:pt>
                <c:pt idx="4">
                  <c:v>0.99374195706661617</c:v>
                </c:pt>
                <c:pt idx="5">
                  <c:v>0.9903502394669389</c:v>
                </c:pt>
                <c:pt idx="6">
                  <c:v>0.99527918576919094</c:v>
                </c:pt>
                <c:pt idx="7">
                  <c:v>0.99167124732587619</c:v>
                </c:pt>
                <c:pt idx="8">
                  <c:v>0.99236687451650096</c:v>
                </c:pt>
                <c:pt idx="9">
                  <c:v>0.98024056664633197</c:v>
                </c:pt>
                <c:pt idx="10">
                  <c:v>0.97864516175335703</c:v>
                </c:pt>
                <c:pt idx="11">
                  <c:v>0.95121549033711095</c:v>
                </c:pt>
                <c:pt idx="12">
                  <c:v>0.94682081119647821</c:v>
                </c:pt>
                <c:pt idx="13">
                  <c:v>0.943919549258321</c:v>
                </c:pt>
                <c:pt idx="14">
                  <c:v>0.94972610551263792</c:v>
                </c:pt>
                <c:pt idx="15">
                  <c:v>0.93041789458095492</c:v>
                </c:pt>
                <c:pt idx="16">
                  <c:v>0.91973544245087624</c:v>
                </c:pt>
                <c:pt idx="17">
                  <c:v>0.92257512175764178</c:v>
                </c:pt>
                <c:pt idx="18">
                  <c:v>0.92406256104515583</c:v>
                </c:pt>
                <c:pt idx="19">
                  <c:v>0.92741477988659293</c:v>
                </c:pt>
                <c:pt idx="20">
                  <c:v>0.92881135911453805</c:v>
                </c:pt>
                <c:pt idx="21">
                  <c:v>0.9394772159698781</c:v>
                </c:pt>
                <c:pt idx="22">
                  <c:v>0.93835800042661999</c:v>
                </c:pt>
                <c:pt idx="23">
                  <c:v>0.93490924065054015</c:v>
                </c:pt>
                <c:pt idx="24">
                  <c:v>0.9405348450920259</c:v>
                </c:pt>
                <c:pt idx="25">
                  <c:v>0.94372447387605707</c:v>
                </c:pt>
                <c:pt idx="26">
                  <c:v>0.92408177885327802</c:v>
                </c:pt>
                <c:pt idx="27">
                  <c:v>0.93421321578318595</c:v>
                </c:pt>
                <c:pt idx="28">
                  <c:v>0.92295549475277905</c:v>
                </c:pt>
                <c:pt idx="29">
                  <c:v>0.89549908006816803</c:v>
                </c:pt>
                <c:pt idx="30">
                  <c:v>0.88803827795193491</c:v>
                </c:pt>
                <c:pt idx="31">
                  <c:v>0.87447939100804295</c:v>
                </c:pt>
                <c:pt idx="32">
                  <c:v>0.85907872808562302</c:v>
                </c:pt>
                <c:pt idx="33">
                  <c:v>0.85494907004440723</c:v>
                </c:pt>
                <c:pt idx="34">
                  <c:v>0.84245705530113502</c:v>
                </c:pt>
                <c:pt idx="35">
                  <c:v>0.82808940830861111</c:v>
                </c:pt>
                <c:pt idx="36">
                  <c:v>0.84192836266306115</c:v>
                </c:pt>
                <c:pt idx="37">
                  <c:v>0.84991538288508495</c:v>
                </c:pt>
                <c:pt idx="38">
                  <c:v>0.84456390622890698</c:v>
                </c:pt>
                <c:pt idx="39">
                  <c:v>0.84122565827539819</c:v>
                </c:pt>
                <c:pt idx="40">
                  <c:v>0.84809370059434008</c:v>
                </c:pt>
                <c:pt idx="41">
                  <c:v>0.8427356103718342</c:v>
                </c:pt>
                <c:pt idx="42">
                  <c:v>0.83677321411382322</c:v>
                </c:pt>
                <c:pt idx="43">
                  <c:v>0.83751570420516397</c:v>
                </c:pt>
                <c:pt idx="44">
                  <c:v>0.832142131405053</c:v>
                </c:pt>
                <c:pt idx="45">
                  <c:v>0.83547439087366793</c:v>
                </c:pt>
                <c:pt idx="46">
                  <c:v>0.84961776450574999</c:v>
                </c:pt>
                <c:pt idx="47">
                  <c:v>0.85263552126908915</c:v>
                </c:pt>
                <c:pt idx="48">
                  <c:v>0.86454935305416614</c:v>
                </c:pt>
                <c:pt idx="49">
                  <c:v>0.86643591861263003</c:v>
                </c:pt>
                <c:pt idx="50">
                  <c:v>0.86599103350483031</c:v>
                </c:pt>
                <c:pt idx="51">
                  <c:v>0.86575935018848627</c:v>
                </c:pt>
                <c:pt idx="52">
                  <c:v>0.86454935305416614</c:v>
                </c:pt>
              </c:numCache>
            </c:numRef>
          </c:val>
          <c:smooth val="0"/>
          <c:extLst>
            <c:ext xmlns:c16="http://schemas.microsoft.com/office/drawing/2014/chart" uri="{C3380CC4-5D6E-409C-BE32-E72D297353CC}">
              <c16:uniqueId val="{00000000-AF75-4268-ADE1-B5007F11060E}"/>
            </c:ext>
          </c:extLst>
        </c:ser>
        <c:ser>
          <c:idx val="1"/>
          <c:order val="1"/>
          <c:tx>
            <c:strRef>
              <c:f>股票多头策略_每周idx_分位图!$C$1</c:f>
              <c:strCache>
                <c:ptCount val="1"/>
                <c:pt idx="0">
                  <c:v>25%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股票多头策略_每周idx_分位图!$C$2:$C$54</c:f>
              <c:numCache>
                <c:formatCode>General</c:formatCode>
                <c:ptCount val="53"/>
                <c:pt idx="0">
                  <c:v>1</c:v>
                </c:pt>
                <c:pt idx="1">
                  <c:v>1.0008897973269797</c:v>
                </c:pt>
                <c:pt idx="2">
                  <c:v>1.0018901167119798</c:v>
                </c:pt>
                <c:pt idx="3">
                  <c:v>1.0026132905632799</c:v>
                </c:pt>
                <c:pt idx="4">
                  <c:v>1.0018820301321498</c:v>
                </c:pt>
                <c:pt idx="5">
                  <c:v>1.0011675423233999</c:v>
                </c:pt>
                <c:pt idx="6">
                  <c:v>1.0050301810865101</c:v>
                </c:pt>
                <c:pt idx="7">
                  <c:v>1.0033751205400101</c:v>
                </c:pt>
                <c:pt idx="8">
                  <c:v>1.0064485311679001</c:v>
                </c:pt>
                <c:pt idx="9">
                  <c:v>1</c:v>
                </c:pt>
                <c:pt idx="10">
                  <c:v>0.99880681818181805</c:v>
                </c:pt>
                <c:pt idx="11">
                  <c:v>0.98230753094044487</c:v>
                </c:pt>
                <c:pt idx="12">
                  <c:v>0.97727372184100492</c:v>
                </c:pt>
                <c:pt idx="13">
                  <c:v>0.9763156492935231</c:v>
                </c:pt>
                <c:pt idx="14">
                  <c:v>0.98030266634638397</c:v>
                </c:pt>
                <c:pt idx="15">
                  <c:v>0.96876441897176302</c:v>
                </c:pt>
                <c:pt idx="16">
                  <c:v>0.96365207331192404</c:v>
                </c:pt>
                <c:pt idx="17">
                  <c:v>0.96631400517416399</c:v>
                </c:pt>
                <c:pt idx="18">
                  <c:v>0.96776841451671813</c:v>
                </c:pt>
                <c:pt idx="19">
                  <c:v>0.96991752036911905</c:v>
                </c:pt>
                <c:pt idx="20">
                  <c:v>0.97154903944069915</c:v>
                </c:pt>
                <c:pt idx="21">
                  <c:v>0.98103435419634688</c:v>
                </c:pt>
                <c:pt idx="22">
                  <c:v>0.97972483811964606</c:v>
                </c:pt>
                <c:pt idx="23">
                  <c:v>0.98019482497316501</c:v>
                </c:pt>
                <c:pt idx="24">
                  <c:v>0.98308668076109873</c:v>
                </c:pt>
                <c:pt idx="25">
                  <c:v>0.98646877662014198</c:v>
                </c:pt>
                <c:pt idx="26">
                  <c:v>0.97522655612057418</c:v>
                </c:pt>
                <c:pt idx="27">
                  <c:v>0.98324865278891405</c:v>
                </c:pt>
                <c:pt idx="28">
                  <c:v>0.97674418604651114</c:v>
                </c:pt>
                <c:pt idx="29">
                  <c:v>0.96056968421854405</c:v>
                </c:pt>
                <c:pt idx="30">
                  <c:v>0.95522388059701402</c:v>
                </c:pt>
                <c:pt idx="31">
                  <c:v>0.9453691496374419</c:v>
                </c:pt>
                <c:pt idx="32">
                  <c:v>0.93331999330628601</c:v>
                </c:pt>
                <c:pt idx="33">
                  <c:v>0.935499999999999</c:v>
                </c:pt>
                <c:pt idx="34">
                  <c:v>0.92847959527097401</c:v>
                </c:pt>
                <c:pt idx="35">
                  <c:v>0.92222222222222194</c:v>
                </c:pt>
                <c:pt idx="36">
                  <c:v>0.92928138363346302</c:v>
                </c:pt>
                <c:pt idx="37">
                  <c:v>0.93273542600896908</c:v>
                </c:pt>
                <c:pt idx="38">
                  <c:v>0.93340315244069805</c:v>
                </c:pt>
                <c:pt idx="39">
                  <c:v>0.93646369711161792</c:v>
                </c:pt>
                <c:pt idx="40">
                  <c:v>0.94055918125185389</c:v>
                </c:pt>
                <c:pt idx="41">
                  <c:v>0.93361884368308323</c:v>
                </c:pt>
                <c:pt idx="42">
                  <c:v>0.93230254619845598</c:v>
                </c:pt>
                <c:pt idx="43">
                  <c:v>0.93468118195956396</c:v>
                </c:pt>
                <c:pt idx="44">
                  <c:v>0.93763303182267499</c:v>
                </c:pt>
                <c:pt idx="45">
                  <c:v>0.93287932995464584</c:v>
                </c:pt>
                <c:pt idx="46">
                  <c:v>0.94303288916374683</c:v>
                </c:pt>
                <c:pt idx="47">
                  <c:v>0.94780973270898317</c:v>
                </c:pt>
                <c:pt idx="48">
                  <c:v>0.95405220892072984</c:v>
                </c:pt>
                <c:pt idx="49">
                  <c:v>0.9558251066058282</c:v>
                </c:pt>
                <c:pt idx="50">
                  <c:v>0.95831976554868104</c:v>
                </c:pt>
                <c:pt idx="51">
                  <c:v>0.95657280834917213</c:v>
                </c:pt>
                <c:pt idx="52">
                  <c:v>0.95555333599680292</c:v>
                </c:pt>
              </c:numCache>
            </c:numRef>
          </c:val>
          <c:smooth val="0"/>
          <c:extLst>
            <c:ext xmlns:c16="http://schemas.microsoft.com/office/drawing/2014/chart" uri="{C3380CC4-5D6E-409C-BE32-E72D297353CC}">
              <c16:uniqueId val="{00000001-AF75-4268-ADE1-B5007F11060E}"/>
            </c:ext>
          </c:extLst>
        </c:ser>
        <c:ser>
          <c:idx val="2"/>
          <c:order val="2"/>
          <c:tx>
            <c:strRef>
              <c:f>股票多头策略_每周idx_分位图!$D$1</c:f>
              <c:strCache>
                <c:ptCount val="1"/>
                <c:pt idx="0">
                  <c:v>40%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股票多头策略_每周idx_分位图!$D$2:$D$54</c:f>
              <c:numCache>
                <c:formatCode>General</c:formatCode>
                <c:ptCount val="53"/>
                <c:pt idx="0">
                  <c:v>1</c:v>
                </c:pt>
                <c:pt idx="1">
                  <c:v>1.00290870250673</c:v>
                </c:pt>
                <c:pt idx="2">
                  <c:v>1.0058952009255997</c:v>
                </c:pt>
                <c:pt idx="3">
                  <c:v>1.00718608407854</c:v>
                </c:pt>
                <c:pt idx="4">
                  <c:v>1.0071210480317099</c:v>
                </c:pt>
                <c:pt idx="5">
                  <c:v>1.00780322069624</c:v>
                </c:pt>
                <c:pt idx="6">
                  <c:v>1.01430759043847</c:v>
                </c:pt>
                <c:pt idx="7">
                  <c:v>1.0139362667154197</c:v>
                </c:pt>
                <c:pt idx="8">
                  <c:v>1.0187088350803399</c:v>
                </c:pt>
                <c:pt idx="9">
                  <c:v>1.0109294152283896</c:v>
                </c:pt>
                <c:pt idx="10">
                  <c:v>1.0097801457833799</c:v>
                </c:pt>
                <c:pt idx="11">
                  <c:v>0.99705928077889405</c:v>
                </c:pt>
                <c:pt idx="12">
                  <c:v>0.99252530490575286</c:v>
                </c:pt>
                <c:pt idx="13">
                  <c:v>0.99328023804881804</c:v>
                </c:pt>
                <c:pt idx="14">
                  <c:v>0.99640285618857616</c:v>
                </c:pt>
                <c:pt idx="15">
                  <c:v>0.98745925144333202</c:v>
                </c:pt>
                <c:pt idx="16">
                  <c:v>0.9849512917602119</c:v>
                </c:pt>
                <c:pt idx="17">
                  <c:v>0.98723344870385688</c:v>
                </c:pt>
                <c:pt idx="18">
                  <c:v>0.98906026277320591</c:v>
                </c:pt>
                <c:pt idx="19">
                  <c:v>0.99287975023319419</c:v>
                </c:pt>
                <c:pt idx="20">
                  <c:v>0.99591261451726487</c:v>
                </c:pt>
                <c:pt idx="21">
                  <c:v>1.0035486981787898</c:v>
                </c:pt>
                <c:pt idx="22">
                  <c:v>1.00385514291891</c:v>
                </c:pt>
                <c:pt idx="23">
                  <c:v>1.00481626431667</c:v>
                </c:pt>
                <c:pt idx="24">
                  <c:v>1.0070044677381298</c:v>
                </c:pt>
                <c:pt idx="25">
                  <c:v>1.0109030030830499</c:v>
                </c:pt>
                <c:pt idx="26">
                  <c:v>1.0024357193392799</c:v>
                </c:pt>
                <c:pt idx="27">
                  <c:v>1.0070770840582901</c:v>
                </c:pt>
                <c:pt idx="28">
                  <c:v>1.0032635307498099</c:v>
                </c:pt>
                <c:pt idx="29">
                  <c:v>0.99322361034057116</c:v>
                </c:pt>
                <c:pt idx="30">
                  <c:v>0.98841822452804984</c:v>
                </c:pt>
                <c:pt idx="31">
                  <c:v>0.98356656689821675</c:v>
                </c:pt>
                <c:pt idx="32">
                  <c:v>0.97132150993547495</c:v>
                </c:pt>
                <c:pt idx="33">
                  <c:v>0.97460439768341922</c:v>
                </c:pt>
                <c:pt idx="34">
                  <c:v>0.96971744128361903</c:v>
                </c:pt>
                <c:pt idx="35">
                  <c:v>0.96544668827909308</c:v>
                </c:pt>
                <c:pt idx="36">
                  <c:v>0.97645542503967109</c:v>
                </c:pt>
                <c:pt idx="37">
                  <c:v>0.97716846048036199</c:v>
                </c:pt>
                <c:pt idx="38">
                  <c:v>0.97975741258596016</c:v>
                </c:pt>
                <c:pt idx="39">
                  <c:v>0.98478918121578984</c:v>
                </c:pt>
                <c:pt idx="40">
                  <c:v>0.98729420553450808</c:v>
                </c:pt>
                <c:pt idx="41">
                  <c:v>0.98595614694099387</c:v>
                </c:pt>
                <c:pt idx="42">
                  <c:v>0.98561766013028496</c:v>
                </c:pt>
                <c:pt idx="43">
                  <c:v>0.98690999639497412</c:v>
                </c:pt>
                <c:pt idx="44">
                  <c:v>0.98937580192603192</c:v>
                </c:pt>
                <c:pt idx="45">
                  <c:v>0.98381054640897103</c:v>
                </c:pt>
                <c:pt idx="46">
                  <c:v>0.99483766565379295</c:v>
                </c:pt>
                <c:pt idx="47">
                  <c:v>0.99830389861882007</c:v>
                </c:pt>
                <c:pt idx="48">
                  <c:v>1.0060221254027102</c:v>
                </c:pt>
                <c:pt idx="49">
                  <c:v>1.0077196942073197</c:v>
                </c:pt>
                <c:pt idx="50">
                  <c:v>1.01017432541387</c:v>
                </c:pt>
                <c:pt idx="51">
                  <c:v>1.0077002881689396</c:v>
                </c:pt>
                <c:pt idx="52">
                  <c:v>1.0074055144652301</c:v>
                </c:pt>
              </c:numCache>
            </c:numRef>
          </c:val>
          <c:smooth val="0"/>
          <c:extLst>
            <c:ext xmlns:c16="http://schemas.microsoft.com/office/drawing/2014/chart" uri="{C3380CC4-5D6E-409C-BE32-E72D297353CC}">
              <c16:uniqueId val="{00000002-AF75-4268-ADE1-B5007F11060E}"/>
            </c:ext>
          </c:extLst>
        </c:ser>
        <c:ser>
          <c:idx val="3"/>
          <c:order val="3"/>
          <c:tx>
            <c:strRef>
              <c:f>股票多头策略_每周idx_分位图!$E$1</c:f>
              <c:strCache>
                <c:ptCount val="1"/>
                <c:pt idx="0">
                  <c:v>50%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股票多头策略_每周idx_分位图!$E$2:$E$54</c:f>
              <c:numCache>
                <c:formatCode>General</c:formatCode>
                <c:ptCount val="53"/>
                <c:pt idx="0">
                  <c:v>1</c:v>
                </c:pt>
                <c:pt idx="1">
                  <c:v>1.0040169362718403</c:v>
                </c:pt>
                <c:pt idx="2">
                  <c:v>1.00812589194699</c:v>
                </c:pt>
                <c:pt idx="3">
                  <c:v>1.00980019696373</c:v>
                </c:pt>
                <c:pt idx="4">
                  <c:v>1.0108230685976298</c:v>
                </c:pt>
                <c:pt idx="5">
                  <c:v>1.0118327013945199</c:v>
                </c:pt>
                <c:pt idx="6">
                  <c:v>1.0201048016254899</c:v>
                </c:pt>
                <c:pt idx="7">
                  <c:v>1.02029147412699</c:v>
                </c:pt>
                <c:pt idx="8">
                  <c:v>1.0273134192016</c:v>
                </c:pt>
                <c:pt idx="9">
                  <c:v>1.01881485791872</c:v>
                </c:pt>
                <c:pt idx="10">
                  <c:v>1.0182767624020799</c:v>
                </c:pt>
                <c:pt idx="11">
                  <c:v>1.0039960039959999</c:v>
                </c:pt>
                <c:pt idx="12">
                  <c:v>1.0007438038826399</c:v>
                </c:pt>
                <c:pt idx="13">
                  <c:v>1.0003</c:v>
                </c:pt>
                <c:pt idx="14">
                  <c:v>1.0037560688717002</c:v>
                </c:pt>
                <c:pt idx="15">
                  <c:v>0.99789645903938207</c:v>
                </c:pt>
                <c:pt idx="16">
                  <c:v>0.99614013735019613</c:v>
                </c:pt>
                <c:pt idx="17">
                  <c:v>0.99940130721410103</c:v>
                </c:pt>
                <c:pt idx="18">
                  <c:v>1</c:v>
                </c:pt>
                <c:pt idx="19">
                  <c:v>1.00212207732078</c:v>
                </c:pt>
                <c:pt idx="20">
                  <c:v>1.00650182248054</c:v>
                </c:pt>
                <c:pt idx="21">
                  <c:v>1.01564616053364</c:v>
                </c:pt>
                <c:pt idx="22">
                  <c:v>1.01379786133149</c:v>
                </c:pt>
                <c:pt idx="23">
                  <c:v>1.0154303448878699</c:v>
                </c:pt>
                <c:pt idx="24">
                  <c:v>1.0199999719899897</c:v>
                </c:pt>
                <c:pt idx="25">
                  <c:v>1.0262077970527799</c:v>
                </c:pt>
                <c:pt idx="26">
                  <c:v>1.01667537898588</c:v>
                </c:pt>
                <c:pt idx="27">
                  <c:v>1.0242526315789402</c:v>
                </c:pt>
                <c:pt idx="28">
                  <c:v>1.0185455994671699</c:v>
                </c:pt>
                <c:pt idx="29">
                  <c:v>1.0116059249808302</c:v>
                </c:pt>
                <c:pt idx="30">
                  <c:v>1.0057978879939398</c:v>
                </c:pt>
                <c:pt idx="31">
                  <c:v>1.0007360382739898</c:v>
                </c:pt>
                <c:pt idx="32">
                  <c:v>0.99349030987921583</c:v>
                </c:pt>
                <c:pt idx="33">
                  <c:v>0.99565368188675984</c:v>
                </c:pt>
                <c:pt idx="34">
                  <c:v>0.99208916103950284</c:v>
                </c:pt>
                <c:pt idx="35">
                  <c:v>0.98798248294123481</c:v>
                </c:pt>
                <c:pt idx="36">
                  <c:v>0.99826238053866179</c:v>
                </c:pt>
                <c:pt idx="37">
                  <c:v>1</c:v>
                </c:pt>
                <c:pt idx="38">
                  <c:v>1.0037764350453098</c:v>
                </c:pt>
                <c:pt idx="39">
                  <c:v>1.0089347675225497</c:v>
                </c:pt>
                <c:pt idx="40">
                  <c:v>1.0123319218483002</c:v>
                </c:pt>
                <c:pt idx="41">
                  <c:v>1.0109999999999897</c:v>
                </c:pt>
                <c:pt idx="42">
                  <c:v>1.0110315789473598</c:v>
                </c:pt>
                <c:pt idx="43">
                  <c:v>1.0146579571838501</c:v>
                </c:pt>
                <c:pt idx="44">
                  <c:v>1.0143646408839697</c:v>
                </c:pt>
                <c:pt idx="45">
                  <c:v>1.0110231850395197</c:v>
                </c:pt>
                <c:pt idx="46">
                  <c:v>1.02140377940609</c:v>
                </c:pt>
                <c:pt idx="47">
                  <c:v>1.0259174787476599</c:v>
                </c:pt>
                <c:pt idx="48">
                  <c:v>1.0367454647921901</c:v>
                </c:pt>
                <c:pt idx="49">
                  <c:v>1.0382728164867503</c:v>
                </c:pt>
                <c:pt idx="50">
                  <c:v>1.0411437775903998</c:v>
                </c:pt>
                <c:pt idx="51">
                  <c:v>1.0414026779881498</c:v>
                </c:pt>
                <c:pt idx="52">
                  <c:v>1.04151282779513</c:v>
                </c:pt>
              </c:numCache>
            </c:numRef>
          </c:val>
          <c:smooth val="0"/>
          <c:extLst>
            <c:ext xmlns:c16="http://schemas.microsoft.com/office/drawing/2014/chart" uri="{C3380CC4-5D6E-409C-BE32-E72D297353CC}">
              <c16:uniqueId val="{00000003-AF75-4268-ADE1-B5007F11060E}"/>
            </c:ext>
          </c:extLst>
        </c:ser>
        <c:ser>
          <c:idx val="4"/>
          <c:order val="4"/>
          <c:tx>
            <c:strRef>
              <c:f>股票多头策略_每周idx_分位图!$F$1</c:f>
              <c:strCache>
                <c:ptCount val="1"/>
                <c:pt idx="0">
                  <c:v>60%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股票多头策略_每周idx_分位图!$F$2:$F$54</c:f>
              <c:numCache>
                <c:formatCode>General</c:formatCode>
                <c:ptCount val="53"/>
                <c:pt idx="0">
                  <c:v>1</c:v>
                </c:pt>
                <c:pt idx="1">
                  <c:v>1.00543849420628</c:v>
                </c:pt>
                <c:pt idx="2">
                  <c:v>1.0111152499437801</c:v>
                </c:pt>
                <c:pt idx="3">
                  <c:v>1.0133776320126997</c:v>
                </c:pt>
                <c:pt idx="4">
                  <c:v>1.0151832414484498</c:v>
                </c:pt>
                <c:pt idx="5">
                  <c:v>1.0175315486031498</c:v>
                </c:pt>
                <c:pt idx="6">
                  <c:v>1.0285289981118599</c:v>
                </c:pt>
                <c:pt idx="7">
                  <c:v>1.0282129341809403</c:v>
                </c:pt>
                <c:pt idx="8">
                  <c:v>1.0363556218953602</c:v>
                </c:pt>
                <c:pt idx="9">
                  <c:v>1.0272344437579897</c:v>
                </c:pt>
                <c:pt idx="10">
                  <c:v>1.0269889117435502</c:v>
                </c:pt>
                <c:pt idx="11">
                  <c:v>1.0127444503171197</c:v>
                </c:pt>
                <c:pt idx="12">
                  <c:v>1.0080697103088498</c:v>
                </c:pt>
                <c:pt idx="13">
                  <c:v>1.0088806376394097</c:v>
                </c:pt>
                <c:pt idx="14">
                  <c:v>1.0130668878641096</c:v>
                </c:pt>
                <c:pt idx="15">
                  <c:v>1.0063820268998702</c:v>
                </c:pt>
                <c:pt idx="16">
                  <c:v>1.0058034725275597</c:v>
                </c:pt>
                <c:pt idx="17">
                  <c:v>1.0082001821994098</c:v>
                </c:pt>
                <c:pt idx="18">
                  <c:v>1.0104938951018698</c:v>
                </c:pt>
                <c:pt idx="19">
                  <c:v>1.0134348316501898</c:v>
                </c:pt>
                <c:pt idx="20">
                  <c:v>1.0169000363660801</c:v>
                </c:pt>
                <c:pt idx="21">
                  <c:v>1.0276434341260101</c:v>
                </c:pt>
                <c:pt idx="22">
                  <c:v>1.0256398789472898</c:v>
                </c:pt>
                <c:pt idx="23">
                  <c:v>1.0299188052662001</c:v>
                </c:pt>
                <c:pt idx="24">
                  <c:v>1.03390136924622</c:v>
                </c:pt>
                <c:pt idx="25">
                  <c:v>1.0427012626649597</c:v>
                </c:pt>
                <c:pt idx="26">
                  <c:v>1.0324591835085302</c:v>
                </c:pt>
                <c:pt idx="27">
                  <c:v>1.0413030667798699</c:v>
                </c:pt>
                <c:pt idx="28">
                  <c:v>1.0354496842001997</c:v>
                </c:pt>
                <c:pt idx="29">
                  <c:v>1.0276184831639099</c:v>
                </c:pt>
                <c:pt idx="30">
                  <c:v>1.0243017898232301</c:v>
                </c:pt>
                <c:pt idx="31">
                  <c:v>1.01911974022871</c:v>
                </c:pt>
                <c:pt idx="32">
                  <c:v>1.0114154160365001</c:v>
                </c:pt>
                <c:pt idx="33">
                  <c:v>1.0143693922212198</c:v>
                </c:pt>
                <c:pt idx="34">
                  <c:v>1.0145502270699398</c:v>
                </c:pt>
                <c:pt idx="35">
                  <c:v>1.0118142016666898</c:v>
                </c:pt>
                <c:pt idx="36">
                  <c:v>1.0232195984598798</c:v>
                </c:pt>
                <c:pt idx="37">
                  <c:v>1.0257004660158699</c:v>
                </c:pt>
                <c:pt idx="38">
                  <c:v>1.0310677722089598</c:v>
                </c:pt>
                <c:pt idx="39">
                  <c:v>1.0394346888890196</c:v>
                </c:pt>
                <c:pt idx="40">
                  <c:v>1.0432494916724897</c:v>
                </c:pt>
                <c:pt idx="41">
                  <c:v>1.0394929421778498</c:v>
                </c:pt>
                <c:pt idx="42">
                  <c:v>1.0433147873417998</c:v>
                </c:pt>
                <c:pt idx="43">
                  <c:v>1.0454375902920099</c:v>
                </c:pt>
                <c:pt idx="44">
                  <c:v>1.0457492893988998</c:v>
                </c:pt>
                <c:pt idx="45">
                  <c:v>1.04209014589613</c:v>
                </c:pt>
                <c:pt idx="46">
                  <c:v>1.0526139314557001</c:v>
                </c:pt>
                <c:pt idx="47">
                  <c:v>1.05883580919728</c:v>
                </c:pt>
                <c:pt idx="48">
                  <c:v>1.0706998264501</c:v>
                </c:pt>
                <c:pt idx="49">
                  <c:v>1.0768077976434598</c:v>
                </c:pt>
                <c:pt idx="50">
                  <c:v>1.0785740269152402</c:v>
                </c:pt>
                <c:pt idx="51">
                  <c:v>1.07861650108239</c:v>
                </c:pt>
                <c:pt idx="52">
                  <c:v>1.07814571218578</c:v>
                </c:pt>
              </c:numCache>
            </c:numRef>
          </c:val>
          <c:smooth val="0"/>
          <c:extLst>
            <c:ext xmlns:c16="http://schemas.microsoft.com/office/drawing/2014/chart" uri="{C3380CC4-5D6E-409C-BE32-E72D297353CC}">
              <c16:uniqueId val="{00000004-AF75-4268-ADE1-B5007F11060E}"/>
            </c:ext>
          </c:extLst>
        </c:ser>
        <c:ser>
          <c:idx val="5"/>
          <c:order val="5"/>
          <c:tx>
            <c:strRef>
              <c:f>股票多头策略_每周idx_分位图!$G$1</c:f>
              <c:strCache>
                <c:ptCount val="1"/>
                <c:pt idx="0">
                  <c:v>75%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股票多头策略_每周idx_分位图!$G$2:$G$54</c:f>
              <c:numCache>
                <c:formatCode>General</c:formatCode>
                <c:ptCount val="53"/>
                <c:pt idx="0">
                  <c:v>1</c:v>
                </c:pt>
                <c:pt idx="1">
                  <c:v>1.00852003031187</c:v>
                </c:pt>
                <c:pt idx="2">
                  <c:v>1.01723513399145</c:v>
                </c:pt>
                <c:pt idx="3">
                  <c:v>1.0207024394518702</c:v>
                </c:pt>
                <c:pt idx="4">
                  <c:v>1.02469387354833</c:v>
                </c:pt>
                <c:pt idx="5">
                  <c:v>1.0303902751119598</c:v>
                </c:pt>
                <c:pt idx="6">
                  <c:v>1.0459978376761898</c:v>
                </c:pt>
                <c:pt idx="7">
                  <c:v>1.04674205708131</c:v>
                </c:pt>
                <c:pt idx="8">
                  <c:v>1.05641864268192</c:v>
                </c:pt>
                <c:pt idx="9">
                  <c:v>1.0489999999999897</c:v>
                </c:pt>
                <c:pt idx="10">
                  <c:v>1.0475708502024197</c:v>
                </c:pt>
                <c:pt idx="11">
                  <c:v>1.0298402668070898</c:v>
                </c:pt>
                <c:pt idx="12">
                  <c:v>1.0251578157565602</c:v>
                </c:pt>
                <c:pt idx="13">
                  <c:v>1.0258886279752299</c:v>
                </c:pt>
                <c:pt idx="14">
                  <c:v>1.0332393755492597</c:v>
                </c:pt>
                <c:pt idx="15">
                  <c:v>1.0237656595431097</c:v>
                </c:pt>
                <c:pt idx="16">
                  <c:v>1.02265954563007</c:v>
                </c:pt>
                <c:pt idx="17">
                  <c:v>1.0280870445344101</c:v>
                </c:pt>
                <c:pt idx="18">
                  <c:v>1.0315843881350697</c:v>
                </c:pt>
                <c:pt idx="19">
                  <c:v>1.03809523809523</c:v>
                </c:pt>
                <c:pt idx="20">
                  <c:v>1.0437281944411898</c:v>
                </c:pt>
                <c:pt idx="21">
                  <c:v>1.0568467888296897</c:v>
                </c:pt>
                <c:pt idx="22">
                  <c:v>1.05206276628909</c:v>
                </c:pt>
                <c:pt idx="23">
                  <c:v>1.0586230132599896</c:v>
                </c:pt>
                <c:pt idx="24">
                  <c:v>1.0656570109452801</c:v>
                </c:pt>
                <c:pt idx="25">
                  <c:v>1.07685500054412</c:v>
                </c:pt>
                <c:pt idx="26">
                  <c:v>1.06546980193189</c:v>
                </c:pt>
                <c:pt idx="27">
                  <c:v>1.07839020659689</c:v>
                </c:pt>
                <c:pt idx="28">
                  <c:v>1.07156587469901</c:v>
                </c:pt>
                <c:pt idx="29">
                  <c:v>1.0634750914542399</c:v>
                </c:pt>
                <c:pt idx="30">
                  <c:v>1.0625019746652802</c:v>
                </c:pt>
                <c:pt idx="31">
                  <c:v>1.0552208835341297</c:v>
                </c:pt>
                <c:pt idx="32">
                  <c:v>1.0527607361963101</c:v>
                </c:pt>
                <c:pt idx="33">
                  <c:v>1.0576923076922997</c:v>
                </c:pt>
                <c:pt idx="34">
                  <c:v>1.0570184532448599</c:v>
                </c:pt>
                <c:pt idx="35">
                  <c:v>1.0554973821989497</c:v>
                </c:pt>
                <c:pt idx="36">
                  <c:v>1.0745811244503103</c:v>
                </c:pt>
                <c:pt idx="37">
                  <c:v>1.0731594293845201</c:v>
                </c:pt>
                <c:pt idx="38">
                  <c:v>1.0813664852418599</c:v>
                </c:pt>
                <c:pt idx="39">
                  <c:v>1.0916196439253099</c:v>
                </c:pt>
                <c:pt idx="40">
                  <c:v>1.09630963096309</c:v>
                </c:pt>
                <c:pt idx="41">
                  <c:v>1.09807886754297</c:v>
                </c:pt>
                <c:pt idx="42">
                  <c:v>1.1021408252955303</c:v>
                </c:pt>
                <c:pt idx="43">
                  <c:v>1.10398953564421</c:v>
                </c:pt>
                <c:pt idx="44">
                  <c:v>1.1071107110711</c:v>
                </c:pt>
                <c:pt idx="45">
                  <c:v>1.1034289451555599</c:v>
                </c:pt>
                <c:pt idx="46">
                  <c:v>1.1120517663304701</c:v>
                </c:pt>
                <c:pt idx="47">
                  <c:v>1.12096106048052</c:v>
                </c:pt>
                <c:pt idx="48">
                  <c:v>1.1329652029099797</c:v>
                </c:pt>
                <c:pt idx="49">
                  <c:v>1.1344792719919101</c:v>
                </c:pt>
                <c:pt idx="50">
                  <c:v>1.1393558662183603</c:v>
                </c:pt>
                <c:pt idx="51">
                  <c:v>1.1452991452991397</c:v>
                </c:pt>
                <c:pt idx="52">
                  <c:v>1.14466466112192</c:v>
                </c:pt>
              </c:numCache>
            </c:numRef>
          </c:val>
          <c:smooth val="0"/>
          <c:extLst>
            <c:ext xmlns:c16="http://schemas.microsoft.com/office/drawing/2014/chart" uri="{C3380CC4-5D6E-409C-BE32-E72D297353CC}">
              <c16:uniqueId val="{00000005-AF75-4268-ADE1-B5007F11060E}"/>
            </c:ext>
          </c:extLst>
        </c:ser>
        <c:ser>
          <c:idx val="6"/>
          <c:order val="6"/>
          <c:tx>
            <c:strRef>
              <c:f>股票多头策略_每周idx_分位图!$H$1</c:f>
              <c:strCache>
                <c:ptCount val="1"/>
                <c:pt idx="0">
                  <c:v>90% 分位数</c:v>
                </c:pt>
              </c:strCache>
            </c:strRef>
          </c:tx>
          <c:spPr>
            <a:ln w="28575"/>
          </c:spPr>
          <c:marker>
            <c:symbol val="none"/>
          </c:marker>
          <c:cat>
            <c:numRef>
              <c:f>股票多头策略_每周idx_分位图!$A$2:$A$54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股票多头策略_每周idx_分位图!$H$2:$H$54</c:f>
              <c:numCache>
                <c:formatCode>General</c:formatCode>
                <c:ptCount val="53"/>
                <c:pt idx="0">
                  <c:v>1</c:v>
                </c:pt>
                <c:pt idx="1">
                  <c:v>1.0146131777896799</c:v>
                </c:pt>
                <c:pt idx="2">
                  <c:v>1.0293262363852898</c:v>
                </c:pt>
                <c:pt idx="3">
                  <c:v>1.0396585334718702</c:v>
                </c:pt>
                <c:pt idx="4">
                  <c:v>1.0467727521372598</c:v>
                </c:pt>
                <c:pt idx="5">
                  <c:v>1.0573793333499297</c:v>
                </c:pt>
                <c:pt idx="6">
                  <c:v>1.08527513849518</c:v>
                </c:pt>
                <c:pt idx="7">
                  <c:v>1.0833218558822097</c:v>
                </c:pt>
                <c:pt idx="8">
                  <c:v>1.1038621066167003</c:v>
                </c:pt>
                <c:pt idx="9">
                  <c:v>1.0915872601167103</c:v>
                </c:pt>
                <c:pt idx="10">
                  <c:v>1.0923567959406799</c:v>
                </c:pt>
                <c:pt idx="11">
                  <c:v>1.0675856587446297</c:v>
                </c:pt>
                <c:pt idx="12">
                  <c:v>1.0635585067490501</c:v>
                </c:pt>
                <c:pt idx="13">
                  <c:v>1.0650555870381899</c:v>
                </c:pt>
                <c:pt idx="14">
                  <c:v>1.0745109839193201</c:v>
                </c:pt>
                <c:pt idx="15">
                  <c:v>1.06236688174896</c:v>
                </c:pt>
                <c:pt idx="16">
                  <c:v>1.0683384354415402</c:v>
                </c:pt>
                <c:pt idx="17">
                  <c:v>1.0737069226862501</c:v>
                </c:pt>
                <c:pt idx="18">
                  <c:v>1.0799192672191895</c:v>
                </c:pt>
                <c:pt idx="19">
                  <c:v>1.08951888137288</c:v>
                </c:pt>
                <c:pt idx="20">
                  <c:v>1.0992263877559396</c:v>
                </c:pt>
                <c:pt idx="21">
                  <c:v>1.1123567261500102</c:v>
                </c:pt>
                <c:pt idx="22">
                  <c:v>1.1075807154055799</c:v>
                </c:pt>
                <c:pt idx="23">
                  <c:v>1.11079728035127</c:v>
                </c:pt>
                <c:pt idx="24">
                  <c:v>1.1188263923822397</c:v>
                </c:pt>
                <c:pt idx="25">
                  <c:v>1.13291473850479</c:v>
                </c:pt>
                <c:pt idx="26">
                  <c:v>1.12751545626139</c:v>
                </c:pt>
                <c:pt idx="27">
                  <c:v>1.1418005769495001</c:v>
                </c:pt>
                <c:pt idx="28">
                  <c:v>1.1371479715079502</c:v>
                </c:pt>
                <c:pt idx="29">
                  <c:v>1.1404947310994298</c:v>
                </c:pt>
                <c:pt idx="30">
                  <c:v>1.1343897537360601</c:v>
                </c:pt>
                <c:pt idx="31">
                  <c:v>1.1278726036418401</c:v>
                </c:pt>
                <c:pt idx="32">
                  <c:v>1.12692482115753</c:v>
                </c:pt>
                <c:pt idx="33">
                  <c:v>1.1336400335327701</c:v>
                </c:pt>
                <c:pt idx="34">
                  <c:v>1.1420461556224899</c:v>
                </c:pt>
                <c:pt idx="35">
                  <c:v>1.1484297860522599</c:v>
                </c:pt>
                <c:pt idx="36">
                  <c:v>1.1714031053195999</c:v>
                </c:pt>
                <c:pt idx="37">
                  <c:v>1.1703178056690302</c:v>
                </c:pt>
                <c:pt idx="38">
                  <c:v>1.1894477288097802</c:v>
                </c:pt>
                <c:pt idx="39">
                  <c:v>1.2027294879388897</c:v>
                </c:pt>
                <c:pt idx="40">
                  <c:v>1.2032886584263198</c:v>
                </c:pt>
                <c:pt idx="41">
                  <c:v>1.2099212553720193</c:v>
                </c:pt>
                <c:pt idx="42">
                  <c:v>1.2184778311476601</c:v>
                </c:pt>
                <c:pt idx="43">
                  <c:v>1.2225851767611902</c:v>
                </c:pt>
                <c:pt idx="44">
                  <c:v>1.2176383885951496</c:v>
                </c:pt>
                <c:pt idx="45">
                  <c:v>1.2148124174263699</c:v>
                </c:pt>
                <c:pt idx="46">
                  <c:v>1.2285841718572801</c:v>
                </c:pt>
                <c:pt idx="47">
                  <c:v>1.2432613890036797</c:v>
                </c:pt>
                <c:pt idx="48">
                  <c:v>1.2547001380321099</c:v>
                </c:pt>
                <c:pt idx="49">
                  <c:v>1.2604669149724199</c:v>
                </c:pt>
                <c:pt idx="50">
                  <c:v>1.2672524118662403</c:v>
                </c:pt>
                <c:pt idx="51">
                  <c:v>1.2679396540344894</c:v>
                </c:pt>
                <c:pt idx="52">
                  <c:v>1.2699841206820199</c:v>
                </c:pt>
              </c:numCache>
            </c:numRef>
          </c:val>
          <c:smooth val="0"/>
          <c:extLst>
            <c:ext xmlns:c16="http://schemas.microsoft.com/office/drawing/2014/chart" uri="{C3380CC4-5D6E-409C-BE32-E72D297353CC}">
              <c16:uniqueId val="{00000006-AF75-4268-ADE1-B5007F11060E}"/>
            </c:ext>
          </c:extLst>
        </c:ser>
        <c:dLbls>
          <c:showLegendKey val="0"/>
          <c:showVal val="0"/>
          <c:showCatName val="0"/>
          <c:showSerName val="0"/>
          <c:showPercent val="0"/>
          <c:showBubbleSize val="0"/>
        </c:dLbls>
        <c:smooth val="0"/>
        <c:axId val="108333312"/>
        <c:axId val="108355584"/>
      </c:lineChart>
      <c:dateAx>
        <c:axId val="108333312"/>
        <c:scaling>
          <c:orientation val="minMax"/>
        </c:scaling>
        <c:delete val="0"/>
        <c:axPos val="b"/>
        <c:numFmt formatCode="yyyy/m/d" sourceLinked="1"/>
        <c:majorTickMark val="out"/>
        <c:minorTickMark val="none"/>
        <c:tickLblPos val="nextTo"/>
        <c:crossAx val="108355584"/>
        <c:crosses val="autoZero"/>
        <c:auto val="1"/>
        <c:lblOffset val="100"/>
        <c:baseTimeUnit val="days"/>
      </c:dateAx>
      <c:valAx>
        <c:axId val="108355584"/>
        <c:scaling>
          <c:orientation val="minMax"/>
          <c:min val="0.8"/>
        </c:scaling>
        <c:delete val="0"/>
        <c:axPos val="l"/>
        <c:majorGridlines/>
        <c:numFmt formatCode="General" sourceLinked="1"/>
        <c:majorTickMark val="out"/>
        <c:minorTickMark val="none"/>
        <c:tickLblPos val="nextTo"/>
        <c:crossAx val="108333312"/>
        <c:crosses val="autoZero"/>
        <c:crossBetween val="between"/>
      </c:valAx>
    </c:plotArea>
    <c:legend>
      <c:legendPos val="r"/>
      <c:layout>
        <c:manualLayout>
          <c:xMode val="edge"/>
          <c:yMode val="edge"/>
          <c:x val="0.80538044105761464"/>
          <c:y val="0.16131889763779525"/>
          <c:w val="0.18076434591848517"/>
          <c:h val="0.5287510936132983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市场中性策略业绩表现</a:t>
            </a:r>
            <a:endParaRPr lang="en-US" altLang="zh-CN"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9832881772718264E-2"/>
          <c:y val="0.10028836976928956"/>
          <c:w val="0.75747396649738741"/>
          <c:h val="0.6873808408201515"/>
        </c:manualLayout>
      </c:layout>
      <c:lineChart>
        <c:grouping val="standard"/>
        <c:varyColors val="0"/>
        <c:ser>
          <c:idx val="0"/>
          <c:order val="0"/>
          <c:tx>
            <c:strRef>
              <c:f>阿尔法策略_每周idx_分位图!$B$1</c:f>
              <c:strCache>
                <c:ptCount val="1"/>
                <c:pt idx="0">
                  <c:v>10% 分位数</c:v>
                </c:pt>
              </c:strCache>
            </c:strRef>
          </c:tx>
          <c:spPr>
            <a:ln w="28575" cap="rnd">
              <a:solidFill>
                <a:schemeClr val="accent1"/>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阿尔法策略_每周idx_分位图!$B$2:$B$53</c:f>
              <c:numCache>
                <c:formatCode>General</c:formatCode>
                <c:ptCount val="52"/>
                <c:pt idx="0">
                  <c:v>1</c:v>
                </c:pt>
                <c:pt idx="1">
                  <c:v>1.0010973810402</c:v>
                </c:pt>
                <c:pt idx="2">
                  <c:v>1.00050206715973</c:v>
                </c:pt>
                <c:pt idx="3">
                  <c:v>1.00109567873618</c:v>
                </c:pt>
                <c:pt idx="4">
                  <c:v>1.0011590296508199</c:v>
                </c:pt>
                <c:pt idx="5">
                  <c:v>1.00161294606142</c:v>
                </c:pt>
                <c:pt idx="6">
                  <c:v>1.00094754682188</c:v>
                </c:pt>
                <c:pt idx="7">
                  <c:v>1.00176860447449</c:v>
                </c:pt>
                <c:pt idx="8">
                  <c:v>0.99001135460488998</c:v>
                </c:pt>
                <c:pt idx="9">
                  <c:v>0.99107481634304095</c:v>
                </c:pt>
                <c:pt idx="10">
                  <c:v>0.99050044487200195</c:v>
                </c:pt>
                <c:pt idx="11">
                  <c:v>0.99190812344227997</c:v>
                </c:pt>
                <c:pt idx="12">
                  <c:v>0.99061668183705898</c:v>
                </c:pt>
                <c:pt idx="13">
                  <c:v>0.98976766872324196</c:v>
                </c:pt>
                <c:pt idx="14">
                  <c:v>0.98434609884872604</c:v>
                </c:pt>
                <c:pt idx="15">
                  <c:v>0.97752739113159204</c:v>
                </c:pt>
                <c:pt idx="16">
                  <c:v>0.97963889822981598</c:v>
                </c:pt>
                <c:pt idx="17">
                  <c:v>0.982191458795873</c:v>
                </c:pt>
                <c:pt idx="18">
                  <c:v>0.98147750005135403</c:v>
                </c:pt>
                <c:pt idx="19">
                  <c:v>0.98120294102777295</c:v>
                </c:pt>
                <c:pt idx="20">
                  <c:v>0.98271739232955801</c:v>
                </c:pt>
                <c:pt idx="21">
                  <c:v>0.97940055551778604</c:v>
                </c:pt>
                <c:pt idx="22">
                  <c:v>0.97502473127912004</c:v>
                </c:pt>
                <c:pt idx="23">
                  <c:v>0.97354821179347795</c:v>
                </c:pt>
                <c:pt idx="24">
                  <c:v>0.98016387956272</c:v>
                </c:pt>
                <c:pt idx="25">
                  <c:v>0.97101973708592904</c:v>
                </c:pt>
                <c:pt idx="26">
                  <c:v>0.97711963261870305</c:v>
                </c:pt>
                <c:pt idx="27">
                  <c:v>0.97158903445822598</c:v>
                </c:pt>
                <c:pt idx="28">
                  <c:v>0.96686469679792497</c:v>
                </c:pt>
                <c:pt idx="29">
                  <c:v>0.95939447951174295</c:v>
                </c:pt>
                <c:pt idx="30">
                  <c:v>0.95559843543988898</c:v>
                </c:pt>
                <c:pt idx="31">
                  <c:v>0.94979876982423905</c:v>
                </c:pt>
                <c:pt idx="32">
                  <c:v>0.950912685611358</c:v>
                </c:pt>
                <c:pt idx="33">
                  <c:v>0.94715564785038098</c:v>
                </c:pt>
                <c:pt idx="34">
                  <c:v>0.94407137854785494</c:v>
                </c:pt>
                <c:pt idx="35">
                  <c:v>0.94916035017321898</c:v>
                </c:pt>
                <c:pt idx="36">
                  <c:v>0.951021130028182</c:v>
                </c:pt>
                <c:pt idx="37">
                  <c:v>0.95608457176018302</c:v>
                </c:pt>
                <c:pt idx="38">
                  <c:v>0.95608428984870197</c:v>
                </c:pt>
                <c:pt idx="39">
                  <c:v>0.96552611771600605</c:v>
                </c:pt>
                <c:pt idx="40">
                  <c:v>0.95647021162291801</c:v>
                </c:pt>
                <c:pt idx="41">
                  <c:v>0.96708445111626595</c:v>
                </c:pt>
                <c:pt idx="42">
                  <c:v>0.96622573553966995</c:v>
                </c:pt>
                <c:pt idx="43">
                  <c:v>0.96478117979159705</c:v>
                </c:pt>
                <c:pt idx="44">
                  <c:v>0.964224813416386</c:v>
                </c:pt>
                <c:pt idx="45">
                  <c:v>0.96990398308124703</c:v>
                </c:pt>
                <c:pt idx="46">
                  <c:v>0.96555261682942195</c:v>
                </c:pt>
                <c:pt idx="47">
                  <c:v>0.96966911442167703</c:v>
                </c:pt>
                <c:pt idx="48">
                  <c:v>0.972795309011251</c:v>
                </c:pt>
                <c:pt idx="49">
                  <c:v>0.97048266240615899</c:v>
                </c:pt>
                <c:pt idx="50">
                  <c:v>0.97021831292470195</c:v>
                </c:pt>
                <c:pt idx="51">
                  <c:v>0.97021831292470195</c:v>
                </c:pt>
              </c:numCache>
            </c:numRef>
          </c:val>
          <c:smooth val="0"/>
          <c:extLst>
            <c:ext xmlns:c16="http://schemas.microsoft.com/office/drawing/2014/chart" uri="{C3380CC4-5D6E-409C-BE32-E72D297353CC}">
              <c16:uniqueId val="{00000000-0077-40B3-8DBA-B977EFC9DB20}"/>
            </c:ext>
          </c:extLst>
        </c:ser>
        <c:ser>
          <c:idx val="1"/>
          <c:order val="1"/>
          <c:tx>
            <c:strRef>
              <c:f>阿尔法策略_每周idx_分位图!$C$1</c:f>
              <c:strCache>
                <c:ptCount val="1"/>
                <c:pt idx="0">
                  <c:v>25% 分位数</c:v>
                </c:pt>
              </c:strCache>
            </c:strRef>
          </c:tx>
          <c:spPr>
            <a:ln w="28575" cap="rnd">
              <a:solidFill>
                <a:schemeClr val="accent2"/>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阿尔法策略_每周idx_分位图!$C$2:$C$53</c:f>
              <c:numCache>
                <c:formatCode>General</c:formatCode>
                <c:ptCount val="52"/>
                <c:pt idx="0">
                  <c:v>1</c:v>
                </c:pt>
                <c:pt idx="1">
                  <c:v>1.0024543877871099</c:v>
                </c:pt>
                <c:pt idx="2">
                  <c:v>1.0023608547268099</c:v>
                </c:pt>
                <c:pt idx="3">
                  <c:v>1.00260420421735</c:v>
                </c:pt>
                <c:pt idx="4">
                  <c:v>1.0034317416407299</c:v>
                </c:pt>
                <c:pt idx="5">
                  <c:v>1.0063546026653301</c:v>
                </c:pt>
                <c:pt idx="6">
                  <c:v>1.00559324262808</c:v>
                </c:pt>
                <c:pt idx="7">
                  <c:v>1.0055014040357599</c:v>
                </c:pt>
                <c:pt idx="8">
                  <c:v>1.0009251169781199</c:v>
                </c:pt>
                <c:pt idx="9">
                  <c:v>0.99949687530778897</c:v>
                </c:pt>
                <c:pt idx="10">
                  <c:v>0.99608419666979597</c:v>
                </c:pt>
                <c:pt idx="11">
                  <c:v>0.99635471867565095</c:v>
                </c:pt>
                <c:pt idx="12">
                  <c:v>0.99586432089517196</c:v>
                </c:pt>
                <c:pt idx="13">
                  <c:v>0.99707202851793997</c:v>
                </c:pt>
                <c:pt idx="14">
                  <c:v>0.99478349110257203</c:v>
                </c:pt>
                <c:pt idx="15">
                  <c:v>0.98945990959247798</c:v>
                </c:pt>
                <c:pt idx="16">
                  <c:v>0.99095555298798499</c:v>
                </c:pt>
                <c:pt idx="17">
                  <c:v>0.99284826144392702</c:v>
                </c:pt>
                <c:pt idx="18">
                  <c:v>0.99484177280825303</c:v>
                </c:pt>
                <c:pt idx="19">
                  <c:v>0.99426677231510896</c:v>
                </c:pt>
                <c:pt idx="20">
                  <c:v>0.99688398674908896</c:v>
                </c:pt>
                <c:pt idx="21">
                  <c:v>0.99679040872506897</c:v>
                </c:pt>
                <c:pt idx="22">
                  <c:v>0.99781382623694304</c:v>
                </c:pt>
                <c:pt idx="23">
                  <c:v>0.99436252697333505</c:v>
                </c:pt>
                <c:pt idx="24">
                  <c:v>0.995131623831085</c:v>
                </c:pt>
                <c:pt idx="25">
                  <c:v>0.98977608289128904</c:v>
                </c:pt>
                <c:pt idx="26">
                  <c:v>0.99323995017736499</c:v>
                </c:pt>
                <c:pt idx="27">
                  <c:v>0.99610028560494501</c:v>
                </c:pt>
                <c:pt idx="28">
                  <c:v>0.984525518948975</c:v>
                </c:pt>
                <c:pt idx="29">
                  <c:v>0.98378446776426598</c:v>
                </c:pt>
                <c:pt idx="30">
                  <c:v>0.97976982682181801</c:v>
                </c:pt>
                <c:pt idx="31">
                  <c:v>0.97422682724743803</c:v>
                </c:pt>
                <c:pt idx="32">
                  <c:v>0.97393932502235703</c:v>
                </c:pt>
                <c:pt idx="33">
                  <c:v>0.97284028491591001</c:v>
                </c:pt>
                <c:pt idx="34">
                  <c:v>0.97144888451225697</c:v>
                </c:pt>
                <c:pt idx="35">
                  <c:v>0.97274576666166401</c:v>
                </c:pt>
                <c:pt idx="36">
                  <c:v>0.97572418954946105</c:v>
                </c:pt>
                <c:pt idx="37">
                  <c:v>0.97979603993877196</c:v>
                </c:pt>
                <c:pt idx="38">
                  <c:v>0.98173639451803796</c:v>
                </c:pt>
                <c:pt idx="39">
                  <c:v>0.98306642697797997</c:v>
                </c:pt>
                <c:pt idx="40">
                  <c:v>0.98211099203775598</c:v>
                </c:pt>
                <c:pt idx="41">
                  <c:v>0.98478839791536699</c:v>
                </c:pt>
                <c:pt idx="42">
                  <c:v>0.98537771043552402</c:v>
                </c:pt>
                <c:pt idx="43">
                  <c:v>0.98594740085112198</c:v>
                </c:pt>
                <c:pt idx="44">
                  <c:v>0.98499318536498404</c:v>
                </c:pt>
                <c:pt idx="45">
                  <c:v>0.98713086559288499</c:v>
                </c:pt>
                <c:pt idx="46">
                  <c:v>0.99332022021420796</c:v>
                </c:pt>
                <c:pt idx="47">
                  <c:v>0.99271759736867904</c:v>
                </c:pt>
                <c:pt idx="48">
                  <c:v>0.99070336020202598</c:v>
                </c:pt>
                <c:pt idx="49">
                  <c:v>0.99458101001463906</c:v>
                </c:pt>
                <c:pt idx="50">
                  <c:v>0.99301456873150995</c:v>
                </c:pt>
                <c:pt idx="51">
                  <c:v>0.99301456873150995</c:v>
                </c:pt>
              </c:numCache>
            </c:numRef>
          </c:val>
          <c:smooth val="0"/>
          <c:extLst>
            <c:ext xmlns:c16="http://schemas.microsoft.com/office/drawing/2014/chart" uri="{C3380CC4-5D6E-409C-BE32-E72D297353CC}">
              <c16:uniqueId val="{00000001-0077-40B3-8DBA-B977EFC9DB20}"/>
            </c:ext>
          </c:extLst>
        </c:ser>
        <c:ser>
          <c:idx val="2"/>
          <c:order val="2"/>
          <c:tx>
            <c:strRef>
              <c:f>阿尔法策略_每周idx_分位图!$D$1</c:f>
              <c:strCache>
                <c:ptCount val="1"/>
                <c:pt idx="0">
                  <c:v>40% 分位数</c:v>
                </c:pt>
              </c:strCache>
            </c:strRef>
          </c:tx>
          <c:spPr>
            <a:ln w="28575" cap="rnd">
              <a:solidFill>
                <a:schemeClr val="accent3"/>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阿尔法策略_每周idx_分位图!$D$2:$D$53</c:f>
              <c:numCache>
                <c:formatCode>General</c:formatCode>
                <c:ptCount val="52"/>
                <c:pt idx="0">
                  <c:v>1</c:v>
                </c:pt>
                <c:pt idx="1">
                  <c:v>1.0036609493098001</c:v>
                </c:pt>
                <c:pt idx="2">
                  <c:v>1.0034101645945901</c:v>
                </c:pt>
                <c:pt idx="3">
                  <c:v>1.00465259814673</c:v>
                </c:pt>
                <c:pt idx="4">
                  <c:v>1.0068128185668199</c:v>
                </c:pt>
                <c:pt idx="5">
                  <c:v>1.0122608312896899</c:v>
                </c:pt>
                <c:pt idx="6">
                  <c:v>1.0110463225611099</c:v>
                </c:pt>
                <c:pt idx="7">
                  <c:v>1.01029429829429</c:v>
                </c:pt>
                <c:pt idx="8">
                  <c:v>1.00404433250162</c:v>
                </c:pt>
                <c:pt idx="9">
                  <c:v>1.00485777017878</c:v>
                </c:pt>
                <c:pt idx="10">
                  <c:v>1.0002406020833099</c:v>
                </c:pt>
                <c:pt idx="11">
                  <c:v>1.0008551935962899</c:v>
                </c:pt>
                <c:pt idx="12">
                  <c:v>1.00268656258848</c:v>
                </c:pt>
                <c:pt idx="13">
                  <c:v>1.0032668051106</c:v>
                </c:pt>
                <c:pt idx="14">
                  <c:v>0.99939468085434102</c:v>
                </c:pt>
                <c:pt idx="15">
                  <c:v>0.99582568383425296</c:v>
                </c:pt>
                <c:pt idx="16">
                  <c:v>0.99657737964534099</c:v>
                </c:pt>
                <c:pt idx="17">
                  <c:v>0.997892645688225</c:v>
                </c:pt>
                <c:pt idx="18">
                  <c:v>0.99928291857172002</c:v>
                </c:pt>
                <c:pt idx="19">
                  <c:v>1.00018519374324</c:v>
                </c:pt>
                <c:pt idx="20">
                  <c:v>1.0043176743558599</c:v>
                </c:pt>
                <c:pt idx="21">
                  <c:v>1.00191015325425</c:v>
                </c:pt>
                <c:pt idx="22">
                  <c:v>1.00369558388012</c:v>
                </c:pt>
                <c:pt idx="23">
                  <c:v>0.99992988222414503</c:v>
                </c:pt>
                <c:pt idx="24">
                  <c:v>1.0029391968404899</c:v>
                </c:pt>
                <c:pt idx="25">
                  <c:v>0.99725565753088796</c:v>
                </c:pt>
                <c:pt idx="26">
                  <c:v>1.000832638174</c:v>
                </c:pt>
                <c:pt idx="27">
                  <c:v>1.00120424331877</c:v>
                </c:pt>
                <c:pt idx="28">
                  <c:v>1.0005912907371199</c:v>
                </c:pt>
                <c:pt idx="29">
                  <c:v>1.0012988678091299</c:v>
                </c:pt>
                <c:pt idx="30">
                  <c:v>0.98913162978337799</c:v>
                </c:pt>
                <c:pt idx="31">
                  <c:v>0.98230059547833504</c:v>
                </c:pt>
                <c:pt idx="32">
                  <c:v>0.983558012212846</c:v>
                </c:pt>
                <c:pt idx="33">
                  <c:v>0.97835248369088901</c:v>
                </c:pt>
                <c:pt idx="34">
                  <c:v>0.98015716798149399</c:v>
                </c:pt>
                <c:pt idx="35">
                  <c:v>0.990565206344872</c:v>
                </c:pt>
                <c:pt idx="36">
                  <c:v>0.99245305499357195</c:v>
                </c:pt>
                <c:pt idx="37">
                  <c:v>0.99458796640383496</c:v>
                </c:pt>
                <c:pt idx="38">
                  <c:v>0.99503682126868898</c:v>
                </c:pt>
                <c:pt idx="39">
                  <c:v>0.99781138659326996</c:v>
                </c:pt>
                <c:pt idx="40">
                  <c:v>1.000626811724</c:v>
                </c:pt>
                <c:pt idx="41">
                  <c:v>1.00166174957799</c:v>
                </c:pt>
                <c:pt idx="42">
                  <c:v>1.00767877438946</c:v>
                </c:pt>
                <c:pt idx="43">
                  <c:v>1.0095394428751201</c:v>
                </c:pt>
                <c:pt idx="44">
                  <c:v>1.00688100673479</c:v>
                </c:pt>
                <c:pt idx="45">
                  <c:v>1.0074122145326101</c:v>
                </c:pt>
                <c:pt idx="46">
                  <c:v>1.00660649636118</c:v>
                </c:pt>
                <c:pt idx="47">
                  <c:v>1.01288271584165</c:v>
                </c:pt>
                <c:pt idx="48">
                  <c:v>1.01099203333355</c:v>
                </c:pt>
                <c:pt idx="49">
                  <c:v>1.0087167456055099</c:v>
                </c:pt>
                <c:pt idx="50">
                  <c:v>1.0086033516172599</c:v>
                </c:pt>
                <c:pt idx="51">
                  <c:v>1.0086033516172599</c:v>
                </c:pt>
              </c:numCache>
            </c:numRef>
          </c:val>
          <c:smooth val="0"/>
          <c:extLst>
            <c:ext xmlns:c16="http://schemas.microsoft.com/office/drawing/2014/chart" uri="{C3380CC4-5D6E-409C-BE32-E72D297353CC}">
              <c16:uniqueId val="{00000002-0077-40B3-8DBA-B977EFC9DB20}"/>
            </c:ext>
          </c:extLst>
        </c:ser>
        <c:ser>
          <c:idx val="3"/>
          <c:order val="3"/>
          <c:tx>
            <c:strRef>
              <c:f>阿尔法策略_每周idx_分位图!$E$1</c:f>
              <c:strCache>
                <c:ptCount val="1"/>
                <c:pt idx="0">
                  <c:v>50% 分位数</c:v>
                </c:pt>
              </c:strCache>
            </c:strRef>
          </c:tx>
          <c:spPr>
            <a:ln w="28575" cap="rnd">
              <a:solidFill>
                <a:schemeClr val="accent4"/>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阿尔法策略_每周idx_分位图!$E$2:$E$53</c:f>
              <c:numCache>
                <c:formatCode>General</c:formatCode>
                <c:ptCount val="52"/>
                <c:pt idx="0">
                  <c:v>1</c:v>
                </c:pt>
                <c:pt idx="1">
                  <c:v>1.0040069633350499</c:v>
                </c:pt>
                <c:pt idx="2">
                  <c:v>1.0048311199514299</c:v>
                </c:pt>
                <c:pt idx="3">
                  <c:v>1.0053794296954699</c:v>
                </c:pt>
                <c:pt idx="4">
                  <c:v>1.00793072498862</c:v>
                </c:pt>
                <c:pt idx="5">
                  <c:v>1.0142520173363201</c:v>
                </c:pt>
                <c:pt idx="6">
                  <c:v>1.01218990479367</c:v>
                </c:pt>
                <c:pt idx="7">
                  <c:v>1.01534275122665</c:v>
                </c:pt>
                <c:pt idx="8">
                  <c:v>1.00491569657124</c:v>
                </c:pt>
                <c:pt idx="9">
                  <c:v>1.0058786796627199</c:v>
                </c:pt>
                <c:pt idx="10">
                  <c:v>1.0012267334671301</c:v>
                </c:pt>
                <c:pt idx="11">
                  <c:v>1.0019541895129001</c:v>
                </c:pt>
                <c:pt idx="12">
                  <c:v>1.0048764349657799</c:v>
                </c:pt>
                <c:pt idx="13">
                  <c:v>1.00526401278764</c:v>
                </c:pt>
                <c:pt idx="14">
                  <c:v>1.0016901341915501</c:v>
                </c:pt>
                <c:pt idx="15">
                  <c:v>0.99875868687257696</c:v>
                </c:pt>
                <c:pt idx="16">
                  <c:v>1.00083502072842</c:v>
                </c:pt>
                <c:pt idx="17">
                  <c:v>1.00146305275185</c:v>
                </c:pt>
                <c:pt idx="18">
                  <c:v>1.00166791395615</c:v>
                </c:pt>
                <c:pt idx="19">
                  <c:v>1.0025070518764101</c:v>
                </c:pt>
                <c:pt idx="20">
                  <c:v>1.00633957920282</c:v>
                </c:pt>
                <c:pt idx="21">
                  <c:v>1.0059197748423401</c:v>
                </c:pt>
                <c:pt idx="22">
                  <c:v>1.00728657800281</c:v>
                </c:pt>
                <c:pt idx="23">
                  <c:v>1.0080237899380899</c:v>
                </c:pt>
                <c:pt idx="24">
                  <c:v>1.00812699661295</c:v>
                </c:pt>
                <c:pt idx="25">
                  <c:v>1.0046838409941501</c:v>
                </c:pt>
                <c:pt idx="26">
                  <c:v>1.01001925689357</c:v>
                </c:pt>
                <c:pt idx="27">
                  <c:v>1.0065625298606899</c:v>
                </c:pt>
                <c:pt idx="28">
                  <c:v>1.0049668469789601</c:v>
                </c:pt>
                <c:pt idx="29">
                  <c:v>1.00576941829904</c:v>
                </c:pt>
                <c:pt idx="30">
                  <c:v>1.0049690184480999</c:v>
                </c:pt>
                <c:pt idx="31">
                  <c:v>0.99707861469978898</c:v>
                </c:pt>
                <c:pt idx="32">
                  <c:v>0.99883866163921098</c:v>
                </c:pt>
                <c:pt idx="33">
                  <c:v>0.99512622902794601</c:v>
                </c:pt>
                <c:pt idx="34">
                  <c:v>0.99174780990278699</c:v>
                </c:pt>
                <c:pt idx="35">
                  <c:v>0.99310213595927899</c:v>
                </c:pt>
                <c:pt idx="36">
                  <c:v>0.997526712830895</c:v>
                </c:pt>
                <c:pt idx="37">
                  <c:v>1.0037802295514</c:v>
                </c:pt>
                <c:pt idx="38">
                  <c:v>1.0058846538291799</c:v>
                </c:pt>
                <c:pt idx="39">
                  <c:v>1.0061972310802201</c:v>
                </c:pt>
                <c:pt idx="40">
                  <c:v>1.0095753800227101</c:v>
                </c:pt>
                <c:pt idx="41">
                  <c:v>1.01404708933892</c:v>
                </c:pt>
                <c:pt idx="42">
                  <c:v>1.0162056126318599</c:v>
                </c:pt>
                <c:pt idx="43">
                  <c:v>1.01649152597281</c:v>
                </c:pt>
                <c:pt idx="44">
                  <c:v>1.0136920027309499</c:v>
                </c:pt>
                <c:pt idx="45">
                  <c:v>1.0194623260867399</c:v>
                </c:pt>
                <c:pt idx="46">
                  <c:v>1.0152412655363701</c:v>
                </c:pt>
                <c:pt idx="47">
                  <c:v>1.0181393447777101</c:v>
                </c:pt>
                <c:pt idx="48">
                  <c:v>1.02053467481212</c:v>
                </c:pt>
                <c:pt idx="49">
                  <c:v>1.0185489782746899</c:v>
                </c:pt>
                <c:pt idx="50">
                  <c:v>1.0185489782746899</c:v>
                </c:pt>
                <c:pt idx="51">
                  <c:v>1.0185489782746899</c:v>
                </c:pt>
              </c:numCache>
            </c:numRef>
          </c:val>
          <c:smooth val="0"/>
          <c:extLst>
            <c:ext xmlns:c16="http://schemas.microsoft.com/office/drawing/2014/chart" uri="{C3380CC4-5D6E-409C-BE32-E72D297353CC}">
              <c16:uniqueId val="{00000003-0077-40B3-8DBA-B977EFC9DB20}"/>
            </c:ext>
          </c:extLst>
        </c:ser>
        <c:ser>
          <c:idx val="4"/>
          <c:order val="4"/>
          <c:tx>
            <c:strRef>
              <c:f>阿尔法策略_每周idx_分位图!$F$1</c:f>
              <c:strCache>
                <c:ptCount val="1"/>
                <c:pt idx="0">
                  <c:v>60% 分位数</c:v>
                </c:pt>
              </c:strCache>
            </c:strRef>
          </c:tx>
          <c:spPr>
            <a:ln w="28575" cap="rnd">
              <a:solidFill>
                <a:schemeClr val="accent5"/>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阿尔法策略_每周idx_分位图!$F$2:$F$53</c:f>
              <c:numCache>
                <c:formatCode>General</c:formatCode>
                <c:ptCount val="52"/>
                <c:pt idx="0">
                  <c:v>1</c:v>
                </c:pt>
                <c:pt idx="1">
                  <c:v>1.00520704869469</c:v>
                </c:pt>
                <c:pt idx="2">
                  <c:v>1.00614941276681</c:v>
                </c:pt>
                <c:pt idx="3">
                  <c:v>1.0069596183526699</c:v>
                </c:pt>
                <c:pt idx="4">
                  <c:v>1.0096814171153601</c:v>
                </c:pt>
                <c:pt idx="5">
                  <c:v>1.01608615712937</c:v>
                </c:pt>
                <c:pt idx="6">
                  <c:v>1.0147409147040001</c:v>
                </c:pt>
                <c:pt idx="7">
                  <c:v>1.0184790687257701</c:v>
                </c:pt>
                <c:pt idx="8">
                  <c:v>1.00977648877863</c:v>
                </c:pt>
                <c:pt idx="9">
                  <c:v>1.0122233854554901</c:v>
                </c:pt>
                <c:pt idx="10">
                  <c:v>1.0076689314066101</c:v>
                </c:pt>
                <c:pt idx="11">
                  <c:v>1.0085320357485099</c:v>
                </c:pt>
                <c:pt idx="12">
                  <c:v>1.0095863817203401</c:v>
                </c:pt>
                <c:pt idx="13">
                  <c:v>1.0092045141586301</c:v>
                </c:pt>
                <c:pt idx="14">
                  <c:v>1.0050858923797801</c:v>
                </c:pt>
                <c:pt idx="15">
                  <c:v>1.00211532973644</c:v>
                </c:pt>
                <c:pt idx="16">
                  <c:v>1.00482491200632</c:v>
                </c:pt>
                <c:pt idx="17">
                  <c:v>1.0059882327756899</c:v>
                </c:pt>
                <c:pt idx="18">
                  <c:v>1.0068788012952301</c:v>
                </c:pt>
                <c:pt idx="19">
                  <c:v>1.0075972761701899</c:v>
                </c:pt>
                <c:pt idx="20">
                  <c:v>1.0110212037866999</c:v>
                </c:pt>
                <c:pt idx="21">
                  <c:v>1.0113061747550001</c:v>
                </c:pt>
                <c:pt idx="22">
                  <c:v>1.0119017348261301</c:v>
                </c:pt>
                <c:pt idx="23">
                  <c:v>1.0125397274929899</c:v>
                </c:pt>
                <c:pt idx="24">
                  <c:v>1.0124044500774501</c:v>
                </c:pt>
                <c:pt idx="25">
                  <c:v>1.0102275087321799</c:v>
                </c:pt>
                <c:pt idx="26">
                  <c:v>1.0130446961553501</c:v>
                </c:pt>
                <c:pt idx="27">
                  <c:v>1.01222711687591</c:v>
                </c:pt>
                <c:pt idx="28">
                  <c:v>1.00636427740567</c:v>
                </c:pt>
                <c:pt idx="29">
                  <c:v>1.01248855836512</c:v>
                </c:pt>
                <c:pt idx="30">
                  <c:v>1.0106032924931401</c:v>
                </c:pt>
                <c:pt idx="31">
                  <c:v>1.00641668374386</c:v>
                </c:pt>
                <c:pt idx="32">
                  <c:v>1.0062691367132499</c:v>
                </c:pt>
                <c:pt idx="33">
                  <c:v>1.0067478523553199</c:v>
                </c:pt>
                <c:pt idx="34">
                  <c:v>1.00677982315365</c:v>
                </c:pt>
                <c:pt idx="35">
                  <c:v>1.00941818199925</c:v>
                </c:pt>
                <c:pt idx="36">
                  <c:v>1.0037446135426999</c:v>
                </c:pt>
                <c:pt idx="37">
                  <c:v>1.0123091861409601</c:v>
                </c:pt>
                <c:pt idx="38">
                  <c:v>1.0125547842617999</c:v>
                </c:pt>
                <c:pt idx="39">
                  <c:v>1.0165167896362399</c:v>
                </c:pt>
                <c:pt idx="40">
                  <c:v>1.0183315447300501</c:v>
                </c:pt>
                <c:pt idx="41">
                  <c:v>1.0219306250458899</c:v>
                </c:pt>
                <c:pt idx="42">
                  <c:v>1.0255182917774499</c:v>
                </c:pt>
                <c:pt idx="43">
                  <c:v>1.02426490590547</c:v>
                </c:pt>
                <c:pt idx="44">
                  <c:v>1.0186300832619299</c:v>
                </c:pt>
                <c:pt idx="45">
                  <c:v>1.02137624617114</c:v>
                </c:pt>
                <c:pt idx="46">
                  <c:v>1.02125540791254</c:v>
                </c:pt>
                <c:pt idx="47">
                  <c:v>1.0248350157623201</c:v>
                </c:pt>
                <c:pt idx="48">
                  <c:v>1.0302737488690199</c:v>
                </c:pt>
                <c:pt idx="49">
                  <c:v>1.0302737488690199</c:v>
                </c:pt>
                <c:pt idx="50">
                  <c:v>1.03029031179832</c:v>
                </c:pt>
                <c:pt idx="51">
                  <c:v>1.0302737488690199</c:v>
                </c:pt>
              </c:numCache>
            </c:numRef>
          </c:val>
          <c:smooth val="0"/>
          <c:extLst>
            <c:ext xmlns:c16="http://schemas.microsoft.com/office/drawing/2014/chart" uri="{C3380CC4-5D6E-409C-BE32-E72D297353CC}">
              <c16:uniqueId val="{00000004-0077-40B3-8DBA-B977EFC9DB20}"/>
            </c:ext>
          </c:extLst>
        </c:ser>
        <c:ser>
          <c:idx val="5"/>
          <c:order val="5"/>
          <c:tx>
            <c:strRef>
              <c:f>阿尔法策略_每周idx_分位图!$G$1</c:f>
              <c:strCache>
                <c:ptCount val="1"/>
                <c:pt idx="0">
                  <c:v>75% 分位数</c:v>
                </c:pt>
              </c:strCache>
            </c:strRef>
          </c:tx>
          <c:spPr>
            <a:ln w="28575" cap="rnd">
              <a:solidFill>
                <a:schemeClr val="accent6"/>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阿尔法策略_每周idx_分位图!$G$2:$G$53</c:f>
              <c:numCache>
                <c:formatCode>General</c:formatCode>
                <c:ptCount val="52"/>
                <c:pt idx="0">
                  <c:v>1</c:v>
                </c:pt>
                <c:pt idx="1">
                  <c:v>1.00767044550706</c:v>
                </c:pt>
                <c:pt idx="2">
                  <c:v>1.0087947018930401</c:v>
                </c:pt>
                <c:pt idx="3">
                  <c:v>1.01009971584359</c:v>
                </c:pt>
                <c:pt idx="4">
                  <c:v>1.01522282498378</c:v>
                </c:pt>
                <c:pt idx="5">
                  <c:v>1.02404875055141</c:v>
                </c:pt>
                <c:pt idx="6">
                  <c:v>1.0234642160036</c:v>
                </c:pt>
                <c:pt idx="7">
                  <c:v>1.0259539221641101</c:v>
                </c:pt>
                <c:pt idx="8">
                  <c:v>1.0153681555874701</c:v>
                </c:pt>
                <c:pt idx="9">
                  <c:v>1.0194013674778799</c:v>
                </c:pt>
                <c:pt idx="10">
                  <c:v>1.0135509570043599</c:v>
                </c:pt>
                <c:pt idx="11">
                  <c:v>1.0157870920537599</c:v>
                </c:pt>
                <c:pt idx="12">
                  <c:v>1.01742826346093</c:v>
                </c:pt>
                <c:pt idx="13">
                  <c:v>1.0180665544284799</c:v>
                </c:pt>
                <c:pt idx="14">
                  <c:v>1.0148945037325099</c:v>
                </c:pt>
                <c:pt idx="15">
                  <c:v>1.0076589055685801</c:v>
                </c:pt>
                <c:pt idx="16">
                  <c:v>1.0106775869101201</c:v>
                </c:pt>
                <c:pt idx="17">
                  <c:v>1.0129317830436599</c:v>
                </c:pt>
                <c:pt idx="18">
                  <c:v>1.0191773150849199</c:v>
                </c:pt>
                <c:pt idx="19">
                  <c:v>1.02238402500979</c:v>
                </c:pt>
                <c:pt idx="20">
                  <c:v>1.0284705986348801</c:v>
                </c:pt>
                <c:pt idx="21">
                  <c:v>1.02499429929729</c:v>
                </c:pt>
                <c:pt idx="22">
                  <c:v>1.0266816985470399</c:v>
                </c:pt>
                <c:pt idx="23">
                  <c:v>1.02610729309991</c:v>
                </c:pt>
                <c:pt idx="24">
                  <c:v>1.02544201810986</c:v>
                </c:pt>
                <c:pt idx="25">
                  <c:v>1.0256499946780699</c:v>
                </c:pt>
                <c:pt idx="26">
                  <c:v>1.0257030233345901</c:v>
                </c:pt>
                <c:pt idx="27">
                  <c:v>1.0254953834762599</c:v>
                </c:pt>
                <c:pt idx="28">
                  <c:v>1.0156766036398901</c:v>
                </c:pt>
                <c:pt idx="29">
                  <c:v>1.0193660622924501</c:v>
                </c:pt>
                <c:pt idx="30">
                  <c:v>1.01793399954345</c:v>
                </c:pt>
                <c:pt idx="31">
                  <c:v>1.0216942721154301</c:v>
                </c:pt>
                <c:pt idx="32">
                  <c:v>1.0191573525859401</c:v>
                </c:pt>
                <c:pt idx="33">
                  <c:v>1.02046564693467</c:v>
                </c:pt>
                <c:pt idx="34">
                  <c:v>1.02074593378414</c:v>
                </c:pt>
                <c:pt idx="35">
                  <c:v>1.0281572512566901</c:v>
                </c:pt>
                <c:pt idx="36">
                  <c:v>1.0279596803073201</c:v>
                </c:pt>
                <c:pt idx="37">
                  <c:v>1.0303905566110301</c:v>
                </c:pt>
                <c:pt idx="38">
                  <c:v>1.03320569573557</c:v>
                </c:pt>
                <c:pt idx="39">
                  <c:v>1.0368417547670501</c:v>
                </c:pt>
                <c:pt idx="40">
                  <c:v>1.0408604187578701</c:v>
                </c:pt>
                <c:pt idx="41">
                  <c:v>1.0390289851435099</c:v>
                </c:pt>
                <c:pt idx="42">
                  <c:v>1.03968473247088</c:v>
                </c:pt>
                <c:pt idx="43">
                  <c:v>1.04137685687992</c:v>
                </c:pt>
                <c:pt idx="44">
                  <c:v>1.02943077576982</c:v>
                </c:pt>
                <c:pt idx="45">
                  <c:v>1.03471054498721</c:v>
                </c:pt>
                <c:pt idx="46">
                  <c:v>1.0341447094574701</c:v>
                </c:pt>
                <c:pt idx="47">
                  <c:v>1.0357914317281101</c:v>
                </c:pt>
                <c:pt idx="48">
                  <c:v>1.03794893689287</c:v>
                </c:pt>
                <c:pt idx="49">
                  <c:v>1.0380525006871399</c:v>
                </c:pt>
                <c:pt idx="50">
                  <c:v>1.04078654214672</c:v>
                </c:pt>
                <c:pt idx="51">
                  <c:v>1.04078654214672</c:v>
                </c:pt>
              </c:numCache>
            </c:numRef>
          </c:val>
          <c:smooth val="0"/>
          <c:extLst>
            <c:ext xmlns:c16="http://schemas.microsoft.com/office/drawing/2014/chart" uri="{C3380CC4-5D6E-409C-BE32-E72D297353CC}">
              <c16:uniqueId val="{00000005-0077-40B3-8DBA-B977EFC9DB20}"/>
            </c:ext>
          </c:extLst>
        </c:ser>
        <c:ser>
          <c:idx val="6"/>
          <c:order val="6"/>
          <c:tx>
            <c:strRef>
              <c:f>阿尔法策略_每周idx_分位图!$H$1</c:f>
              <c:strCache>
                <c:ptCount val="1"/>
                <c:pt idx="0">
                  <c:v>90% 分位数</c:v>
                </c:pt>
              </c:strCache>
            </c:strRef>
          </c:tx>
          <c:spPr>
            <a:ln w="28575" cap="rnd">
              <a:solidFill>
                <a:schemeClr val="accent1">
                  <a:lumMod val="60000"/>
                </a:schemeClr>
              </a:solidFill>
              <a:round/>
            </a:ln>
            <a:effectLst/>
          </c:spPr>
          <c:marker>
            <c:symbol val="none"/>
          </c:marker>
          <c:cat>
            <c:numRef>
              <c:f>阿尔法策略_每周idx_分位图!$A$2:$A$53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阿尔法策略_每周idx_分位图!$H$2:$H$53</c:f>
              <c:numCache>
                <c:formatCode>General</c:formatCode>
                <c:ptCount val="52"/>
                <c:pt idx="0">
                  <c:v>1</c:v>
                </c:pt>
                <c:pt idx="1">
                  <c:v>1.0110309897717999</c:v>
                </c:pt>
                <c:pt idx="2">
                  <c:v>1.0141054222207599</c:v>
                </c:pt>
                <c:pt idx="3">
                  <c:v>1.0132380483416701</c:v>
                </c:pt>
                <c:pt idx="4">
                  <c:v>1.0200360650245199</c:v>
                </c:pt>
                <c:pt idx="5">
                  <c:v>1.032735917194</c:v>
                </c:pt>
                <c:pt idx="6">
                  <c:v>1.0330722110019299</c:v>
                </c:pt>
                <c:pt idx="7">
                  <c:v>1.0331872601316801</c:v>
                </c:pt>
                <c:pt idx="8">
                  <c:v>1.02738949810918</c:v>
                </c:pt>
                <c:pt idx="9">
                  <c:v>1.0315841086163999</c:v>
                </c:pt>
                <c:pt idx="10">
                  <c:v>1.0253396615894901</c:v>
                </c:pt>
                <c:pt idx="11">
                  <c:v>1.02072896545342</c:v>
                </c:pt>
                <c:pt idx="12">
                  <c:v>1.02521438011467</c:v>
                </c:pt>
                <c:pt idx="13">
                  <c:v>1.0314543400315901</c:v>
                </c:pt>
                <c:pt idx="14">
                  <c:v>1.02869531948208</c:v>
                </c:pt>
                <c:pt idx="15">
                  <c:v>1.02551288527968</c:v>
                </c:pt>
                <c:pt idx="16">
                  <c:v>1.0272027405428099</c:v>
                </c:pt>
                <c:pt idx="17">
                  <c:v>1.02825010910925</c:v>
                </c:pt>
                <c:pt idx="18">
                  <c:v>1.02929747767569</c:v>
                </c:pt>
                <c:pt idx="19">
                  <c:v>1.0351911710597601</c:v>
                </c:pt>
                <c:pt idx="20">
                  <c:v>1.0354457075338099</c:v>
                </c:pt>
                <c:pt idx="21">
                  <c:v>1.0338848593446399</c:v>
                </c:pt>
                <c:pt idx="22">
                  <c:v>1.04006439946041</c:v>
                </c:pt>
                <c:pt idx="23">
                  <c:v>1.03804239707771</c:v>
                </c:pt>
                <c:pt idx="24">
                  <c:v>1.0389527903479301</c:v>
                </c:pt>
                <c:pt idx="25">
                  <c:v>1.0403597994165901</c:v>
                </c:pt>
                <c:pt idx="26">
                  <c:v>1.0475056677927099</c:v>
                </c:pt>
                <c:pt idx="27">
                  <c:v>1.05392153415259</c:v>
                </c:pt>
                <c:pt idx="28">
                  <c:v>1.03730052512532</c:v>
                </c:pt>
                <c:pt idx="29">
                  <c:v>1.0440089217060999</c:v>
                </c:pt>
                <c:pt idx="30">
                  <c:v>1.0421830277183599</c:v>
                </c:pt>
                <c:pt idx="31">
                  <c:v>1.0350982397081601</c:v>
                </c:pt>
                <c:pt idx="32">
                  <c:v>1.0390114788460201</c:v>
                </c:pt>
                <c:pt idx="33">
                  <c:v>1.0380520588714499</c:v>
                </c:pt>
                <c:pt idx="34">
                  <c:v>1.03931015912169</c:v>
                </c:pt>
                <c:pt idx="35">
                  <c:v>1.0426244124591599</c:v>
                </c:pt>
                <c:pt idx="36">
                  <c:v>1.0470023396639001</c:v>
                </c:pt>
                <c:pt idx="37">
                  <c:v>1.05081651627112</c:v>
                </c:pt>
                <c:pt idx="38">
                  <c:v>1.05376395954871</c:v>
                </c:pt>
                <c:pt idx="39">
                  <c:v>1.05671140282631</c:v>
                </c:pt>
                <c:pt idx="40">
                  <c:v>1.0573366474529999</c:v>
                </c:pt>
                <c:pt idx="41">
                  <c:v>1.0600014235683399</c:v>
                </c:pt>
                <c:pt idx="42">
                  <c:v>1.06734482989293</c:v>
                </c:pt>
                <c:pt idx="43">
                  <c:v>1.07637889410174</c:v>
                </c:pt>
                <c:pt idx="44">
                  <c:v>1.0802198576183599</c:v>
                </c:pt>
                <c:pt idx="45">
                  <c:v>1.07936321994613</c:v>
                </c:pt>
                <c:pt idx="46">
                  <c:v>1.0833997089835701</c:v>
                </c:pt>
                <c:pt idx="47">
                  <c:v>1.0837036755013301</c:v>
                </c:pt>
                <c:pt idx="48">
                  <c:v>1.0837036755013301</c:v>
                </c:pt>
                <c:pt idx="49">
                  <c:v>1.0837036755013301</c:v>
                </c:pt>
                <c:pt idx="50">
                  <c:v>1.0837036755013301</c:v>
                </c:pt>
                <c:pt idx="51">
                  <c:v>1.0837036755013301</c:v>
                </c:pt>
              </c:numCache>
            </c:numRef>
          </c:val>
          <c:smooth val="0"/>
          <c:extLst>
            <c:ext xmlns:c16="http://schemas.microsoft.com/office/drawing/2014/chart" uri="{C3380CC4-5D6E-409C-BE32-E72D297353CC}">
              <c16:uniqueId val="{00000006-0077-40B3-8DBA-B977EFC9DB20}"/>
            </c:ext>
          </c:extLst>
        </c:ser>
        <c:dLbls>
          <c:showLegendKey val="0"/>
          <c:showVal val="0"/>
          <c:showCatName val="0"/>
          <c:showSerName val="0"/>
          <c:showPercent val="0"/>
          <c:showBubbleSize val="0"/>
        </c:dLbls>
        <c:smooth val="0"/>
        <c:axId val="1681827920"/>
        <c:axId val="1632354032"/>
      </c:lineChart>
      <c:dateAx>
        <c:axId val="16818279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2354032"/>
        <c:crosses val="autoZero"/>
        <c:auto val="1"/>
        <c:lblOffset val="100"/>
        <c:baseTimeUnit val="days"/>
        <c:majorUnit val="45"/>
        <c:majorTimeUnit val="days"/>
      </c:dateAx>
      <c:valAx>
        <c:axId val="1632354032"/>
        <c:scaling>
          <c:orientation val="minMax"/>
          <c:min val="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1827920"/>
        <c:crosses val="autoZero"/>
        <c:crossBetween val="between"/>
      </c:valAx>
      <c:spPr>
        <a:noFill/>
        <a:ln>
          <a:noFill/>
        </a:ln>
        <a:effectLst/>
      </c:spPr>
    </c:plotArea>
    <c:legend>
      <c:legendPos val="b"/>
      <c:layout>
        <c:manualLayout>
          <c:xMode val="edge"/>
          <c:yMode val="edge"/>
          <c:x val="0.82457300475619277"/>
          <c:y val="0.18828375913290513"/>
          <c:w val="0.17321796755870617"/>
          <c:h val="0.499303455370919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期货策略指数表现</a:t>
            </a:r>
            <a:endParaRPr lang="en-US" altLang="zh-CN"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3051369357384544E-2"/>
          <c:y val="0.12472465772032082"/>
          <c:w val="0.70450541639332287"/>
          <c:h val="0.5761893502279658"/>
        </c:manualLayout>
      </c:layout>
      <c:lineChart>
        <c:grouping val="standard"/>
        <c:varyColors val="0"/>
        <c:ser>
          <c:idx val="0"/>
          <c:order val="0"/>
          <c:tx>
            <c:strRef>
              <c:f>管理期货策略_每周idx_分位图!$B$1</c:f>
              <c:strCache>
                <c:ptCount val="1"/>
                <c:pt idx="0">
                  <c:v>10% 分位数</c:v>
                </c:pt>
              </c:strCache>
            </c:strRef>
          </c:tx>
          <c:spPr>
            <a:ln w="28575" cap="rnd">
              <a:solidFill>
                <a:schemeClr val="accent1"/>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管理期货策略_每周idx_分位图!$B$2:$B$54</c:f>
              <c:numCache>
                <c:formatCode>General</c:formatCode>
                <c:ptCount val="53"/>
                <c:pt idx="0">
                  <c:v>1</c:v>
                </c:pt>
                <c:pt idx="1">
                  <c:v>0.99910628351436803</c:v>
                </c:pt>
                <c:pt idx="2">
                  <c:v>0.99345849970265898</c:v>
                </c:pt>
                <c:pt idx="3">
                  <c:v>0.99402447219622103</c:v>
                </c:pt>
                <c:pt idx="4">
                  <c:v>0.99337782981756895</c:v>
                </c:pt>
                <c:pt idx="5">
                  <c:v>0.98881255281689695</c:v>
                </c:pt>
                <c:pt idx="6">
                  <c:v>1.0003899999999999</c:v>
                </c:pt>
                <c:pt idx="7">
                  <c:v>0.99662395462934905</c:v>
                </c:pt>
                <c:pt idx="8">
                  <c:v>0.999962560801816</c:v>
                </c:pt>
                <c:pt idx="9">
                  <c:v>0.99851395462935</c:v>
                </c:pt>
                <c:pt idx="10">
                  <c:v>0.999962560801816</c:v>
                </c:pt>
                <c:pt idx="11">
                  <c:v>0.998302528926724</c:v>
                </c:pt>
                <c:pt idx="12">
                  <c:v>0.98926412730825097</c:v>
                </c:pt>
                <c:pt idx="13">
                  <c:v>0.98279571111683794</c:v>
                </c:pt>
                <c:pt idx="14">
                  <c:v>0.97520009902390703</c:v>
                </c:pt>
                <c:pt idx="15">
                  <c:v>0.96051388270536997</c:v>
                </c:pt>
                <c:pt idx="16">
                  <c:v>0.95806458327363597</c:v>
                </c:pt>
                <c:pt idx="17">
                  <c:v>0.95526458327363595</c:v>
                </c:pt>
                <c:pt idx="18">
                  <c:v>0.96278842653771002</c:v>
                </c:pt>
                <c:pt idx="19">
                  <c:v>0.96259696487782598</c:v>
                </c:pt>
                <c:pt idx="20">
                  <c:v>0.96219366668078898</c:v>
                </c:pt>
                <c:pt idx="21">
                  <c:v>0.96264544357848403</c:v>
                </c:pt>
                <c:pt idx="22">
                  <c:v>0.96125704989706195</c:v>
                </c:pt>
                <c:pt idx="23">
                  <c:v>0.96145892653263398</c:v>
                </c:pt>
                <c:pt idx="24">
                  <c:v>0.950899332635182</c:v>
                </c:pt>
                <c:pt idx="25">
                  <c:v>0.94810909565690304</c:v>
                </c:pt>
                <c:pt idx="26">
                  <c:v>0.95403036661128304</c:v>
                </c:pt>
                <c:pt idx="27">
                  <c:v>0.94862658161813895</c:v>
                </c:pt>
                <c:pt idx="28">
                  <c:v>0.95003421726260495</c:v>
                </c:pt>
                <c:pt idx="29">
                  <c:v>0.94572332181553298</c:v>
                </c:pt>
                <c:pt idx="30">
                  <c:v>0.94787018682532098</c:v>
                </c:pt>
                <c:pt idx="31">
                  <c:v>0.94731956777239201</c:v>
                </c:pt>
                <c:pt idx="32">
                  <c:v>0.94161933125183594</c:v>
                </c:pt>
                <c:pt idx="33">
                  <c:v>0.948157819919624</c:v>
                </c:pt>
                <c:pt idx="34">
                  <c:v>0.93671580818400402</c:v>
                </c:pt>
                <c:pt idx="35">
                  <c:v>0.94523221114029499</c:v>
                </c:pt>
                <c:pt idx="36">
                  <c:v>0.90211806860070198</c:v>
                </c:pt>
                <c:pt idx="37">
                  <c:v>0.90142491021178195</c:v>
                </c:pt>
                <c:pt idx="38">
                  <c:v>0.89992826247047997</c:v>
                </c:pt>
                <c:pt idx="39">
                  <c:v>0.92532547056213899</c:v>
                </c:pt>
                <c:pt idx="40">
                  <c:v>0.91691472223077497</c:v>
                </c:pt>
                <c:pt idx="41">
                  <c:v>0.93399001568763695</c:v>
                </c:pt>
                <c:pt idx="42">
                  <c:v>0.92373446269682102</c:v>
                </c:pt>
                <c:pt idx="43">
                  <c:v>0.92433746348453705</c:v>
                </c:pt>
                <c:pt idx="44">
                  <c:v>0.93522791535215</c:v>
                </c:pt>
                <c:pt idx="45">
                  <c:v>0.93491148854298101</c:v>
                </c:pt>
                <c:pt idx="46">
                  <c:v>0.93385749185945199</c:v>
                </c:pt>
                <c:pt idx="47">
                  <c:v>0.93033945712061805</c:v>
                </c:pt>
                <c:pt idx="48">
                  <c:v>0.92967411315777704</c:v>
                </c:pt>
                <c:pt idx="49">
                  <c:v>0.91817815739207798</c:v>
                </c:pt>
                <c:pt idx="50">
                  <c:v>0.89970255393230703</c:v>
                </c:pt>
                <c:pt idx="51">
                  <c:v>0.90550468033676901</c:v>
                </c:pt>
                <c:pt idx="52">
                  <c:v>0.90550468033676901</c:v>
                </c:pt>
              </c:numCache>
            </c:numRef>
          </c:val>
          <c:smooth val="0"/>
          <c:extLst>
            <c:ext xmlns:c16="http://schemas.microsoft.com/office/drawing/2014/chart" uri="{C3380CC4-5D6E-409C-BE32-E72D297353CC}">
              <c16:uniqueId val="{00000000-AF75-4636-BD7A-93E1719299C5}"/>
            </c:ext>
          </c:extLst>
        </c:ser>
        <c:ser>
          <c:idx val="1"/>
          <c:order val="1"/>
          <c:tx>
            <c:strRef>
              <c:f>管理期货策略_每周idx_分位图!$C$1</c:f>
              <c:strCache>
                <c:ptCount val="1"/>
                <c:pt idx="0">
                  <c:v>25% 分位数</c:v>
                </c:pt>
              </c:strCache>
            </c:strRef>
          </c:tx>
          <c:spPr>
            <a:ln w="28575" cap="rnd">
              <a:solidFill>
                <a:schemeClr val="accent2"/>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管理期货策略_每周idx_分位图!$C$2:$C$54</c:f>
              <c:numCache>
                <c:formatCode>General</c:formatCode>
                <c:ptCount val="53"/>
                <c:pt idx="0">
                  <c:v>1</c:v>
                </c:pt>
                <c:pt idx="1">
                  <c:v>1</c:v>
                </c:pt>
                <c:pt idx="2">
                  <c:v>1.00004117128819</c:v>
                </c:pt>
                <c:pt idx="3">
                  <c:v>1.0028614427036699</c:v>
                </c:pt>
                <c:pt idx="4">
                  <c:v>1.0042180170272801</c:v>
                </c:pt>
                <c:pt idx="5">
                  <c:v>1.00730760818234</c:v>
                </c:pt>
                <c:pt idx="6">
                  <c:v>1.0178112799628201</c:v>
                </c:pt>
                <c:pt idx="7">
                  <c:v>1.0194553197334899</c:v>
                </c:pt>
                <c:pt idx="8">
                  <c:v>1.02298104068049</c:v>
                </c:pt>
                <c:pt idx="9">
                  <c:v>1.0233383607239399</c:v>
                </c:pt>
                <c:pt idx="10">
                  <c:v>1.0209845390371</c:v>
                </c:pt>
                <c:pt idx="11">
                  <c:v>1.0122890202294099</c:v>
                </c:pt>
                <c:pt idx="12">
                  <c:v>1.0057484629123501</c:v>
                </c:pt>
                <c:pt idx="13">
                  <c:v>1.00812841179138</c:v>
                </c:pt>
                <c:pt idx="14">
                  <c:v>1.0088896547439901</c:v>
                </c:pt>
                <c:pt idx="15">
                  <c:v>1.0036280435307601</c:v>
                </c:pt>
                <c:pt idx="16">
                  <c:v>1.00078276641158</c:v>
                </c:pt>
                <c:pt idx="17">
                  <c:v>1.0002198514217999</c:v>
                </c:pt>
                <c:pt idx="18">
                  <c:v>1.0020516523659799</c:v>
                </c:pt>
                <c:pt idx="19">
                  <c:v>1.0027889650022801</c:v>
                </c:pt>
                <c:pt idx="20">
                  <c:v>1.00525951942083</c:v>
                </c:pt>
                <c:pt idx="21">
                  <c:v>1.0104780482914899</c:v>
                </c:pt>
                <c:pt idx="22">
                  <c:v>1.00839909904919</c:v>
                </c:pt>
                <c:pt idx="23">
                  <c:v>1.00454790993599</c:v>
                </c:pt>
                <c:pt idx="24">
                  <c:v>1.0078960814397</c:v>
                </c:pt>
                <c:pt idx="25">
                  <c:v>1.0184085669251099</c:v>
                </c:pt>
                <c:pt idx="26">
                  <c:v>1.00264109339614</c:v>
                </c:pt>
                <c:pt idx="27">
                  <c:v>1.0068838428493601</c:v>
                </c:pt>
                <c:pt idx="28">
                  <c:v>1.0032590173512801</c:v>
                </c:pt>
                <c:pt idx="29">
                  <c:v>0.99962188917915595</c:v>
                </c:pt>
                <c:pt idx="30">
                  <c:v>0.994948585822922</c:v>
                </c:pt>
                <c:pt idx="31">
                  <c:v>0.99340372466353599</c:v>
                </c:pt>
                <c:pt idx="32">
                  <c:v>0.99101588230413296</c:v>
                </c:pt>
                <c:pt idx="33">
                  <c:v>0.98993113864553295</c:v>
                </c:pt>
                <c:pt idx="34">
                  <c:v>0.98793171007159497</c:v>
                </c:pt>
                <c:pt idx="35">
                  <c:v>0.98891130312747499</c:v>
                </c:pt>
                <c:pt idx="36">
                  <c:v>0.99361947576233201</c:v>
                </c:pt>
                <c:pt idx="37">
                  <c:v>0.99567396888825399</c:v>
                </c:pt>
                <c:pt idx="38">
                  <c:v>0.99636078207506695</c:v>
                </c:pt>
                <c:pt idx="39">
                  <c:v>0.99658937192117703</c:v>
                </c:pt>
                <c:pt idx="40">
                  <c:v>0.99929879412664502</c:v>
                </c:pt>
                <c:pt idx="41">
                  <c:v>0.99308699861265903</c:v>
                </c:pt>
                <c:pt idx="42">
                  <c:v>0.99638612516793101</c:v>
                </c:pt>
                <c:pt idx="43">
                  <c:v>0.99950837550379401</c:v>
                </c:pt>
                <c:pt idx="44">
                  <c:v>1.00082569169672</c:v>
                </c:pt>
                <c:pt idx="45">
                  <c:v>1.0026124203811</c:v>
                </c:pt>
                <c:pt idx="46">
                  <c:v>1.0108356607859399</c:v>
                </c:pt>
                <c:pt idx="47">
                  <c:v>1.011325</c:v>
                </c:pt>
                <c:pt idx="48">
                  <c:v>1.0106999999999999</c:v>
                </c:pt>
                <c:pt idx="49">
                  <c:v>1.01037416778032</c:v>
                </c:pt>
                <c:pt idx="50">
                  <c:v>1.01526327014218</c:v>
                </c:pt>
                <c:pt idx="51">
                  <c:v>1.0172810888669901</c:v>
                </c:pt>
                <c:pt idx="52">
                  <c:v>1.0129049363776399</c:v>
                </c:pt>
              </c:numCache>
            </c:numRef>
          </c:val>
          <c:smooth val="0"/>
          <c:extLst>
            <c:ext xmlns:c16="http://schemas.microsoft.com/office/drawing/2014/chart" uri="{C3380CC4-5D6E-409C-BE32-E72D297353CC}">
              <c16:uniqueId val="{00000001-AF75-4636-BD7A-93E1719299C5}"/>
            </c:ext>
          </c:extLst>
        </c:ser>
        <c:ser>
          <c:idx val="2"/>
          <c:order val="2"/>
          <c:tx>
            <c:strRef>
              <c:f>管理期货策略_每周idx_分位图!$D$1</c:f>
              <c:strCache>
                <c:ptCount val="1"/>
                <c:pt idx="0">
                  <c:v>40% 分位数</c:v>
                </c:pt>
              </c:strCache>
            </c:strRef>
          </c:tx>
          <c:spPr>
            <a:ln w="28575" cap="rnd">
              <a:solidFill>
                <a:schemeClr val="accent3"/>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管理期货策略_每周idx_分位图!$D$2:$D$54</c:f>
              <c:numCache>
                <c:formatCode>General</c:formatCode>
                <c:ptCount val="53"/>
                <c:pt idx="0">
                  <c:v>1</c:v>
                </c:pt>
                <c:pt idx="1">
                  <c:v>1.0019789464006601</c:v>
                </c:pt>
                <c:pt idx="2">
                  <c:v>1.0046032880645199</c:v>
                </c:pt>
                <c:pt idx="3">
                  <c:v>1.0092329978597101</c:v>
                </c:pt>
                <c:pt idx="4">
                  <c:v>1.0179428221239599</c:v>
                </c:pt>
                <c:pt idx="5">
                  <c:v>1.0198687993399</c:v>
                </c:pt>
                <c:pt idx="6">
                  <c:v>1.0377364375982501</c:v>
                </c:pt>
                <c:pt idx="7">
                  <c:v>1.03929150289506</c:v>
                </c:pt>
                <c:pt idx="8">
                  <c:v>1.04947593620739</c:v>
                </c:pt>
                <c:pt idx="9">
                  <c:v>1.0419206489921999</c:v>
                </c:pt>
                <c:pt idx="10">
                  <c:v>1.04403732311497</c:v>
                </c:pt>
                <c:pt idx="11">
                  <c:v>1.0419563190841401</c:v>
                </c:pt>
                <c:pt idx="12">
                  <c:v>1.0302910846265201</c:v>
                </c:pt>
                <c:pt idx="13">
                  <c:v>1.0321347998771999</c:v>
                </c:pt>
                <c:pt idx="14">
                  <c:v>1.03456641510087</c:v>
                </c:pt>
                <c:pt idx="15">
                  <c:v>1.02855511485675</c:v>
                </c:pt>
                <c:pt idx="16">
                  <c:v>1.0249521710439999</c:v>
                </c:pt>
                <c:pt idx="17">
                  <c:v>1.0261336439020201</c:v>
                </c:pt>
                <c:pt idx="18">
                  <c:v>1.0298003549108601</c:v>
                </c:pt>
                <c:pt idx="19">
                  <c:v>1.0294924458413699</c:v>
                </c:pt>
                <c:pt idx="20">
                  <c:v>1.0410319018304699</c:v>
                </c:pt>
                <c:pt idx="21">
                  <c:v>1.0432970517342399</c:v>
                </c:pt>
                <c:pt idx="22">
                  <c:v>1.0436206964082799</c:v>
                </c:pt>
                <c:pt idx="23">
                  <c:v>1.0420443275400699</c:v>
                </c:pt>
                <c:pt idx="24">
                  <c:v>1.0456256118292899</c:v>
                </c:pt>
                <c:pt idx="25">
                  <c:v>1.04554724559907</c:v>
                </c:pt>
                <c:pt idx="26">
                  <c:v>1.04220292330374</c:v>
                </c:pt>
                <c:pt idx="27">
                  <c:v>1.0458654953802899</c:v>
                </c:pt>
                <c:pt idx="28">
                  <c:v>1.04566489357487</c:v>
                </c:pt>
                <c:pt idx="29">
                  <c:v>1.04048758351503</c:v>
                </c:pt>
                <c:pt idx="30">
                  <c:v>1.0390029018714499</c:v>
                </c:pt>
                <c:pt idx="31">
                  <c:v>1.02729845876563</c:v>
                </c:pt>
                <c:pt idx="32">
                  <c:v>1.0267922252634201</c:v>
                </c:pt>
                <c:pt idx="33">
                  <c:v>1.03318352405146</c:v>
                </c:pt>
                <c:pt idx="34">
                  <c:v>1.0306090456129999</c:v>
                </c:pt>
                <c:pt idx="35">
                  <c:v>1.02560522931858</c:v>
                </c:pt>
                <c:pt idx="36">
                  <c:v>1.0274775107012</c:v>
                </c:pt>
                <c:pt idx="37">
                  <c:v>1.02950232736372</c:v>
                </c:pt>
                <c:pt idx="38">
                  <c:v>1.02453062801932</c:v>
                </c:pt>
                <c:pt idx="39">
                  <c:v>1.02499596662819</c:v>
                </c:pt>
                <c:pt idx="40">
                  <c:v>1.02996529933022</c:v>
                </c:pt>
                <c:pt idx="41">
                  <c:v>1.0333040384389001</c:v>
                </c:pt>
                <c:pt idx="42">
                  <c:v>1.0407296369875301</c:v>
                </c:pt>
                <c:pt idx="43">
                  <c:v>1.0433009381595</c:v>
                </c:pt>
                <c:pt idx="44">
                  <c:v>1.03842552361359</c:v>
                </c:pt>
                <c:pt idx="45">
                  <c:v>1.04431030317762</c:v>
                </c:pt>
                <c:pt idx="46">
                  <c:v>1.05051911815611</c:v>
                </c:pt>
                <c:pt idx="47">
                  <c:v>1.0571286637197601</c:v>
                </c:pt>
                <c:pt idx="48">
                  <c:v>1.0628103122149499</c:v>
                </c:pt>
                <c:pt idx="49">
                  <c:v>1.06286679639472</c:v>
                </c:pt>
                <c:pt idx="50">
                  <c:v>1.06286679639472</c:v>
                </c:pt>
                <c:pt idx="51">
                  <c:v>1.06286679639472</c:v>
                </c:pt>
                <c:pt idx="52">
                  <c:v>1.06286679639472</c:v>
                </c:pt>
              </c:numCache>
            </c:numRef>
          </c:val>
          <c:smooth val="0"/>
          <c:extLst>
            <c:ext xmlns:c16="http://schemas.microsoft.com/office/drawing/2014/chart" uri="{C3380CC4-5D6E-409C-BE32-E72D297353CC}">
              <c16:uniqueId val="{00000002-AF75-4636-BD7A-93E1719299C5}"/>
            </c:ext>
          </c:extLst>
        </c:ser>
        <c:ser>
          <c:idx val="3"/>
          <c:order val="3"/>
          <c:tx>
            <c:strRef>
              <c:f>管理期货策略_每周idx_分位图!$E$1</c:f>
              <c:strCache>
                <c:ptCount val="1"/>
                <c:pt idx="0">
                  <c:v>50% 分位数</c:v>
                </c:pt>
              </c:strCache>
            </c:strRef>
          </c:tx>
          <c:spPr>
            <a:ln w="28575" cap="rnd">
              <a:solidFill>
                <a:schemeClr val="accent4"/>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管理期货策略_每周idx_分位图!$E$2:$E$54</c:f>
              <c:numCache>
                <c:formatCode>General</c:formatCode>
                <c:ptCount val="53"/>
                <c:pt idx="0">
                  <c:v>1</c:v>
                </c:pt>
                <c:pt idx="1">
                  <c:v>1.0037692576914501</c:v>
                </c:pt>
                <c:pt idx="2">
                  <c:v>1.00804078427035</c:v>
                </c:pt>
                <c:pt idx="3">
                  <c:v>1.0161812522077001</c:v>
                </c:pt>
                <c:pt idx="4">
                  <c:v>1.02351987483975</c:v>
                </c:pt>
                <c:pt idx="5">
                  <c:v>1.03489074352404</c:v>
                </c:pt>
                <c:pt idx="6">
                  <c:v>1.06264059137292</c:v>
                </c:pt>
                <c:pt idx="7">
                  <c:v>1.0467924386766501</c:v>
                </c:pt>
                <c:pt idx="8">
                  <c:v>1.0604289921896499</c:v>
                </c:pt>
                <c:pt idx="9">
                  <c:v>1.0526050635850299</c:v>
                </c:pt>
                <c:pt idx="10">
                  <c:v>1.05232993800269</c:v>
                </c:pt>
                <c:pt idx="11">
                  <c:v>1.04953181473158</c:v>
                </c:pt>
                <c:pt idx="12">
                  <c:v>1.04359942000595</c:v>
                </c:pt>
                <c:pt idx="13">
                  <c:v>1.0471692750586701</c:v>
                </c:pt>
                <c:pt idx="14">
                  <c:v>1.04466953780767</c:v>
                </c:pt>
                <c:pt idx="15">
                  <c:v>1.04451372513948</c:v>
                </c:pt>
                <c:pt idx="16">
                  <c:v>1.04340920098755</c:v>
                </c:pt>
                <c:pt idx="17">
                  <c:v>1.04212421976702</c:v>
                </c:pt>
                <c:pt idx="18">
                  <c:v>1.0462601234968201</c:v>
                </c:pt>
                <c:pt idx="19">
                  <c:v>1.0458178070953801</c:v>
                </c:pt>
                <c:pt idx="20">
                  <c:v>1.0507773789336901</c:v>
                </c:pt>
                <c:pt idx="21">
                  <c:v>1.05483833084557</c:v>
                </c:pt>
                <c:pt idx="22">
                  <c:v>1.0594286643247499</c:v>
                </c:pt>
                <c:pt idx="23">
                  <c:v>1.0576546581877899</c:v>
                </c:pt>
                <c:pt idx="24">
                  <c:v>1.0642684456687499</c:v>
                </c:pt>
                <c:pt idx="25">
                  <c:v>1.06777882162072</c:v>
                </c:pt>
                <c:pt idx="26">
                  <c:v>1.06662721085765</c:v>
                </c:pt>
                <c:pt idx="27">
                  <c:v>1.06879599503853</c:v>
                </c:pt>
                <c:pt idx="28">
                  <c:v>1.0760036939983899</c:v>
                </c:pt>
                <c:pt idx="29">
                  <c:v>1.06032548255936</c:v>
                </c:pt>
                <c:pt idx="30">
                  <c:v>1.05673632667874</c:v>
                </c:pt>
                <c:pt idx="31">
                  <c:v>1.04985631279505</c:v>
                </c:pt>
                <c:pt idx="32">
                  <c:v>1.04236804340969</c:v>
                </c:pt>
                <c:pt idx="33">
                  <c:v>1.0476272259556201</c:v>
                </c:pt>
                <c:pt idx="34">
                  <c:v>1.04538019281181</c:v>
                </c:pt>
                <c:pt idx="35">
                  <c:v>1.04661668969246</c:v>
                </c:pt>
                <c:pt idx="36">
                  <c:v>1.04794604736887</c:v>
                </c:pt>
                <c:pt idx="37">
                  <c:v>1.05181367177802</c:v>
                </c:pt>
                <c:pt idx="38">
                  <c:v>1.05321869097874</c:v>
                </c:pt>
                <c:pt idx="39">
                  <c:v>1.0531758430481499</c:v>
                </c:pt>
                <c:pt idx="40">
                  <c:v>1.0576382281479499</c:v>
                </c:pt>
                <c:pt idx="41">
                  <c:v>1.06222974094657</c:v>
                </c:pt>
                <c:pt idx="42">
                  <c:v>1.0704697964079399</c:v>
                </c:pt>
                <c:pt idx="43">
                  <c:v>1.0698524283726001</c:v>
                </c:pt>
                <c:pt idx="44">
                  <c:v>1.0781441679318899</c:v>
                </c:pt>
                <c:pt idx="45">
                  <c:v>1.07579688702062</c:v>
                </c:pt>
                <c:pt idx="46">
                  <c:v>1.0865251080357501</c:v>
                </c:pt>
                <c:pt idx="47">
                  <c:v>1.0908393922062101</c:v>
                </c:pt>
                <c:pt idx="48">
                  <c:v>1.0896101493328401</c:v>
                </c:pt>
                <c:pt idx="49">
                  <c:v>1.08882726755827</c:v>
                </c:pt>
                <c:pt idx="50">
                  <c:v>1.0790988214136801</c:v>
                </c:pt>
                <c:pt idx="51">
                  <c:v>1.0771074847487201</c:v>
                </c:pt>
                <c:pt idx="52">
                  <c:v>1.08190128649217</c:v>
                </c:pt>
              </c:numCache>
            </c:numRef>
          </c:val>
          <c:smooth val="0"/>
          <c:extLst>
            <c:ext xmlns:c16="http://schemas.microsoft.com/office/drawing/2014/chart" uri="{C3380CC4-5D6E-409C-BE32-E72D297353CC}">
              <c16:uniqueId val="{00000003-AF75-4636-BD7A-93E1719299C5}"/>
            </c:ext>
          </c:extLst>
        </c:ser>
        <c:ser>
          <c:idx val="4"/>
          <c:order val="4"/>
          <c:tx>
            <c:strRef>
              <c:f>管理期货策略_每周idx_分位图!$F$1</c:f>
              <c:strCache>
                <c:ptCount val="1"/>
                <c:pt idx="0">
                  <c:v>60% 分位数</c:v>
                </c:pt>
              </c:strCache>
            </c:strRef>
          </c:tx>
          <c:spPr>
            <a:ln w="28575" cap="rnd">
              <a:solidFill>
                <a:schemeClr val="accent5"/>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管理期货策略_每周idx_分位图!$F$2:$F$54</c:f>
              <c:numCache>
                <c:formatCode>General</c:formatCode>
                <c:ptCount val="53"/>
                <c:pt idx="0">
                  <c:v>1</c:v>
                </c:pt>
                <c:pt idx="1">
                  <c:v>1.00686498855835</c:v>
                </c:pt>
                <c:pt idx="2">
                  <c:v>1.0146496815286601</c:v>
                </c:pt>
                <c:pt idx="3">
                  <c:v>1.0206083881508401</c:v>
                </c:pt>
                <c:pt idx="4">
                  <c:v>1.0413581891139001</c:v>
                </c:pt>
                <c:pt idx="5">
                  <c:v>1.0491093575619901</c:v>
                </c:pt>
                <c:pt idx="6">
                  <c:v>1.08067610403186</c:v>
                </c:pt>
                <c:pt idx="7">
                  <c:v>1.0701129037057899</c:v>
                </c:pt>
                <c:pt idx="8">
                  <c:v>1.0869573182207199</c:v>
                </c:pt>
                <c:pt idx="9">
                  <c:v>1.0763202349152601</c:v>
                </c:pt>
                <c:pt idx="10">
                  <c:v>1.07117494243119</c:v>
                </c:pt>
                <c:pt idx="11">
                  <c:v>1.0656798726529</c:v>
                </c:pt>
                <c:pt idx="12">
                  <c:v>1.0567108376584999</c:v>
                </c:pt>
                <c:pt idx="13">
                  <c:v>1.05750302763574</c:v>
                </c:pt>
                <c:pt idx="14">
                  <c:v>1.0621796633037099</c:v>
                </c:pt>
                <c:pt idx="15">
                  <c:v>1.05938415958833</c:v>
                </c:pt>
                <c:pt idx="16">
                  <c:v>1.06216466472005</c:v>
                </c:pt>
                <c:pt idx="17">
                  <c:v>1.0681649090951399</c:v>
                </c:pt>
                <c:pt idx="18">
                  <c:v>1.06704495963306</c:v>
                </c:pt>
                <c:pt idx="19">
                  <c:v>1.06539924870687</c:v>
                </c:pt>
                <c:pt idx="20">
                  <c:v>1.0788923223495901</c:v>
                </c:pt>
                <c:pt idx="21">
                  <c:v>1.0752073602997101</c:v>
                </c:pt>
                <c:pt idx="22">
                  <c:v>1.08086489194462</c:v>
                </c:pt>
                <c:pt idx="23">
                  <c:v>1.0826491054653999</c:v>
                </c:pt>
                <c:pt idx="24">
                  <c:v>1.0864408372424601</c:v>
                </c:pt>
                <c:pt idx="25">
                  <c:v>1.08991483391783</c:v>
                </c:pt>
                <c:pt idx="26">
                  <c:v>1.0852355436771</c:v>
                </c:pt>
                <c:pt idx="27">
                  <c:v>1.0925374312148399</c:v>
                </c:pt>
                <c:pt idx="28">
                  <c:v>1.09657725608415</c:v>
                </c:pt>
                <c:pt idx="29">
                  <c:v>1.0829377185206299</c:v>
                </c:pt>
                <c:pt idx="30">
                  <c:v>1.07791675071113</c:v>
                </c:pt>
                <c:pt idx="31">
                  <c:v>1.0739815404792099</c:v>
                </c:pt>
                <c:pt idx="32">
                  <c:v>1.07343359562622</c:v>
                </c:pt>
                <c:pt idx="33">
                  <c:v>1.0695869914259299</c:v>
                </c:pt>
                <c:pt idx="34">
                  <c:v>1.0703082078680599</c:v>
                </c:pt>
                <c:pt idx="35">
                  <c:v>1.07349454009197</c:v>
                </c:pt>
                <c:pt idx="36">
                  <c:v>1.0744704387785899</c:v>
                </c:pt>
                <c:pt idx="37">
                  <c:v>1.0675085213495299</c:v>
                </c:pt>
                <c:pt idx="38">
                  <c:v>1.0749207602126101</c:v>
                </c:pt>
                <c:pt idx="39">
                  <c:v>1.08092507225708</c:v>
                </c:pt>
                <c:pt idx="40">
                  <c:v>1.0802912160048199</c:v>
                </c:pt>
                <c:pt idx="41">
                  <c:v>1.09117941226697</c:v>
                </c:pt>
                <c:pt idx="42">
                  <c:v>1.09094030606475</c:v>
                </c:pt>
                <c:pt idx="43">
                  <c:v>1.08964837945982</c:v>
                </c:pt>
                <c:pt idx="44">
                  <c:v>1.09612085077418</c:v>
                </c:pt>
                <c:pt idx="45">
                  <c:v>1.09555575786493</c:v>
                </c:pt>
                <c:pt idx="46">
                  <c:v>1.1071165169295001</c:v>
                </c:pt>
                <c:pt idx="47">
                  <c:v>1.1110608620370599</c:v>
                </c:pt>
                <c:pt idx="48">
                  <c:v>1.1167500070627401</c:v>
                </c:pt>
                <c:pt idx="49">
                  <c:v>1.11037308413462</c:v>
                </c:pt>
                <c:pt idx="50">
                  <c:v>1.1095077116657499</c:v>
                </c:pt>
                <c:pt idx="51">
                  <c:v>1.1077047036368699</c:v>
                </c:pt>
                <c:pt idx="52">
                  <c:v>1.1077047036368699</c:v>
                </c:pt>
              </c:numCache>
            </c:numRef>
          </c:val>
          <c:smooth val="0"/>
          <c:extLst>
            <c:ext xmlns:c16="http://schemas.microsoft.com/office/drawing/2014/chart" uri="{C3380CC4-5D6E-409C-BE32-E72D297353CC}">
              <c16:uniqueId val="{00000004-AF75-4636-BD7A-93E1719299C5}"/>
            </c:ext>
          </c:extLst>
        </c:ser>
        <c:ser>
          <c:idx val="5"/>
          <c:order val="5"/>
          <c:tx>
            <c:strRef>
              <c:f>管理期货策略_每周idx_分位图!$G$1</c:f>
              <c:strCache>
                <c:ptCount val="1"/>
                <c:pt idx="0">
                  <c:v>75% 分位数</c:v>
                </c:pt>
              </c:strCache>
            </c:strRef>
          </c:tx>
          <c:spPr>
            <a:ln w="28575" cap="rnd">
              <a:solidFill>
                <a:schemeClr val="accent6"/>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管理期货策略_每周idx_分位图!$G$2:$G$54</c:f>
              <c:numCache>
                <c:formatCode>General</c:formatCode>
                <c:ptCount val="53"/>
                <c:pt idx="0">
                  <c:v>1</c:v>
                </c:pt>
                <c:pt idx="1">
                  <c:v>1.0101902737153901</c:v>
                </c:pt>
                <c:pt idx="2">
                  <c:v>1.0203805474307901</c:v>
                </c:pt>
                <c:pt idx="3">
                  <c:v>1.02837060385083</c:v>
                </c:pt>
                <c:pt idx="4">
                  <c:v>1.05869363697128</c:v>
                </c:pt>
                <c:pt idx="5">
                  <c:v>1.07767408480967</c:v>
                </c:pt>
                <c:pt idx="6">
                  <c:v>1.1247869383225</c:v>
                </c:pt>
                <c:pt idx="7">
                  <c:v>1.1058270054420001</c:v>
                </c:pt>
                <c:pt idx="8">
                  <c:v>1.12871108969261</c:v>
                </c:pt>
                <c:pt idx="9">
                  <c:v>1.1113594382199099</c:v>
                </c:pt>
                <c:pt idx="10">
                  <c:v>1.1137019307687299</c:v>
                </c:pt>
                <c:pt idx="11">
                  <c:v>1.12031028480771</c:v>
                </c:pt>
                <c:pt idx="12">
                  <c:v>1.10662149509139</c:v>
                </c:pt>
                <c:pt idx="13">
                  <c:v>1.11425985648125</c:v>
                </c:pt>
                <c:pt idx="14">
                  <c:v>1.1063433013367501</c:v>
                </c:pt>
                <c:pt idx="15">
                  <c:v>1.1076728921182499</c:v>
                </c:pt>
                <c:pt idx="16">
                  <c:v>1.1047802161593501</c:v>
                </c:pt>
                <c:pt idx="17">
                  <c:v>1.1059231180272</c:v>
                </c:pt>
                <c:pt idx="18">
                  <c:v>1.1089776112216601</c:v>
                </c:pt>
                <c:pt idx="19">
                  <c:v>1.1116278364118799</c:v>
                </c:pt>
                <c:pt idx="20">
                  <c:v>1.10573304231026</c:v>
                </c:pt>
                <c:pt idx="21">
                  <c:v>1.1057465446856301</c:v>
                </c:pt>
                <c:pt idx="22">
                  <c:v>1.10625727179984</c:v>
                </c:pt>
                <c:pt idx="23">
                  <c:v>1.1186025509409201</c:v>
                </c:pt>
                <c:pt idx="24">
                  <c:v>1.1163289643707699</c:v>
                </c:pt>
                <c:pt idx="25">
                  <c:v>1.1209796908396299</c:v>
                </c:pt>
                <c:pt idx="26">
                  <c:v>1.1186479718375799</c:v>
                </c:pt>
                <c:pt idx="27">
                  <c:v>1.1250023519048999</c:v>
                </c:pt>
                <c:pt idx="28">
                  <c:v>1.11958830759551</c:v>
                </c:pt>
                <c:pt idx="29">
                  <c:v>1.1141036426895401</c:v>
                </c:pt>
                <c:pt idx="30">
                  <c:v>1.1143332531469801</c:v>
                </c:pt>
                <c:pt idx="31">
                  <c:v>1.11272145530884</c:v>
                </c:pt>
                <c:pt idx="32">
                  <c:v>1.12002637710452</c:v>
                </c:pt>
                <c:pt idx="33">
                  <c:v>1.12563836155981</c:v>
                </c:pt>
                <c:pt idx="34">
                  <c:v>1.12157781821136</c:v>
                </c:pt>
                <c:pt idx="35">
                  <c:v>1.12853252568068</c:v>
                </c:pt>
                <c:pt idx="36">
                  <c:v>1.1258623507604</c:v>
                </c:pt>
                <c:pt idx="37">
                  <c:v>1.12235947909671</c:v>
                </c:pt>
                <c:pt idx="38">
                  <c:v>1.1200193442525801</c:v>
                </c:pt>
                <c:pt idx="39">
                  <c:v>1.1297360490687101</c:v>
                </c:pt>
                <c:pt idx="40">
                  <c:v>1.1333276662206599</c:v>
                </c:pt>
                <c:pt idx="41">
                  <c:v>1.1481155037647099</c:v>
                </c:pt>
                <c:pt idx="42">
                  <c:v>1.1470645214106701</c:v>
                </c:pt>
                <c:pt idx="43">
                  <c:v>1.15371494941403</c:v>
                </c:pt>
                <c:pt idx="44">
                  <c:v>1.16955957814428</c:v>
                </c:pt>
                <c:pt idx="45">
                  <c:v>1.1714115624794299</c:v>
                </c:pt>
                <c:pt idx="46">
                  <c:v>1.1705969217132699</c:v>
                </c:pt>
                <c:pt idx="47">
                  <c:v>1.17665016980309</c:v>
                </c:pt>
                <c:pt idx="48">
                  <c:v>1.1759389792214201</c:v>
                </c:pt>
                <c:pt idx="49">
                  <c:v>1.1708606038756999</c:v>
                </c:pt>
                <c:pt idx="50">
                  <c:v>1.1634675602367901</c:v>
                </c:pt>
                <c:pt idx="51">
                  <c:v>1.1697142785596299</c:v>
                </c:pt>
                <c:pt idx="52">
                  <c:v>1.1697142785596299</c:v>
                </c:pt>
              </c:numCache>
            </c:numRef>
          </c:val>
          <c:smooth val="0"/>
          <c:extLst>
            <c:ext xmlns:c16="http://schemas.microsoft.com/office/drawing/2014/chart" uri="{C3380CC4-5D6E-409C-BE32-E72D297353CC}">
              <c16:uniqueId val="{00000005-AF75-4636-BD7A-93E1719299C5}"/>
            </c:ext>
          </c:extLst>
        </c:ser>
        <c:ser>
          <c:idx val="6"/>
          <c:order val="6"/>
          <c:tx>
            <c:strRef>
              <c:f>管理期货策略_每周idx_分位图!$H$1</c:f>
              <c:strCache>
                <c:ptCount val="1"/>
                <c:pt idx="0">
                  <c:v>90% 分位数</c:v>
                </c:pt>
              </c:strCache>
            </c:strRef>
          </c:tx>
          <c:spPr>
            <a:ln w="28575" cap="rnd">
              <a:solidFill>
                <a:schemeClr val="accent1">
                  <a:lumMod val="60000"/>
                </a:schemeClr>
              </a:solidFill>
              <a:round/>
            </a:ln>
            <a:effectLst/>
          </c:spPr>
          <c:marker>
            <c:symbol val="none"/>
          </c:marker>
          <c:cat>
            <c:numRef>
              <c:f>管理期货策略_每周idx_分位图!$A$2:$A$54</c:f>
              <c:numCache>
                <c:formatCode>m/d/yyyy</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管理期货策略_每周idx_分位图!$H$2:$H$54</c:f>
              <c:numCache>
                <c:formatCode>General</c:formatCode>
                <c:ptCount val="53"/>
                <c:pt idx="0">
                  <c:v>1</c:v>
                </c:pt>
                <c:pt idx="1">
                  <c:v>1.01708186234</c:v>
                </c:pt>
                <c:pt idx="2">
                  <c:v>1.03416372468</c:v>
                </c:pt>
                <c:pt idx="3">
                  <c:v>1.04981107246035</c:v>
                </c:pt>
                <c:pt idx="4">
                  <c:v>1.11284253244857</c:v>
                </c:pt>
                <c:pt idx="5">
                  <c:v>1.1127408725832999</c:v>
                </c:pt>
                <c:pt idx="6">
                  <c:v>1.22354049282222</c:v>
                </c:pt>
                <c:pt idx="7">
                  <c:v>1.1798668185650301</c:v>
                </c:pt>
                <c:pt idx="8">
                  <c:v>1.2633321045594901</c:v>
                </c:pt>
                <c:pt idx="9">
                  <c:v>1.25842087870002</c:v>
                </c:pt>
                <c:pt idx="10">
                  <c:v>1.26610438775189</c:v>
                </c:pt>
                <c:pt idx="11">
                  <c:v>1.21699814027377</c:v>
                </c:pt>
                <c:pt idx="12">
                  <c:v>1.2164105678780099</c:v>
                </c:pt>
                <c:pt idx="13">
                  <c:v>1.20091229294556</c:v>
                </c:pt>
                <c:pt idx="14">
                  <c:v>1.1931277225664101</c:v>
                </c:pt>
                <c:pt idx="15">
                  <c:v>1.1913246376892099</c:v>
                </c:pt>
                <c:pt idx="16">
                  <c:v>1.1790314568662901</c:v>
                </c:pt>
                <c:pt idx="17">
                  <c:v>1.18663921300006</c:v>
                </c:pt>
                <c:pt idx="18">
                  <c:v>1.18717859529473</c:v>
                </c:pt>
                <c:pt idx="19">
                  <c:v>1.1884315571748001</c:v>
                </c:pt>
                <c:pt idx="20">
                  <c:v>1.1947263314286301</c:v>
                </c:pt>
                <c:pt idx="21">
                  <c:v>1.1924506495560401</c:v>
                </c:pt>
                <c:pt idx="22">
                  <c:v>1.1967183104266199</c:v>
                </c:pt>
                <c:pt idx="23">
                  <c:v>1.19191483297779</c:v>
                </c:pt>
                <c:pt idx="24">
                  <c:v>1.18528777755524</c:v>
                </c:pt>
                <c:pt idx="25">
                  <c:v>1.19158066323741</c:v>
                </c:pt>
                <c:pt idx="26">
                  <c:v>1.1896872812589601</c:v>
                </c:pt>
                <c:pt idx="27">
                  <c:v>1.1920266541644</c:v>
                </c:pt>
                <c:pt idx="28">
                  <c:v>1.19303464481497</c:v>
                </c:pt>
                <c:pt idx="29">
                  <c:v>1.2004543805093799</c:v>
                </c:pt>
                <c:pt idx="30">
                  <c:v>1.1978760272176801</c:v>
                </c:pt>
                <c:pt idx="31">
                  <c:v>1.20513482964637</c:v>
                </c:pt>
                <c:pt idx="32">
                  <c:v>1.2232298020768599</c:v>
                </c:pt>
                <c:pt idx="33">
                  <c:v>1.22761591572103</c:v>
                </c:pt>
                <c:pt idx="34">
                  <c:v>1.2180280842358</c:v>
                </c:pt>
                <c:pt idx="35">
                  <c:v>1.2184947310009699</c:v>
                </c:pt>
                <c:pt idx="36">
                  <c:v>1.21296194594253</c:v>
                </c:pt>
                <c:pt idx="37">
                  <c:v>1.20408488231119</c:v>
                </c:pt>
                <c:pt idx="38">
                  <c:v>1.19066491856829</c:v>
                </c:pt>
                <c:pt idx="39">
                  <c:v>1.20880917368466</c:v>
                </c:pt>
                <c:pt idx="40">
                  <c:v>1.20658355154512</c:v>
                </c:pt>
                <c:pt idx="41">
                  <c:v>1.2132018096396</c:v>
                </c:pt>
                <c:pt idx="42">
                  <c:v>1.18303659031611</c:v>
                </c:pt>
                <c:pt idx="43">
                  <c:v>1.22107688457917</c:v>
                </c:pt>
                <c:pt idx="44">
                  <c:v>1.2296683718830199</c:v>
                </c:pt>
                <c:pt idx="45">
                  <c:v>1.22671184080831</c:v>
                </c:pt>
                <c:pt idx="46">
                  <c:v>1.2337839811158799</c:v>
                </c:pt>
                <c:pt idx="47">
                  <c:v>1.2643641133525501</c:v>
                </c:pt>
                <c:pt idx="48">
                  <c:v>1.26265305410919</c:v>
                </c:pt>
                <c:pt idx="49">
                  <c:v>1.2587052696010299</c:v>
                </c:pt>
                <c:pt idx="50">
                  <c:v>1.2667897805153401</c:v>
                </c:pt>
                <c:pt idx="51">
                  <c:v>1.2667897805153401</c:v>
                </c:pt>
                <c:pt idx="52">
                  <c:v>1.2667897805153401</c:v>
                </c:pt>
              </c:numCache>
            </c:numRef>
          </c:val>
          <c:smooth val="0"/>
          <c:extLst>
            <c:ext xmlns:c16="http://schemas.microsoft.com/office/drawing/2014/chart" uri="{C3380CC4-5D6E-409C-BE32-E72D297353CC}">
              <c16:uniqueId val="{00000006-AF75-4636-BD7A-93E1719299C5}"/>
            </c:ext>
          </c:extLst>
        </c:ser>
        <c:dLbls>
          <c:showLegendKey val="0"/>
          <c:showVal val="0"/>
          <c:showCatName val="0"/>
          <c:showSerName val="0"/>
          <c:showPercent val="0"/>
          <c:showBubbleSize val="0"/>
        </c:dLbls>
        <c:smooth val="0"/>
        <c:axId val="1343592992"/>
        <c:axId val="1549448160"/>
      </c:lineChart>
      <c:dateAx>
        <c:axId val="1343592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448160"/>
        <c:crosses val="autoZero"/>
        <c:auto val="1"/>
        <c:lblOffset val="100"/>
        <c:baseTimeUnit val="days"/>
        <c:majorUnit val="45"/>
        <c:majorTimeUnit val="days"/>
      </c:dateAx>
      <c:valAx>
        <c:axId val="1549448160"/>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43592992"/>
        <c:crosses val="autoZero"/>
        <c:crossBetween val="between"/>
      </c:valAx>
      <c:spPr>
        <a:noFill/>
        <a:ln>
          <a:noFill/>
        </a:ln>
        <a:effectLst/>
      </c:spPr>
    </c:plotArea>
    <c:legend>
      <c:legendPos val="b"/>
      <c:layout>
        <c:manualLayout>
          <c:xMode val="edge"/>
          <c:yMode val="edge"/>
          <c:x val="0.74128544400421914"/>
          <c:y val="0.16519477644682617"/>
          <c:w val="0.25779383762540203"/>
          <c:h val="0.538882606152574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zh-CN" sz="1100" b="0" i="0" baseline="0">
                <a:effectLst/>
              </a:rPr>
              <a:t>套利策略业绩表现</a:t>
            </a:r>
            <a:endParaRPr lang="zh-CN" altLang="zh-CN" sz="1100">
              <a:effectLst/>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4042050932841182E-2"/>
          <c:y val="0.11760600989248396"/>
          <c:w val="0.74491227460955478"/>
          <c:h val="0.69636499141311037"/>
        </c:manualLayout>
      </c:layout>
      <c:lineChart>
        <c:grouping val="standard"/>
        <c:varyColors val="0"/>
        <c:ser>
          <c:idx val="0"/>
          <c:order val="0"/>
          <c:tx>
            <c:strRef>
              <c:f>套利策略_每周idx_分位图!$B$1</c:f>
              <c:strCache>
                <c:ptCount val="1"/>
                <c:pt idx="0">
                  <c:v>10% 分位数</c:v>
                </c:pt>
              </c:strCache>
            </c:strRef>
          </c:tx>
          <c:spPr>
            <a:ln w="28575" cap="rnd">
              <a:solidFill>
                <a:schemeClr val="accent1"/>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套利策略_每周idx_分位图!$B$2:$B$53</c:f>
              <c:numCache>
                <c:formatCode>General</c:formatCode>
                <c:ptCount val="52"/>
                <c:pt idx="0">
                  <c:v>1</c:v>
                </c:pt>
                <c:pt idx="1">
                  <c:v>1.00107837148977</c:v>
                </c:pt>
                <c:pt idx="2">
                  <c:v>1.0018728708840201</c:v>
                </c:pt>
                <c:pt idx="3">
                  <c:v>1.0021481805241199</c:v>
                </c:pt>
                <c:pt idx="4">
                  <c:v>1.0020287662418701</c:v>
                </c:pt>
                <c:pt idx="5">
                  <c:v>1.0035653650254599</c:v>
                </c:pt>
                <c:pt idx="6">
                  <c:v>1.00305602716468</c:v>
                </c:pt>
                <c:pt idx="7">
                  <c:v>1.0027164685908301</c:v>
                </c:pt>
                <c:pt idx="8">
                  <c:v>0.99783342891735105</c:v>
                </c:pt>
                <c:pt idx="9">
                  <c:v>0.99324539603644901</c:v>
                </c:pt>
                <c:pt idx="10">
                  <c:v>0.98196648187089797</c:v>
                </c:pt>
                <c:pt idx="11">
                  <c:v>0.98088319632957299</c:v>
                </c:pt>
                <c:pt idx="12">
                  <c:v>0.980182246861658</c:v>
                </c:pt>
                <c:pt idx="13">
                  <c:v>0.98483400242146202</c:v>
                </c:pt>
                <c:pt idx="14">
                  <c:v>0.98862478777589102</c:v>
                </c:pt>
                <c:pt idx="15">
                  <c:v>0.98440525940271095</c:v>
                </c:pt>
                <c:pt idx="16">
                  <c:v>0.98693685082520799</c:v>
                </c:pt>
                <c:pt idx="17">
                  <c:v>0.98680940546740503</c:v>
                </c:pt>
                <c:pt idx="18">
                  <c:v>0.98668196010960296</c:v>
                </c:pt>
                <c:pt idx="19">
                  <c:v>0.98676000608735304</c:v>
                </c:pt>
                <c:pt idx="20">
                  <c:v>0.990564602039263</c:v>
                </c:pt>
                <c:pt idx="21">
                  <c:v>0.98744483335869704</c:v>
                </c:pt>
                <c:pt idx="22">
                  <c:v>0.99155379698675905</c:v>
                </c:pt>
                <c:pt idx="23">
                  <c:v>0.98828184446811695</c:v>
                </c:pt>
                <c:pt idx="24">
                  <c:v>0.987255464219715</c:v>
                </c:pt>
                <c:pt idx="25">
                  <c:v>0.985442932129584</c:v>
                </c:pt>
                <c:pt idx="26">
                  <c:v>0.98489483716785997</c:v>
                </c:pt>
                <c:pt idx="27">
                  <c:v>0.98731113311007501</c:v>
                </c:pt>
                <c:pt idx="28">
                  <c:v>0.97887011638771704</c:v>
                </c:pt>
                <c:pt idx="29">
                  <c:v>0.97659190109707295</c:v>
                </c:pt>
                <c:pt idx="30">
                  <c:v>0.97902269767167205</c:v>
                </c:pt>
                <c:pt idx="31">
                  <c:v>0.97897042317683602</c:v>
                </c:pt>
                <c:pt idx="32">
                  <c:v>0.97978426950555997</c:v>
                </c:pt>
                <c:pt idx="33">
                  <c:v>0.97276387047811297</c:v>
                </c:pt>
                <c:pt idx="34">
                  <c:v>0.96444274517300699</c:v>
                </c:pt>
                <c:pt idx="35">
                  <c:v>0.96985917287962697</c:v>
                </c:pt>
                <c:pt idx="36">
                  <c:v>0.96939744493141999</c:v>
                </c:pt>
                <c:pt idx="37">
                  <c:v>0.973809978971515</c:v>
                </c:pt>
                <c:pt idx="38">
                  <c:v>0.97878034792582602</c:v>
                </c:pt>
                <c:pt idx="39">
                  <c:v>0.98067265256429703</c:v>
                </c:pt>
                <c:pt idx="40">
                  <c:v>0.97899863034545698</c:v>
                </c:pt>
                <c:pt idx="41">
                  <c:v>0.97450920712220301</c:v>
                </c:pt>
                <c:pt idx="42">
                  <c:v>0.97755288388373096</c:v>
                </c:pt>
                <c:pt idx="43">
                  <c:v>0.976167718090868</c:v>
                </c:pt>
                <c:pt idx="44">
                  <c:v>0.97863851989700201</c:v>
                </c:pt>
                <c:pt idx="45">
                  <c:v>0.97822464114839802</c:v>
                </c:pt>
                <c:pt idx="46">
                  <c:v>0.973489467085079</c:v>
                </c:pt>
                <c:pt idx="47">
                  <c:v>0.97266297075129005</c:v>
                </c:pt>
                <c:pt idx="48">
                  <c:v>0.97807939845791103</c:v>
                </c:pt>
                <c:pt idx="49">
                  <c:v>0.97929012935703796</c:v>
                </c:pt>
                <c:pt idx="50">
                  <c:v>0.97725100363219197</c:v>
                </c:pt>
                <c:pt idx="51">
                  <c:v>0.97725100363219197</c:v>
                </c:pt>
              </c:numCache>
            </c:numRef>
          </c:val>
          <c:smooth val="0"/>
          <c:extLst>
            <c:ext xmlns:c16="http://schemas.microsoft.com/office/drawing/2014/chart" uri="{C3380CC4-5D6E-409C-BE32-E72D297353CC}">
              <c16:uniqueId val="{00000000-FD21-40F6-8B7F-0B23CAA37F5F}"/>
            </c:ext>
          </c:extLst>
        </c:ser>
        <c:ser>
          <c:idx val="1"/>
          <c:order val="1"/>
          <c:tx>
            <c:strRef>
              <c:f>套利策略_每周idx_分位图!$C$1</c:f>
              <c:strCache>
                <c:ptCount val="1"/>
                <c:pt idx="0">
                  <c:v>25% 分位数</c:v>
                </c:pt>
              </c:strCache>
            </c:strRef>
          </c:tx>
          <c:spPr>
            <a:ln w="28575" cap="rnd">
              <a:solidFill>
                <a:schemeClr val="accent2"/>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套利策略_每周idx_分位图!$C$2:$C$53</c:f>
              <c:numCache>
                <c:formatCode>General</c:formatCode>
                <c:ptCount val="52"/>
                <c:pt idx="0">
                  <c:v>1</c:v>
                </c:pt>
                <c:pt idx="1">
                  <c:v>1.0018128877514301</c:v>
                </c:pt>
                <c:pt idx="2">
                  <c:v>1.0022144320832</c:v>
                </c:pt>
                <c:pt idx="3">
                  <c:v>1.00288766716023</c:v>
                </c:pt>
                <c:pt idx="4">
                  <c:v>1.0035026552145001</c:v>
                </c:pt>
                <c:pt idx="5">
                  <c:v>1.0044740465945301</c:v>
                </c:pt>
                <c:pt idx="6">
                  <c:v>1.00738265923185</c:v>
                </c:pt>
                <c:pt idx="7">
                  <c:v>1.00739826776105</c:v>
                </c:pt>
                <c:pt idx="8">
                  <c:v>0.99968543075083305</c:v>
                </c:pt>
                <c:pt idx="9">
                  <c:v>0.99830724430067497</c:v>
                </c:pt>
                <c:pt idx="10">
                  <c:v>0.99348772876984504</c:v>
                </c:pt>
                <c:pt idx="11">
                  <c:v>0.99455780897329604</c:v>
                </c:pt>
                <c:pt idx="12">
                  <c:v>0.99344484267079003</c:v>
                </c:pt>
                <c:pt idx="13">
                  <c:v>0.99396792674524403</c:v>
                </c:pt>
                <c:pt idx="14">
                  <c:v>0.988930100598023</c:v>
                </c:pt>
                <c:pt idx="15">
                  <c:v>0.98876774657254696</c:v>
                </c:pt>
                <c:pt idx="16">
                  <c:v>0.98941837359282503</c:v>
                </c:pt>
                <c:pt idx="17">
                  <c:v>0.99020775580709497</c:v>
                </c:pt>
                <c:pt idx="18">
                  <c:v>0.99003710248698296</c:v>
                </c:pt>
                <c:pt idx="19">
                  <c:v>0.99183262264233296</c:v>
                </c:pt>
                <c:pt idx="20">
                  <c:v>0.99704305140195804</c:v>
                </c:pt>
                <c:pt idx="21">
                  <c:v>0.99572589534718903</c:v>
                </c:pt>
                <c:pt idx="22">
                  <c:v>0.996439692917375</c:v>
                </c:pt>
                <c:pt idx="23">
                  <c:v>0.99897462117901503</c:v>
                </c:pt>
                <c:pt idx="24">
                  <c:v>0.99921462391657001</c:v>
                </c:pt>
                <c:pt idx="25">
                  <c:v>0.995815730358102</c:v>
                </c:pt>
                <c:pt idx="26">
                  <c:v>1.00228298348357</c:v>
                </c:pt>
                <c:pt idx="27">
                  <c:v>0.99689639182784895</c:v>
                </c:pt>
                <c:pt idx="28">
                  <c:v>0.991506869080652</c:v>
                </c:pt>
                <c:pt idx="29">
                  <c:v>0.99239005138500402</c:v>
                </c:pt>
                <c:pt idx="30">
                  <c:v>0.987687513565223</c:v>
                </c:pt>
                <c:pt idx="31">
                  <c:v>0.98254318276866404</c:v>
                </c:pt>
                <c:pt idx="32">
                  <c:v>0.98363499927939002</c:v>
                </c:pt>
                <c:pt idx="33">
                  <c:v>0.97765064306025495</c:v>
                </c:pt>
                <c:pt idx="34">
                  <c:v>0.97122293736654197</c:v>
                </c:pt>
                <c:pt idx="35">
                  <c:v>0.97678622439003404</c:v>
                </c:pt>
                <c:pt idx="36">
                  <c:v>0.97618392312010505</c:v>
                </c:pt>
                <c:pt idx="37">
                  <c:v>0.977758251924156</c:v>
                </c:pt>
                <c:pt idx="38">
                  <c:v>0.98154777036414798</c:v>
                </c:pt>
                <c:pt idx="39">
                  <c:v>0.98318776429559496</c:v>
                </c:pt>
                <c:pt idx="40">
                  <c:v>0.98151932603057501</c:v>
                </c:pt>
                <c:pt idx="41">
                  <c:v>0.98224614379381303</c:v>
                </c:pt>
                <c:pt idx="42">
                  <c:v>0.98067696241008895</c:v>
                </c:pt>
                <c:pt idx="43">
                  <c:v>0.98816539612288301</c:v>
                </c:pt>
                <c:pt idx="44">
                  <c:v>0.99108589161621996</c:v>
                </c:pt>
                <c:pt idx="45">
                  <c:v>0.99206459488268195</c:v>
                </c:pt>
                <c:pt idx="46">
                  <c:v>0.99136198227441197</c:v>
                </c:pt>
                <c:pt idx="47">
                  <c:v>0.99231500221573898</c:v>
                </c:pt>
                <c:pt idx="48">
                  <c:v>0.99502147094941096</c:v>
                </c:pt>
                <c:pt idx="49">
                  <c:v>0.99290069862909303</c:v>
                </c:pt>
                <c:pt idx="50">
                  <c:v>0.99455085676843102</c:v>
                </c:pt>
                <c:pt idx="51">
                  <c:v>0.99455085676843102</c:v>
                </c:pt>
              </c:numCache>
            </c:numRef>
          </c:val>
          <c:smooth val="0"/>
          <c:extLst>
            <c:ext xmlns:c16="http://schemas.microsoft.com/office/drawing/2014/chart" uri="{C3380CC4-5D6E-409C-BE32-E72D297353CC}">
              <c16:uniqueId val="{00000001-FD21-40F6-8B7F-0B23CAA37F5F}"/>
            </c:ext>
          </c:extLst>
        </c:ser>
        <c:ser>
          <c:idx val="2"/>
          <c:order val="2"/>
          <c:tx>
            <c:strRef>
              <c:f>套利策略_每周idx_分位图!$D$1</c:f>
              <c:strCache>
                <c:ptCount val="1"/>
                <c:pt idx="0">
                  <c:v>40% 分位数</c:v>
                </c:pt>
              </c:strCache>
            </c:strRef>
          </c:tx>
          <c:spPr>
            <a:ln w="28575" cap="rnd">
              <a:solidFill>
                <a:schemeClr val="accent3"/>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套利策略_每周idx_分位图!$D$2:$D$53</c:f>
              <c:numCache>
                <c:formatCode>General</c:formatCode>
                <c:ptCount val="52"/>
                <c:pt idx="0">
                  <c:v>1</c:v>
                </c:pt>
                <c:pt idx="1">
                  <c:v>1.0023588494901801</c:v>
                </c:pt>
                <c:pt idx="2">
                  <c:v>1.0053092220959801</c:v>
                </c:pt>
                <c:pt idx="3">
                  <c:v>1.0042809091835601</c:v>
                </c:pt>
                <c:pt idx="4">
                  <c:v>1.0044436693001</c:v>
                </c:pt>
                <c:pt idx="5">
                  <c:v>1.00844620301324</c:v>
                </c:pt>
                <c:pt idx="6">
                  <c:v>1.00879372968839</c:v>
                </c:pt>
                <c:pt idx="7">
                  <c:v>1.0122370062558901</c:v>
                </c:pt>
                <c:pt idx="8">
                  <c:v>1.00152183838076</c:v>
                </c:pt>
                <c:pt idx="9">
                  <c:v>1.00061939774298</c:v>
                </c:pt>
                <c:pt idx="10">
                  <c:v>0.99883786887287096</c:v>
                </c:pt>
                <c:pt idx="11">
                  <c:v>0.99749588411892398</c:v>
                </c:pt>
                <c:pt idx="12">
                  <c:v>0.996153899364978</c:v>
                </c:pt>
                <c:pt idx="13">
                  <c:v>0.99969507184992501</c:v>
                </c:pt>
                <c:pt idx="14">
                  <c:v>0.99346992985708504</c:v>
                </c:pt>
                <c:pt idx="15">
                  <c:v>0.99212794510313895</c:v>
                </c:pt>
                <c:pt idx="16">
                  <c:v>0.99078596034919197</c:v>
                </c:pt>
                <c:pt idx="17">
                  <c:v>0.99182550198756403</c:v>
                </c:pt>
                <c:pt idx="18">
                  <c:v>0.99553562327999101</c:v>
                </c:pt>
                <c:pt idx="19">
                  <c:v>0.99902477608106199</c:v>
                </c:pt>
                <c:pt idx="20">
                  <c:v>1.0012856099418601</c:v>
                </c:pt>
                <c:pt idx="21">
                  <c:v>1.0012856099418601</c:v>
                </c:pt>
                <c:pt idx="22">
                  <c:v>1.00917338653704</c:v>
                </c:pt>
                <c:pt idx="23">
                  <c:v>1.0096859082341401</c:v>
                </c:pt>
                <c:pt idx="24">
                  <c:v>1.0096732482578099</c:v>
                </c:pt>
                <c:pt idx="25">
                  <c:v>1.0092609078446599</c:v>
                </c:pt>
                <c:pt idx="26">
                  <c:v>1.0143002454713701</c:v>
                </c:pt>
                <c:pt idx="27">
                  <c:v>1.0078730559837801</c:v>
                </c:pt>
                <c:pt idx="28">
                  <c:v>1.0142971123859099</c:v>
                </c:pt>
                <c:pt idx="29">
                  <c:v>1.01230235823576</c:v>
                </c:pt>
                <c:pt idx="30">
                  <c:v>1.0117546262166299</c:v>
                </c:pt>
                <c:pt idx="31">
                  <c:v>0.99724798695341899</c:v>
                </c:pt>
                <c:pt idx="32">
                  <c:v>1.0043828355927</c:v>
                </c:pt>
                <c:pt idx="33">
                  <c:v>0.99329098592208998</c:v>
                </c:pt>
                <c:pt idx="34">
                  <c:v>0.981936679264797</c:v>
                </c:pt>
                <c:pt idx="35">
                  <c:v>0.98477889050865497</c:v>
                </c:pt>
                <c:pt idx="36">
                  <c:v>0.98073799259327599</c:v>
                </c:pt>
                <c:pt idx="37">
                  <c:v>0.97884893141916796</c:v>
                </c:pt>
                <c:pt idx="38">
                  <c:v>0.98250788090428898</c:v>
                </c:pt>
                <c:pt idx="39">
                  <c:v>0.98547122921047503</c:v>
                </c:pt>
                <c:pt idx="40">
                  <c:v>0.98311349009112303</c:v>
                </c:pt>
                <c:pt idx="41">
                  <c:v>0.98402372894892498</c:v>
                </c:pt>
                <c:pt idx="42">
                  <c:v>0.98774373918190805</c:v>
                </c:pt>
                <c:pt idx="43">
                  <c:v>0.99246690001521798</c:v>
                </c:pt>
                <c:pt idx="44">
                  <c:v>0.99710850707654797</c:v>
                </c:pt>
                <c:pt idx="45">
                  <c:v>0.99550615079611304</c:v>
                </c:pt>
                <c:pt idx="46">
                  <c:v>0.99467356566732601</c:v>
                </c:pt>
                <c:pt idx="47">
                  <c:v>0.99779333434789197</c:v>
                </c:pt>
                <c:pt idx="48">
                  <c:v>0.99794551818596799</c:v>
                </c:pt>
                <c:pt idx="49">
                  <c:v>0.99741287475270102</c:v>
                </c:pt>
                <c:pt idx="50">
                  <c:v>0.99824988586212104</c:v>
                </c:pt>
                <c:pt idx="51">
                  <c:v>0.99824988586212104</c:v>
                </c:pt>
              </c:numCache>
            </c:numRef>
          </c:val>
          <c:smooth val="0"/>
          <c:extLst>
            <c:ext xmlns:c16="http://schemas.microsoft.com/office/drawing/2014/chart" uri="{C3380CC4-5D6E-409C-BE32-E72D297353CC}">
              <c16:uniqueId val="{00000002-FD21-40F6-8B7F-0B23CAA37F5F}"/>
            </c:ext>
          </c:extLst>
        </c:ser>
        <c:ser>
          <c:idx val="3"/>
          <c:order val="3"/>
          <c:tx>
            <c:strRef>
              <c:f>套利策略_每周idx_分位图!$E$1</c:f>
              <c:strCache>
                <c:ptCount val="1"/>
                <c:pt idx="0">
                  <c:v>50% 分位数</c:v>
                </c:pt>
              </c:strCache>
            </c:strRef>
          </c:tx>
          <c:spPr>
            <a:ln w="28575" cap="rnd">
              <a:solidFill>
                <a:schemeClr val="accent4"/>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套利策略_每周idx_分位图!$E$2:$E$53</c:f>
              <c:numCache>
                <c:formatCode>General</c:formatCode>
                <c:ptCount val="52"/>
                <c:pt idx="0">
                  <c:v>1</c:v>
                </c:pt>
                <c:pt idx="1">
                  <c:v>1.0053092220959801</c:v>
                </c:pt>
                <c:pt idx="2">
                  <c:v>1.0057829858469001</c:v>
                </c:pt>
                <c:pt idx="3">
                  <c:v>1.0046312624992499</c:v>
                </c:pt>
                <c:pt idx="4">
                  <c:v>1.0050963204566301</c:v>
                </c:pt>
                <c:pt idx="5">
                  <c:v>1.0089192219068199</c:v>
                </c:pt>
                <c:pt idx="6">
                  <c:v>1.0105643346570701</c:v>
                </c:pt>
                <c:pt idx="7">
                  <c:v>1.0144574646172499</c:v>
                </c:pt>
                <c:pt idx="8">
                  <c:v>1.0033916270465699</c:v>
                </c:pt>
                <c:pt idx="9">
                  <c:v>1.00727148368174</c:v>
                </c:pt>
                <c:pt idx="10">
                  <c:v>1.00174995832833</c:v>
                </c:pt>
                <c:pt idx="11">
                  <c:v>1.00389600244955</c:v>
                </c:pt>
                <c:pt idx="12">
                  <c:v>1.0028633584037701</c:v>
                </c:pt>
                <c:pt idx="13">
                  <c:v>0.999999999999999</c:v>
                </c:pt>
                <c:pt idx="14">
                  <c:v>0.99787633615860105</c:v>
                </c:pt>
                <c:pt idx="15">
                  <c:v>0.994408932768302</c:v>
                </c:pt>
                <c:pt idx="16">
                  <c:v>0.99538864600255705</c:v>
                </c:pt>
                <c:pt idx="17">
                  <c:v>0.996368359236811</c:v>
                </c:pt>
                <c:pt idx="18">
                  <c:v>0.99676852435517505</c:v>
                </c:pt>
                <c:pt idx="19">
                  <c:v>0.99924574457241799</c:v>
                </c:pt>
                <c:pt idx="20">
                  <c:v>1.0029558658648401</c:v>
                </c:pt>
                <c:pt idx="21">
                  <c:v>1.00787755184556</c:v>
                </c:pt>
                <c:pt idx="22">
                  <c:v>1.00939905956942</c:v>
                </c:pt>
                <c:pt idx="23">
                  <c:v>1.0109785821195401</c:v>
                </c:pt>
                <c:pt idx="24">
                  <c:v>1.01233881368663</c:v>
                </c:pt>
                <c:pt idx="25">
                  <c:v>1.0153532228072799</c:v>
                </c:pt>
                <c:pt idx="26">
                  <c:v>1.0143484197678001</c:v>
                </c:pt>
                <c:pt idx="27">
                  <c:v>1.01384576941112</c:v>
                </c:pt>
                <c:pt idx="28">
                  <c:v>1.01685898500232</c:v>
                </c:pt>
                <c:pt idx="29">
                  <c:v>1.0198716558649901</c:v>
                </c:pt>
                <c:pt idx="30">
                  <c:v>1.01652269299687</c:v>
                </c:pt>
                <c:pt idx="31">
                  <c:v>1.0058979778680299</c:v>
                </c:pt>
                <c:pt idx="32">
                  <c:v>1.00573290069384</c:v>
                </c:pt>
                <c:pt idx="33">
                  <c:v>1.0086481508081799</c:v>
                </c:pt>
                <c:pt idx="34">
                  <c:v>1.00646817569223</c:v>
                </c:pt>
                <c:pt idx="35">
                  <c:v>0.99978101286685295</c:v>
                </c:pt>
                <c:pt idx="36">
                  <c:v>1.0032975310957</c:v>
                </c:pt>
                <c:pt idx="37">
                  <c:v>1.0020901935131601</c:v>
                </c:pt>
                <c:pt idx="38">
                  <c:v>1.00913299607801</c:v>
                </c:pt>
                <c:pt idx="39">
                  <c:v>1.0272430598161999</c:v>
                </c:pt>
                <c:pt idx="40">
                  <c:v>1.0159745757124401</c:v>
                </c:pt>
                <c:pt idx="41">
                  <c:v>1.01718191329498</c:v>
                </c:pt>
                <c:pt idx="42">
                  <c:v>1.01416356933862</c:v>
                </c:pt>
                <c:pt idx="43">
                  <c:v>0.99343760750491705</c:v>
                </c:pt>
                <c:pt idx="44">
                  <c:v>1.01416356933862</c:v>
                </c:pt>
                <c:pt idx="45">
                  <c:v>1.01416356933862</c:v>
                </c:pt>
                <c:pt idx="46">
                  <c:v>1.0101391107301301</c:v>
                </c:pt>
                <c:pt idx="47">
                  <c:v>1.01718191329498</c:v>
                </c:pt>
                <c:pt idx="48">
                  <c:v>1.0090323846128</c:v>
                </c:pt>
                <c:pt idx="49">
                  <c:v>1.0111452253822499</c:v>
                </c:pt>
                <c:pt idx="50">
                  <c:v>1.00611465212165</c:v>
                </c:pt>
                <c:pt idx="51">
                  <c:v>1.00611465212165</c:v>
                </c:pt>
              </c:numCache>
            </c:numRef>
          </c:val>
          <c:smooth val="0"/>
          <c:extLst>
            <c:ext xmlns:c16="http://schemas.microsoft.com/office/drawing/2014/chart" uri="{C3380CC4-5D6E-409C-BE32-E72D297353CC}">
              <c16:uniqueId val="{00000003-FD21-40F6-8B7F-0B23CAA37F5F}"/>
            </c:ext>
          </c:extLst>
        </c:ser>
        <c:ser>
          <c:idx val="4"/>
          <c:order val="4"/>
          <c:tx>
            <c:strRef>
              <c:f>套利策略_每周idx_分位图!$F$1</c:f>
              <c:strCache>
                <c:ptCount val="1"/>
                <c:pt idx="0">
                  <c:v>60% 分位数</c:v>
                </c:pt>
              </c:strCache>
            </c:strRef>
          </c:tx>
          <c:spPr>
            <a:ln w="28575" cap="rnd">
              <a:solidFill>
                <a:schemeClr val="accent5"/>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套利策略_每周idx_分位图!$F$2:$F$53</c:f>
              <c:numCache>
                <c:formatCode>General</c:formatCode>
                <c:ptCount val="52"/>
                <c:pt idx="0">
                  <c:v>1</c:v>
                </c:pt>
                <c:pt idx="1">
                  <c:v>1.0059299122260399</c:v>
                </c:pt>
                <c:pt idx="2">
                  <c:v>1.0073387014575399</c:v>
                </c:pt>
                <c:pt idx="3">
                  <c:v>1.0060873535230499</c:v>
                </c:pt>
                <c:pt idx="4">
                  <c:v>1.00585907776594</c:v>
                </c:pt>
                <c:pt idx="5">
                  <c:v>1.01217103167017</c:v>
                </c:pt>
                <c:pt idx="6">
                  <c:v>1.01354689655706</c:v>
                </c:pt>
                <c:pt idx="7">
                  <c:v>1.0164045476652399</c:v>
                </c:pt>
                <c:pt idx="8">
                  <c:v>1.0119253898685101</c:v>
                </c:pt>
                <c:pt idx="9">
                  <c:v>1.0075425542758101</c:v>
                </c:pt>
                <c:pt idx="10">
                  <c:v>1.00390165021274</c:v>
                </c:pt>
                <c:pt idx="11">
                  <c:v>1.00456694182503</c:v>
                </c:pt>
                <c:pt idx="12">
                  <c:v>1.01073660344732</c:v>
                </c:pt>
                <c:pt idx="13">
                  <c:v>1.0090818529605601</c:v>
                </c:pt>
                <c:pt idx="14">
                  <c:v>1.0063244591053999</c:v>
                </c:pt>
                <c:pt idx="15">
                  <c:v>0.99683470463198298</c:v>
                </c:pt>
                <c:pt idx="16">
                  <c:v>0.99784774803099896</c:v>
                </c:pt>
                <c:pt idx="17">
                  <c:v>0.997308136193087</c:v>
                </c:pt>
                <c:pt idx="18">
                  <c:v>0.99929368479478597</c:v>
                </c:pt>
                <c:pt idx="19">
                  <c:v>1.00221901035276</c:v>
                </c:pt>
                <c:pt idx="20">
                  <c:v>1.00367032004408</c:v>
                </c:pt>
                <c:pt idx="21">
                  <c:v>1.0095948344651899</c:v>
                </c:pt>
                <c:pt idx="22">
                  <c:v>1.01145014382702</c:v>
                </c:pt>
                <c:pt idx="23">
                  <c:v>1.0150851085516199</c:v>
                </c:pt>
                <c:pt idx="24">
                  <c:v>1.03302415655896</c:v>
                </c:pt>
                <c:pt idx="25">
                  <c:v>1.0219141779635099</c:v>
                </c:pt>
                <c:pt idx="26">
                  <c:v>1.0358780960146701</c:v>
                </c:pt>
                <c:pt idx="27">
                  <c:v>1.0160954602718699</c:v>
                </c:pt>
                <c:pt idx="28">
                  <c:v>1.0221180307817701</c:v>
                </c:pt>
                <c:pt idx="29">
                  <c:v>1.0206910610539099</c:v>
                </c:pt>
                <c:pt idx="30">
                  <c:v>1.0183659281452</c:v>
                </c:pt>
                <c:pt idx="31">
                  <c:v>1.0084444603362901</c:v>
                </c:pt>
                <c:pt idx="32">
                  <c:v>1.0099844441199</c:v>
                </c:pt>
                <c:pt idx="33">
                  <c:v>1.01535474180247</c:v>
                </c:pt>
                <c:pt idx="34">
                  <c:v>1.0153044268995</c:v>
                </c:pt>
                <c:pt idx="35">
                  <c:v>1.01800168529228</c:v>
                </c:pt>
                <c:pt idx="36">
                  <c:v>1.0172402661097699</c:v>
                </c:pt>
                <c:pt idx="37">
                  <c:v>1.0220640306711399</c:v>
                </c:pt>
                <c:pt idx="38">
                  <c:v>1.0283210343232601</c:v>
                </c:pt>
                <c:pt idx="39">
                  <c:v>1.0338505949830099</c:v>
                </c:pt>
                <c:pt idx="40">
                  <c:v>1.03427538636366</c:v>
                </c:pt>
                <c:pt idx="41">
                  <c:v>1.0376643966424699</c:v>
                </c:pt>
                <c:pt idx="42">
                  <c:v>1.03898238757128</c:v>
                </c:pt>
                <c:pt idx="43">
                  <c:v>1.0408470827496901</c:v>
                </c:pt>
                <c:pt idx="44">
                  <c:v>1.0364885290193999</c:v>
                </c:pt>
                <c:pt idx="45">
                  <c:v>1.03952497507025</c:v>
                </c:pt>
                <c:pt idx="46">
                  <c:v>1.047198054419</c:v>
                </c:pt>
                <c:pt idx="47">
                  <c:v>1.0504818424403199</c:v>
                </c:pt>
                <c:pt idx="48">
                  <c:v>1.0508624646854301</c:v>
                </c:pt>
                <c:pt idx="49">
                  <c:v>1.05001937898203</c:v>
                </c:pt>
                <c:pt idx="50">
                  <c:v>1.04931066549964</c:v>
                </c:pt>
                <c:pt idx="51">
                  <c:v>1.0482383772283199</c:v>
                </c:pt>
              </c:numCache>
            </c:numRef>
          </c:val>
          <c:smooth val="0"/>
          <c:extLst>
            <c:ext xmlns:c16="http://schemas.microsoft.com/office/drawing/2014/chart" uri="{C3380CC4-5D6E-409C-BE32-E72D297353CC}">
              <c16:uniqueId val="{00000004-FD21-40F6-8B7F-0B23CAA37F5F}"/>
            </c:ext>
          </c:extLst>
        </c:ser>
        <c:ser>
          <c:idx val="5"/>
          <c:order val="5"/>
          <c:tx>
            <c:strRef>
              <c:f>套利策略_每周idx_分位图!$G$1</c:f>
              <c:strCache>
                <c:ptCount val="1"/>
                <c:pt idx="0">
                  <c:v>75% 分位数</c:v>
                </c:pt>
              </c:strCache>
            </c:strRef>
          </c:tx>
          <c:spPr>
            <a:ln w="28575" cap="rnd">
              <a:solidFill>
                <a:schemeClr val="accent6"/>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套利策略_每周idx_分位图!$G$2:$G$53</c:f>
              <c:numCache>
                <c:formatCode>General</c:formatCode>
                <c:ptCount val="52"/>
                <c:pt idx="0">
                  <c:v>1</c:v>
                </c:pt>
                <c:pt idx="1">
                  <c:v>1.0069383839106301</c:v>
                </c:pt>
                <c:pt idx="2">
                  <c:v>1.0079759135581801</c:v>
                </c:pt>
                <c:pt idx="3">
                  <c:v>1.0088583810556699</c:v>
                </c:pt>
                <c:pt idx="4">
                  <c:v>1.01376079649766</c:v>
                </c:pt>
                <c:pt idx="5">
                  <c:v>1.02154086148985</c:v>
                </c:pt>
                <c:pt idx="6">
                  <c:v>1.0165874636643999</c:v>
                </c:pt>
                <c:pt idx="7">
                  <c:v>1.0199317595411901</c:v>
                </c:pt>
                <c:pt idx="8">
                  <c:v>1.0154354560974499</c:v>
                </c:pt>
                <c:pt idx="9">
                  <c:v>1.0179010589441599</c:v>
                </c:pt>
                <c:pt idx="10">
                  <c:v>1.0130562156010601</c:v>
                </c:pt>
                <c:pt idx="11">
                  <c:v>1.0121739529315299</c:v>
                </c:pt>
                <c:pt idx="12">
                  <c:v>1.0145088797459401</c:v>
                </c:pt>
                <c:pt idx="13">
                  <c:v>1.0212294903953301</c:v>
                </c:pt>
                <c:pt idx="14">
                  <c:v>1.0175289313045699</c:v>
                </c:pt>
                <c:pt idx="15">
                  <c:v>1.01589003569311</c:v>
                </c:pt>
                <c:pt idx="16">
                  <c:v>1.01791536914589</c:v>
                </c:pt>
                <c:pt idx="17">
                  <c:v>1.01994070259868</c:v>
                </c:pt>
                <c:pt idx="18">
                  <c:v>1.02196603605146</c:v>
                </c:pt>
                <c:pt idx="19">
                  <c:v>1.02399136950425</c:v>
                </c:pt>
                <c:pt idx="20">
                  <c:v>1.030032561246</c:v>
                </c:pt>
                <c:pt idx="21">
                  <c:v>1.0292623125990099</c:v>
                </c:pt>
                <c:pt idx="22">
                  <c:v>1.0305184942002501</c:v>
                </c:pt>
                <c:pt idx="23">
                  <c:v>1.0337044514817</c:v>
                </c:pt>
                <c:pt idx="24">
                  <c:v>1.0368557952326001</c:v>
                </c:pt>
                <c:pt idx="25">
                  <c:v>1.03303819494446</c:v>
                </c:pt>
                <c:pt idx="26">
                  <c:v>1.03927948376966</c:v>
                </c:pt>
                <c:pt idx="27">
                  <c:v>1.03879261330761</c:v>
                </c:pt>
                <c:pt idx="28">
                  <c:v>1.0333657590737799</c:v>
                </c:pt>
                <c:pt idx="29">
                  <c:v>1.03456865158403</c:v>
                </c:pt>
                <c:pt idx="30">
                  <c:v>1.0348040691646301</c:v>
                </c:pt>
                <c:pt idx="31">
                  <c:v>1.03071638816261</c:v>
                </c:pt>
                <c:pt idx="32">
                  <c:v>1.0337810549153199</c:v>
                </c:pt>
                <c:pt idx="33">
                  <c:v>1.03892524583136</c:v>
                </c:pt>
                <c:pt idx="34">
                  <c:v>1.04096871628094</c:v>
                </c:pt>
                <c:pt idx="35">
                  <c:v>1.0538356400433599</c:v>
                </c:pt>
                <c:pt idx="36">
                  <c:v>1.0441935679671099</c:v>
                </c:pt>
                <c:pt idx="37">
                  <c:v>1.05043190779129</c:v>
                </c:pt>
                <c:pt idx="38">
                  <c:v>1.0561416028836601</c:v>
                </c:pt>
                <c:pt idx="39">
                  <c:v>1.0499225717571901</c:v>
                </c:pt>
                <c:pt idx="40">
                  <c:v>1.0524469360297399</c:v>
                </c:pt>
                <c:pt idx="41">
                  <c:v>1.0556496677043401</c:v>
                </c:pt>
                <c:pt idx="42">
                  <c:v>1.05995410782653</c:v>
                </c:pt>
                <c:pt idx="43">
                  <c:v>1.0521325391079299</c:v>
                </c:pt>
                <c:pt idx="44">
                  <c:v>1.0428544556019499</c:v>
                </c:pt>
                <c:pt idx="45">
                  <c:v>1.04886592716501</c:v>
                </c:pt>
                <c:pt idx="46">
                  <c:v>1.0608136649840001</c:v>
                </c:pt>
                <c:pt idx="47">
                  <c:v>1.0614619973067201</c:v>
                </c:pt>
                <c:pt idx="48">
                  <c:v>1.0662947510058001</c:v>
                </c:pt>
                <c:pt idx="49">
                  <c:v>1.06788837558514</c:v>
                </c:pt>
                <c:pt idx="50">
                  <c:v>1.06805394167936</c:v>
                </c:pt>
                <c:pt idx="51">
                  <c:v>1.06805394167936</c:v>
                </c:pt>
              </c:numCache>
            </c:numRef>
          </c:val>
          <c:smooth val="0"/>
          <c:extLst>
            <c:ext xmlns:c16="http://schemas.microsoft.com/office/drawing/2014/chart" uri="{C3380CC4-5D6E-409C-BE32-E72D297353CC}">
              <c16:uniqueId val="{00000005-FD21-40F6-8B7F-0B23CAA37F5F}"/>
            </c:ext>
          </c:extLst>
        </c:ser>
        <c:ser>
          <c:idx val="6"/>
          <c:order val="6"/>
          <c:tx>
            <c:strRef>
              <c:f>套利策略_每周idx_分位图!$H$1</c:f>
              <c:strCache>
                <c:ptCount val="1"/>
                <c:pt idx="0">
                  <c:v>90% 分位数</c:v>
                </c:pt>
              </c:strCache>
            </c:strRef>
          </c:tx>
          <c:spPr>
            <a:ln w="28575" cap="rnd">
              <a:solidFill>
                <a:schemeClr val="accent1">
                  <a:lumMod val="60000"/>
                </a:schemeClr>
              </a:solidFill>
              <a:round/>
            </a:ln>
            <a:effectLst/>
          </c:spPr>
          <c:marker>
            <c:symbol val="none"/>
          </c:marker>
          <c:cat>
            <c:numRef>
              <c:f>套利策略_每周idx_分位图!$A$2:$A$53</c:f>
              <c:numCache>
                <c:formatCode>m/d/yyyy</c:formatCode>
                <c:ptCount val="52"/>
                <c:pt idx="0">
                  <c:v>42643</c:v>
                </c:pt>
                <c:pt idx="1">
                  <c:v>42657</c:v>
                </c:pt>
                <c:pt idx="2">
                  <c:v>42664</c:v>
                </c:pt>
                <c:pt idx="3">
                  <c:v>42671</c:v>
                </c:pt>
                <c:pt idx="4">
                  <c:v>42678</c:v>
                </c:pt>
                <c:pt idx="5">
                  <c:v>42685</c:v>
                </c:pt>
                <c:pt idx="6">
                  <c:v>42692</c:v>
                </c:pt>
                <c:pt idx="7">
                  <c:v>42699</c:v>
                </c:pt>
                <c:pt idx="8">
                  <c:v>42706</c:v>
                </c:pt>
                <c:pt idx="9">
                  <c:v>42713</c:v>
                </c:pt>
                <c:pt idx="10">
                  <c:v>42720</c:v>
                </c:pt>
                <c:pt idx="11">
                  <c:v>42727</c:v>
                </c:pt>
                <c:pt idx="12">
                  <c:v>42734</c:v>
                </c:pt>
                <c:pt idx="13">
                  <c:v>42741</c:v>
                </c:pt>
                <c:pt idx="14">
                  <c:v>42748</c:v>
                </c:pt>
                <c:pt idx="15">
                  <c:v>42755</c:v>
                </c:pt>
                <c:pt idx="16">
                  <c:v>42762</c:v>
                </c:pt>
                <c:pt idx="17">
                  <c:v>42769</c:v>
                </c:pt>
                <c:pt idx="18">
                  <c:v>42776</c:v>
                </c:pt>
                <c:pt idx="19">
                  <c:v>42783</c:v>
                </c:pt>
                <c:pt idx="20">
                  <c:v>42790</c:v>
                </c:pt>
                <c:pt idx="21">
                  <c:v>42797</c:v>
                </c:pt>
                <c:pt idx="22">
                  <c:v>42804</c:v>
                </c:pt>
                <c:pt idx="23">
                  <c:v>42811</c:v>
                </c:pt>
                <c:pt idx="24">
                  <c:v>42818</c:v>
                </c:pt>
                <c:pt idx="25">
                  <c:v>42825</c:v>
                </c:pt>
                <c:pt idx="26">
                  <c:v>42832</c:v>
                </c:pt>
                <c:pt idx="27">
                  <c:v>42839</c:v>
                </c:pt>
                <c:pt idx="28">
                  <c:v>42846</c:v>
                </c:pt>
                <c:pt idx="29">
                  <c:v>42853</c:v>
                </c:pt>
                <c:pt idx="30">
                  <c:v>42860</c:v>
                </c:pt>
                <c:pt idx="31">
                  <c:v>42867</c:v>
                </c:pt>
                <c:pt idx="32">
                  <c:v>42874</c:v>
                </c:pt>
                <c:pt idx="33">
                  <c:v>42881</c:v>
                </c:pt>
                <c:pt idx="34">
                  <c:v>42888</c:v>
                </c:pt>
                <c:pt idx="35">
                  <c:v>42895</c:v>
                </c:pt>
                <c:pt idx="36">
                  <c:v>42902</c:v>
                </c:pt>
                <c:pt idx="37">
                  <c:v>42909</c:v>
                </c:pt>
                <c:pt idx="38">
                  <c:v>42916</c:v>
                </c:pt>
                <c:pt idx="39">
                  <c:v>42923</c:v>
                </c:pt>
                <c:pt idx="40">
                  <c:v>42930</c:v>
                </c:pt>
                <c:pt idx="41">
                  <c:v>42937</c:v>
                </c:pt>
                <c:pt idx="42">
                  <c:v>42944</c:v>
                </c:pt>
                <c:pt idx="43">
                  <c:v>42951</c:v>
                </c:pt>
                <c:pt idx="44">
                  <c:v>42958</c:v>
                </c:pt>
                <c:pt idx="45">
                  <c:v>42965</c:v>
                </c:pt>
                <c:pt idx="46">
                  <c:v>42972</c:v>
                </c:pt>
                <c:pt idx="47">
                  <c:v>42979</c:v>
                </c:pt>
                <c:pt idx="48">
                  <c:v>42986</c:v>
                </c:pt>
                <c:pt idx="49">
                  <c:v>42993</c:v>
                </c:pt>
                <c:pt idx="50">
                  <c:v>43000</c:v>
                </c:pt>
                <c:pt idx="51">
                  <c:v>43007</c:v>
                </c:pt>
              </c:numCache>
            </c:numRef>
          </c:cat>
          <c:val>
            <c:numRef>
              <c:f>套利策略_每周idx_分位图!$H$2:$H$53</c:f>
              <c:numCache>
                <c:formatCode>General</c:formatCode>
                <c:ptCount val="52"/>
                <c:pt idx="0">
                  <c:v>1</c:v>
                </c:pt>
                <c:pt idx="1">
                  <c:v>1.0106666421102499</c:v>
                </c:pt>
                <c:pt idx="2">
                  <c:v>1.0118750620721699</c:v>
                </c:pt>
                <c:pt idx="3">
                  <c:v>1.0135980418819599</c:v>
                </c:pt>
                <c:pt idx="4">
                  <c:v>1.01858399057202</c:v>
                </c:pt>
                <c:pt idx="5">
                  <c:v>1.03273406727503</c:v>
                </c:pt>
                <c:pt idx="6">
                  <c:v>1.03221688765549</c:v>
                </c:pt>
                <c:pt idx="7">
                  <c:v>1.03575232001368</c:v>
                </c:pt>
                <c:pt idx="8">
                  <c:v>1.02544961355081</c:v>
                </c:pt>
                <c:pt idx="9">
                  <c:v>1.0260524300923901</c:v>
                </c:pt>
                <c:pt idx="10">
                  <c:v>1.0199812953292</c:v>
                </c:pt>
                <c:pt idx="11">
                  <c:v>1.02107032633652</c:v>
                </c:pt>
                <c:pt idx="12">
                  <c:v>1.02261109929238</c:v>
                </c:pt>
                <c:pt idx="13">
                  <c:v>1.02481469991347</c:v>
                </c:pt>
                <c:pt idx="14">
                  <c:v>1.0244504704922801</c:v>
                </c:pt>
                <c:pt idx="15">
                  <c:v>1.0293811263506201</c:v>
                </c:pt>
                <c:pt idx="16">
                  <c:v>1.02970576447841</c:v>
                </c:pt>
                <c:pt idx="17">
                  <c:v>1.0300304026061999</c:v>
                </c:pt>
                <c:pt idx="18">
                  <c:v>1.0303550407339901</c:v>
                </c:pt>
                <c:pt idx="19">
                  <c:v>1.03067967886178</c:v>
                </c:pt>
                <c:pt idx="20">
                  <c:v>1.0355028739032499</c:v>
                </c:pt>
                <c:pt idx="21">
                  <c:v>1.03949128518754</c:v>
                </c:pt>
                <c:pt idx="22">
                  <c:v>1.0438507114750299</c:v>
                </c:pt>
                <c:pt idx="23">
                  <c:v>1.0482101377625099</c:v>
                </c:pt>
                <c:pt idx="24">
                  <c:v>1.05405362406275</c:v>
                </c:pt>
                <c:pt idx="25">
                  <c:v>1.05117825778803</c:v>
                </c:pt>
                <c:pt idx="26">
                  <c:v>1.05535217657392</c:v>
                </c:pt>
                <c:pt idx="27">
                  <c:v>1.05405362406275</c:v>
                </c:pt>
                <c:pt idx="28">
                  <c:v>1.07024400182715</c:v>
                </c:pt>
                <c:pt idx="29">
                  <c:v>1.06965927333429</c:v>
                </c:pt>
                <c:pt idx="30">
                  <c:v>1.0686512306693901</c:v>
                </c:pt>
                <c:pt idx="31">
                  <c:v>1.0664393061577799</c:v>
                </c:pt>
                <c:pt idx="32">
                  <c:v>1.0662015331130501</c:v>
                </c:pt>
                <c:pt idx="33">
                  <c:v>1.0637616288234299</c:v>
                </c:pt>
                <c:pt idx="34">
                  <c:v>1.0633341274786301</c:v>
                </c:pt>
                <c:pt idx="35">
                  <c:v>1.06290662613382</c:v>
                </c:pt>
                <c:pt idx="36">
                  <c:v>1.0571117759042601</c:v>
                </c:pt>
                <c:pt idx="37">
                  <c:v>1.0622777541606501</c:v>
                </c:pt>
                <c:pt idx="38">
                  <c:v>1.0640141025230001</c:v>
                </c:pt>
                <c:pt idx="39">
                  <c:v>1.0629615787225299</c:v>
                </c:pt>
                <c:pt idx="40">
                  <c:v>1.0594214353159701</c:v>
                </c:pt>
                <c:pt idx="41">
                  <c:v>1.0644009872914699</c:v>
                </c:pt>
                <c:pt idx="42">
                  <c:v>1.0637586556891701</c:v>
                </c:pt>
                <c:pt idx="43">
                  <c:v>1.0689490320488999</c:v>
                </c:pt>
                <c:pt idx="44">
                  <c:v>1.0534644038483401</c:v>
                </c:pt>
                <c:pt idx="45">
                  <c:v>1.06767913566405</c:v>
                </c:pt>
                <c:pt idx="46">
                  <c:v>1.0688967455353</c:v>
                </c:pt>
                <c:pt idx="47">
                  <c:v>1.0778714531774001</c:v>
                </c:pt>
                <c:pt idx="48">
                  <c:v>1.0759677273139301</c:v>
                </c:pt>
                <c:pt idx="49">
                  <c:v>1.0758770737013801</c:v>
                </c:pt>
                <c:pt idx="50">
                  <c:v>1.08340132354274</c:v>
                </c:pt>
                <c:pt idx="51">
                  <c:v>1.07941256459069</c:v>
                </c:pt>
              </c:numCache>
            </c:numRef>
          </c:val>
          <c:smooth val="0"/>
          <c:extLst>
            <c:ext xmlns:c16="http://schemas.microsoft.com/office/drawing/2014/chart" uri="{C3380CC4-5D6E-409C-BE32-E72D297353CC}">
              <c16:uniqueId val="{00000006-FD21-40F6-8B7F-0B23CAA37F5F}"/>
            </c:ext>
          </c:extLst>
        </c:ser>
        <c:dLbls>
          <c:showLegendKey val="0"/>
          <c:showVal val="0"/>
          <c:showCatName val="0"/>
          <c:showSerName val="0"/>
          <c:showPercent val="0"/>
          <c:showBubbleSize val="0"/>
        </c:dLbls>
        <c:smooth val="0"/>
        <c:axId val="1739882656"/>
        <c:axId val="1746496928"/>
      </c:lineChart>
      <c:dateAx>
        <c:axId val="173988265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6496928"/>
        <c:crosses val="autoZero"/>
        <c:auto val="1"/>
        <c:lblOffset val="100"/>
        <c:baseTimeUnit val="days"/>
        <c:majorUnit val="45"/>
        <c:majorTimeUnit val="days"/>
      </c:dateAx>
      <c:valAx>
        <c:axId val="1746496928"/>
        <c:scaling>
          <c:orientation val="minMax"/>
          <c:min val="0.95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9882656"/>
        <c:crosses val="autoZero"/>
        <c:crossBetween val="between"/>
      </c:valAx>
      <c:spPr>
        <a:noFill/>
        <a:ln>
          <a:noFill/>
        </a:ln>
        <a:effectLst/>
      </c:spPr>
    </c:plotArea>
    <c:legend>
      <c:legendPos val="b"/>
      <c:layout>
        <c:manualLayout>
          <c:xMode val="edge"/>
          <c:yMode val="edge"/>
          <c:x val="0.83666225403007055"/>
          <c:y val="0.18549318733875905"/>
          <c:w val="0.15921212027968848"/>
          <c:h val="0.5957196818286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t>债券策略业绩表现</a:t>
            </a:r>
          </a:p>
        </c:rich>
      </c:tx>
      <c:overlay val="0"/>
    </c:title>
    <c:autoTitleDeleted val="0"/>
    <c:plotArea>
      <c:layout>
        <c:manualLayout>
          <c:layoutTarget val="inner"/>
          <c:xMode val="edge"/>
          <c:yMode val="edge"/>
          <c:x val="0.10111047701026295"/>
          <c:y val="0.14984517201933764"/>
          <c:w val="0.68890072824691762"/>
          <c:h val="0.62521019342513995"/>
        </c:manualLayout>
      </c:layout>
      <c:lineChart>
        <c:grouping val="standard"/>
        <c:varyColors val="0"/>
        <c:ser>
          <c:idx val="0"/>
          <c:order val="0"/>
          <c:tx>
            <c:strRef>
              <c:f>债券策略_每周idx_分位图!$B$1</c:f>
              <c:strCache>
                <c:ptCount val="1"/>
                <c:pt idx="0">
                  <c:v>10%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债券策略_每周idx_分位图!$B$2:$B$54</c:f>
              <c:numCache>
                <c:formatCode>General</c:formatCode>
                <c:ptCount val="53"/>
                <c:pt idx="0">
                  <c:v>1</c:v>
                </c:pt>
                <c:pt idx="1">
                  <c:v>1</c:v>
                </c:pt>
                <c:pt idx="2">
                  <c:v>1</c:v>
                </c:pt>
                <c:pt idx="3">
                  <c:v>1.0008667848250599</c:v>
                </c:pt>
                <c:pt idx="4">
                  <c:v>1.00092052795752</c:v>
                </c:pt>
                <c:pt idx="5">
                  <c:v>1.0008991256928899</c:v>
                </c:pt>
                <c:pt idx="6">
                  <c:v>1.0016894641608201</c:v>
                </c:pt>
                <c:pt idx="7">
                  <c:v>1.0019701126549896</c:v>
                </c:pt>
                <c:pt idx="8">
                  <c:v>1</c:v>
                </c:pt>
                <c:pt idx="9">
                  <c:v>0.99840743012189004</c:v>
                </c:pt>
                <c:pt idx="10">
                  <c:v>0.99670835558319615</c:v>
                </c:pt>
                <c:pt idx="11">
                  <c:v>0.99614247330370909</c:v>
                </c:pt>
                <c:pt idx="12">
                  <c:v>0.9915132443915049</c:v>
                </c:pt>
                <c:pt idx="13">
                  <c:v>0.99136943322299997</c:v>
                </c:pt>
                <c:pt idx="14">
                  <c:v>0.99015599774944496</c:v>
                </c:pt>
                <c:pt idx="15">
                  <c:v>0.98782801868528514</c:v>
                </c:pt>
                <c:pt idx="16">
                  <c:v>0.98803079949232586</c:v>
                </c:pt>
                <c:pt idx="17">
                  <c:v>0.98843033229017108</c:v>
                </c:pt>
                <c:pt idx="18">
                  <c:v>0.9902805308899939</c:v>
                </c:pt>
                <c:pt idx="19">
                  <c:v>0.99276681085422891</c:v>
                </c:pt>
                <c:pt idx="20">
                  <c:v>0.99177426186168494</c:v>
                </c:pt>
                <c:pt idx="21">
                  <c:v>0.9925623290193647</c:v>
                </c:pt>
                <c:pt idx="22">
                  <c:v>0.99434267901607798</c:v>
                </c:pt>
                <c:pt idx="23">
                  <c:v>0.9944327215054648</c:v>
                </c:pt>
                <c:pt idx="24">
                  <c:v>0.99389373394308911</c:v>
                </c:pt>
                <c:pt idx="25">
                  <c:v>0.98926937313587104</c:v>
                </c:pt>
                <c:pt idx="26">
                  <c:v>0.98405911084279296</c:v>
                </c:pt>
                <c:pt idx="27">
                  <c:v>0.98344924487868202</c:v>
                </c:pt>
                <c:pt idx="28">
                  <c:v>0.98235916151652591</c:v>
                </c:pt>
                <c:pt idx="29">
                  <c:v>0.9774492046121992</c:v>
                </c:pt>
                <c:pt idx="30">
                  <c:v>0.9776897523631003</c:v>
                </c:pt>
                <c:pt idx="31">
                  <c:v>0.96870907735442824</c:v>
                </c:pt>
                <c:pt idx="32">
                  <c:v>0.96831529558160301</c:v>
                </c:pt>
                <c:pt idx="33">
                  <c:v>0.96910530177354404</c:v>
                </c:pt>
                <c:pt idx="34">
                  <c:v>0.97050512889803298</c:v>
                </c:pt>
                <c:pt idx="35">
                  <c:v>0.96909869871529508</c:v>
                </c:pt>
                <c:pt idx="36">
                  <c:v>0.96842931412460109</c:v>
                </c:pt>
                <c:pt idx="37">
                  <c:v>0.95831685612398509</c:v>
                </c:pt>
                <c:pt idx="38">
                  <c:v>0.95280323645847131</c:v>
                </c:pt>
                <c:pt idx="39">
                  <c:v>0.95115557752395308</c:v>
                </c:pt>
                <c:pt idx="40">
                  <c:v>0.95695183536732209</c:v>
                </c:pt>
                <c:pt idx="41">
                  <c:v>0.95758788852263688</c:v>
                </c:pt>
                <c:pt idx="42">
                  <c:v>0.95778942258918331</c:v>
                </c:pt>
                <c:pt idx="43">
                  <c:v>0.95861514881960797</c:v>
                </c:pt>
                <c:pt idx="44">
                  <c:v>0.96015332102747597</c:v>
                </c:pt>
                <c:pt idx="45">
                  <c:v>0.96179536031464108</c:v>
                </c:pt>
                <c:pt idx="46">
                  <c:v>0.96092957175528704</c:v>
                </c:pt>
                <c:pt idx="47">
                  <c:v>0.960238161433699</c:v>
                </c:pt>
                <c:pt idx="48">
                  <c:v>0.96165652143638802</c:v>
                </c:pt>
                <c:pt idx="49">
                  <c:v>0.96095922454817817</c:v>
                </c:pt>
                <c:pt idx="50">
                  <c:v>0.96053683965270098</c:v>
                </c:pt>
                <c:pt idx="51">
                  <c:v>0.96104400801944412</c:v>
                </c:pt>
                <c:pt idx="52">
                  <c:v>0.96104400801944412</c:v>
                </c:pt>
              </c:numCache>
            </c:numRef>
          </c:val>
          <c:smooth val="0"/>
          <c:extLst>
            <c:ext xmlns:c16="http://schemas.microsoft.com/office/drawing/2014/chart" uri="{C3380CC4-5D6E-409C-BE32-E72D297353CC}">
              <c16:uniqueId val="{00000000-362F-4F82-ACA9-9868DE98C112}"/>
            </c:ext>
          </c:extLst>
        </c:ser>
        <c:ser>
          <c:idx val="1"/>
          <c:order val="1"/>
          <c:tx>
            <c:strRef>
              <c:f>债券策略_每周idx_分位图!$C$1</c:f>
              <c:strCache>
                <c:ptCount val="1"/>
                <c:pt idx="0">
                  <c:v>25%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债券策略_每周idx_分位图!$C$2:$C$54</c:f>
              <c:numCache>
                <c:formatCode>General</c:formatCode>
                <c:ptCount val="53"/>
                <c:pt idx="0">
                  <c:v>1</c:v>
                </c:pt>
                <c:pt idx="1">
                  <c:v>1.0004725807366301</c:v>
                </c:pt>
                <c:pt idx="2">
                  <c:v>1.0011113342137401</c:v>
                </c:pt>
                <c:pt idx="3">
                  <c:v>1.00271655466038</c:v>
                </c:pt>
                <c:pt idx="4">
                  <c:v>1.00398457999831</c:v>
                </c:pt>
                <c:pt idx="5">
                  <c:v>1.0053794740825799</c:v>
                </c:pt>
                <c:pt idx="6">
                  <c:v>1.0062466886106298</c:v>
                </c:pt>
                <c:pt idx="7">
                  <c:v>1.0064413230626399</c:v>
                </c:pt>
                <c:pt idx="8">
                  <c:v>1.0059594123647397</c:v>
                </c:pt>
                <c:pt idx="9">
                  <c:v>1.0030168189619999</c:v>
                </c:pt>
                <c:pt idx="10">
                  <c:v>1.00355286844934</c:v>
                </c:pt>
                <c:pt idx="11">
                  <c:v>1.0002662203483899</c:v>
                </c:pt>
                <c:pt idx="12">
                  <c:v>0.99999814851381308</c:v>
                </c:pt>
                <c:pt idx="13">
                  <c:v>0.99929292578948492</c:v>
                </c:pt>
                <c:pt idx="14">
                  <c:v>1</c:v>
                </c:pt>
                <c:pt idx="15">
                  <c:v>0.99980927431668809</c:v>
                </c:pt>
                <c:pt idx="16">
                  <c:v>0.99880819384363484</c:v>
                </c:pt>
                <c:pt idx="17">
                  <c:v>1.0001758224620501</c:v>
                </c:pt>
                <c:pt idx="18">
                  <c:v>1.0009013124089596</c:v>
                </c:pt>
                <c:pt idx="19">
                  <c:v>1.0042196590045298</c:v>
                </c:pt>
                <c:pt idx="20">
                  <c:v>1.0063833128572399</c:v>
                </c:pt>
                <c:pt idx="21">
                  <c:v>1.00695715523514</c:v>
                </c:pt>
                <c:pt idx="22">
                  <c:v>1.0078340985418297</c:v>
                </c:pt>
                <c:pt idx="23">
                  <c:v>1.0085647552449895</c:v>
                </c:pt>
                <c:pt idx="24">
                  <c:v>1.00841196843937</c:v>
                </c:pt>
                <c:pt idx="25">
                  <c:v>1.0068315768941798</c:v>
                </c:pt>
                <c:pt idx="26">
                  <c:v>1.0049517343610701</c:v>
                </c:pt>
                <c:pt idx="27">
                  <c:v>1.00523279677656</c:v>
                </c:pt>
                <c:pt idx="28">
                  <c:v>1.0075050821560598</c:v>
                </c:pt>
                <c:pt idx="29">
                  <c:v>1.0047198226741798</c:v>
                </c:pt>
                <c:pt idx="30">
                  <c:v>1.0025890773499997</c:v>
                </c:pt>
                <c:pt idx="31">
                  <c:v>1.0005657678155599</c:v>
                </c:pt>
                <c:pt idx="32">
                  <c:v>1</c:v>
                </c:pt>
                <c:pt idx="33">
                  <c:v>0.99712911959667605</c:v>
                </c:pt>
                <c:pt idx="34">
                  <c:v>0.99926542605288904</c:v>
                </c:pt>
                <c:pt idx="35">
                  <c:v>0.99694264057405002</c:v>
                </c:pt>
                <c:pt idx="36">
                  <c:v>0.99932003626473209</c:v>
                </c:pt>
                <c:pt idx="37">
                  <c:v>1.00004138045187</c:v>
                </c:pt>
                <c:pt idx="38">
                  <c:v>0.99904044916781198</c:v>
                </c:pt>
                <c:pt idx="39">
                  <c:v>0.99607101280558819</c:v>
                </c:pt>
                <c:pt idx="40">
                  <c:v>1.0021096735642898</c:v>
                </c:pt>
                <c:pt idx="41">
                  <c:v>1.0022989741014601</c:v>
                </c:pt>
                <c:pt idx="42">
                  <c:v>1.0033336080490896</c:v>
                </c:pt>
                <c:pt idx="43">
                  <c:v>1.0019686360615099</c:v>
                </c:pt>
                <c:pt idx="44">
                  <c:v>1.0018817896519898</c:v>
                </c:pt>
                <c:pt idx="45">
                  <c:v>1.0013291531263997</c:v>
                </c:pt>
                <c:pt idx="46">
                  <c:v>1.0030035353314399</c:v>
                </c:pt>
                <c:pt idx="47">
                  <c:v>1.0037387909148896</c:v>
                </c:pt>
                <c:pt idx="48">
                  <c:v>1.0030693630379497</c:v>
                </c:pt>
                <c:pt idx="49">
                  <c:v>1.0037387909148896</c:v>
                </c:pt>
                <c:pt idx="50">
                  <c:v>1.0037387909148896</c:v>
                </c:pt>
                <c:pt idx="51">
                  <c:v>1.0025383329545199</c:v>
                </c:pt>
                <c:pt idx="52">
                  <c:v>1.0025383329545199</c:v>
                </c:pt>
              </c:numCache>
            </c:numRef>
          </c:val>
          <c:smooth val="0"/>
          <c:extLst>
            <c:ext xmlns:c16="http://schemas.microsoft.com/office/drawing/2014/chart" uri="{C3380CC4-5D6E-409C-BE32-E72D297353CC}">
              <c16:uniqueId val="{00000001-362F-4F82-ACA9-9868DE98C112}"/>
            </c:ext>
          </c:extLst>
        </c:ser>
        <c:ser>
          <c:idx val="2"/>
          <c:order val="2"/>
          <c:tx>
            <c:strRef>
              <c:f>债券策略_每周idx_分位图!$D$1</c:f>
              <c:strCache>
                <c:ptCount val="1"/>
                <c:pt idx="0">
                  <c:v>40%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债券策略_每周idx_分位图!$D$2:$D$54</c:f>
              <c:numCache>
                <c:formatCode>General</c:formatCode>
                <c:ptCount val="53"/>
                <c:pt idx="0">
                  <c:v>1</c:v>
                </c:pt>
                <c:pt idx="1">
                  <c:v>1.0010219252788599</c:v>
                </c:pt>
                <c:pt idx="2">
                  <c:v>1.00207997816363</c:v>
                </c:pt>
                <c:pt idx="3">
                  <c:v>1.0045489006310002</c:v>
                </c:pt>
                <c:pt idx="4">
                  <c:v>1.0054797432430398</c:v>
                </c:pt>
                <c:pt idx="5">
                  <c:v>1.0073076139261898</c:v>
                </c:pt>
                <c:pt idx="6">
                  <c:v>1.0085342893034197</c:v>
                </c:pt>
                <c:pt idx="7">
                  <c:v>1.00824634998061</c:v>
                </c:pt>
                <c:pt idx="8">
                  <c:v>1.0088179930014001</c:v>
                </c:pt>
                <c:pt idx="9">
                  <c:v>1.0085706423013798</c:v>
                </c:pt>
                <c:pt idx="10">
                  <c:v>1.00757788994395</c:v>
                </c:pt>
                <c:pt idx="11">
                  <c:v>1.0025540085297</c:v>
                </c:pt>
                <c:pt idx="12">
                  <c:v>1.0018017628788898</c:v>
                </c:pt>
                <c:pt idx="13">
                  <c:v>1.0035943553605395</c:v>
                </c:pt>
                <c:pt idx="14">
                  <c:v>1.0041840544501499</c:v>
                </c:pt>
                <c:pt idx="15">
                  <c:v>1.0045245721614697</c:v>
                </c:pt>
                <c:pt idx="16">
                  <c:v>1.0057365013991797</c:v>
                </c:pt>
                <c:pt idx="17">
                  <c:v>1.0076757057461398</c:v>
                </c:pt>
                <c:pt idx="18">
                  <c:v>1.0083698129956598</c:v>
                </c:pt>
                <c:pt idx="19">
                  <c:v>1.0112147806629999</c:v>
                </c:pt>
                <c:pt idx="20">
                  <c:v>1.0117794670931197</c:v>
                </c:pt>
                <c:pt idx="21">
                  <c:v>1.01400895554205</c:v>
                </c:pt>
                <c:pt idx="22">
                  <c:v>1.0149501318257503</c:v>
                </c:pt>
                <c:pt idx="23">
                  <c:v>1.0140400374795799</c:v>
                </c:pt>
                <c:pt idx="24">
                  <c:v>1.01345627978773</c:v>
                </c:pt>
                <c:pt idx="25">
                  <c:v>1.0165740984641196</c:v>
                </c:pt>
                <c:pt idx="26">
                  <c:v>1.0154253687977799</c:v>
                </c:pt>
                <c:pt idx="27">
                  <c:v>1.0166021428993499</c:v>
                </c:pt>
                <c:pt idx="28">
                  <c:v>1.0165841001702201</c:v>
                </c:pt>
                <c:pt idx="29">
                  <c:v>1.0168804089710202</c:v>
                </c:pt>
                <c:pt idx="30">
                  <c:v>1.0127945077657399</c:v>
                </c:pt>
                <c:pt idx="31">
                  <c:v>1.01046273673263</c:v>
                </c:pt>
                <c:pt idx="32">
                  <c:v>1.0082389347265002</c:v>
                </c:pt>
                <c:pt idx="33">
                  <c:v>1.0075985324552499</c:v>
                </c:pt>
                <c:pt idx="34">
                  <c:v>1.00698371781172</c:v>
                </c:pt>
                <c:pt idx="35">
                  <c:v>1.00761997890327</c:v>
                </c:pt>
                <c:pt idx="36">
                  <c:v>1.0089154570351997</c:v>
                </c:pt>
                <c:pt idx="37">
                  <c:v>1.00686414694272</c:v>
                </c:pt>
                <c:pt idx="38">
                  <c:v>1.00758735472316</c:v>
                </c:pt>
                <c:pt idx="39">
                  <c:v>1.0112181242517204</c:v>
                </c:pt>
                <c:pt idx="40">
                  <c:v>1.0167912487214696</c:v>
                </c:pt>
                <c:pt idx="41">
                  <c:v>1.0178253206427199</c:v>
                </c:pt>
                <c:pt idx="42">
                  <c:v>1.0193251886581398</c:v>
                </c:pt>
                <c:pt idx="43">
                  <c:v>1.0109925075875799</c:v>
                </c:pt>
                <c:pt idx="44">
                  <c:v>1.0159576695855501</c:v>
                </c:pt>
                <c:pt idx="45">
                  <c:v>1.0123311982569598</c:v>
                </c:pt>
                <c:pt idx="46">
                  <c:v>1.0158616648022598</c:v>
                </c:pt>
                <c:pt idx="47">
                  <c:v>1.0165869594532102</c:v>
                </c:pt>
                <c:pt idx="48">
                  <c:v>1.0176864355821797</c:v>
                </c:pt>
                <c:pt idx="49">
                  <c:v>1.0196982971011095</c:v>
                </c:pt>
                <c:pt idx="50">
                  <c:v>1.0184705902272599</c:v>
                </c:pt>
                <c:pt idx="51">
                  <c:v>1.0240731333119002</c:v>
                </c:pt>
                <c:pt idx="52">
                  <c:v>1.0240731333119002</c:v>
                </c:pt>
              </c:numCache>
            </c:numRef>
          </c:val>
          <c:smooth val="0"/>
          <c:extLst>
            <c:ext xmlns:c16="http://schemas.microsoft.com/office/drawing/2014/chart" uri="{C3380CC4-5D6E-409C-BE32-E72D297353CC}">
              <c16:uniqueId val="{00000002-362F-4F82-ACA9-9868DE98C112}"/>
            </c:ext>
          </c:extLst>
        </c:ser>
        <c:ser>
          <c:idx val="3"/>
          <c:order val="3"/>
          <c:tx>
            <c:strRef>
              <c:f>债券策略_每周idx_分位图!$E$1</c:f>
              <c:strCache>
                <c:ptCount val="1"/>
                <c:pt idx="0">
                  <c:v>50%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债券策略_每周idx_分位图!$E$2:$E$54</c:f>
              <c:numCache>
                <c:formatCode>General</c:formatCode>
                <c:ptCount val="53"/>
                <c:pt idx="0">
                  <c:v>1</c:v>
                </c:pt>
                <c:pt idx="1">
                  <c:v>1.0015393782897997</c:v>
                </c:pt>
                <c:pt idx="2">
                  <c:v>1.0031966977594593</c:v>
                </c:pt>
                <c:pt idx="3">
                  <c:v>1.0060270256715003</c:v>
                </c:pt>
                <c:pt idx="4">
                  <c:v>1.0068806970142996</c:v>
                </c:pt>
                <c:pt idx="5">
                  <c:v>1.0084673555664598</c:v>
                </c:pt>
                <c:pt idx="6">
                  <c:v>1.0106761285454</c:v>
                </c:pt>
                <c:pt idx="7">
                  <c:v>1.0101151359817904</c:v>
                </c:pt>
                <c:pt idx="8">
                  <c:v>1.0115823630285301</c:v>
                </c:pt>
                <c:pt idx="9">
                  <c:v>1.0098593475190996</c:v>
                </c:pt>
                <c:pt idx="10">
                  <c:v>1.0096088575978897</c:v>
                </c:pt>
                <c:pt idx="11">
                  <c:v>1.0056886155079796</c:v>
                </c:pt>
                <c:pt idx="12">
                  <c:v>1.0064273643896999</c:v>
                </c:pt>
                <c:pt idx="13">
                  <c:v>1.0092693559276196</c:v>
                </c:pt>
                <c:pt idx="14">
                  <c:v>1.00804407818608</c:v>
                </c:pt>
                <c:pt idx="15">
                  <c:v>1.0092888619923801</c:v>
                </c:pt>
                <c:pt idx="16">
                  <c:v>1.0102145185546598</c:v>
                </c:pt>
                <c:pt idx="17">
                  <c:v>1.0121577708199001</c:v>
                </c:pt>
                <c:pt idx="18">
                  <c:v>1.0121687942898898</c:v>
                </c:pt>
                <c:pt idx="19">
                  <c:v>1.0173342684260498</c:v>
                </c:pt>
                <c:pt idx="20">
                  <c:v>1.0188621397028401</c:v>
                </c:pt>
                <c:pt idx="21">
                  <c:v>1.0192773193784699</c:v>
                </c:pt>
                <c:pt idx="22">
                  <c:v>1.01888908971387</c:v>
                </c:pt>
                <c:pt idx="23">
                  <c:v>1.01942236492589</c:v>
                </c:pt>
                <c:pt idx="24">
                  <c:v>1.02074574957789</c:v>
                </c:pt>
                <c:pt idx="25">
                  <c:v>1.0209639412051599</c:v>
                </c:pt>
                <c:pt idx="26">
                  <c:v>1.0190470194993599</c:v>
                </c:pt>
                <c:pt idx="27">
                  <c:v>1.0206979302610302</c:v>
                </c:pt>
                <c:pt idx="28">
                  <c:v>1.0201381548119102</c:v>
                </c:pt>
                <c:pt idx="29">
                  <c:v>1.0201384938026099</c:v>
                </c:pt>
                <c:pt idx="30">
                  <c:v>1.0200979905185501</c:v>
                </c:pt>
                <c:pt idx="31">
                  <c:v>1.0170630968511198</c:v>
                </c:pt>
                <c:pt idx="32">
                  <c:v>1.0147245477844296</c:v>
                </c:pt>
                <c:pt idx="33">
                  <c:v>1.01714582884442</c:v>
                </c:pt>
                <c:pt idx="34">
                  <c:v>1.0189466946641896</c:v>
                </c:pt>
                <c:pt idx="35">
                  <c:v>1.0199902547523096</c:v>
                </c:pt>
                <c:pt idx="36">
                  <c:v>1.0201526220895101</c:v>
                </c:pt>
                <c:pt idx="37">
                  <c:v>1.0199882286443698</c:v>
                </c:pt>
                <c:pt idx="38">
                  <c:v>1.0208607703750499</c:v>
                </c:pt>
                <c:pt idx="39">
                  <c:v>1.0242722053156899</c:v>
                </c:pt>
                <c:pt idx="40">
                  <c:v>1.0252452278772199</c:v>
                </c:pt>
                <c:pt idx="41">
                  <c:v>1.0277127245011102</c:v>
                </c:pt>
                <c:pt idx="42">
                  <c:v>1.0282289728072</c:v>
                </c:pt>
                <c:pt idx="43">
                  <c:v>1.0246944198924797</c:v>
                </c:pt>
                <c:pt idx="44">
                  <c:v>1.0282554989900701</c:v>
                </c:pt>
                <c:pt idx="45">
                  <c:v>1.02847207060954</c:v>
                </c:pt>
                <c:pt idx="46">
                  <c:v>1.0296468615355701</c:v>
                </c:pt>
                <c:pt idx="47">
                  <c:v>1.0282692912492697</c:v>
                </c:pt>
                <c:pt idx="48">
                  <c:v>1.0293034311154299</c:v>
                </c:pt>
                <c:pt idx="49">
                  <c:v>1.03073081642362</c:v>
                </c:pt>
                <c:pt idx="50">
                  <c:v>1.03073081642362</c:v>
                </c:pt>
                <c:pt idx="51">
                  <c:v>1.0320810211820901</c:v>
                </c:pt>
                <c:pt idx="52">
                  <c:v>1.0320810211820901</c:v>
                </c:pt>
              </c:numCache>
            </c:numRef>
          </c:val>
          <c:smooth val="0"/>
          <c:extLst>
            <c:ext xmlns:c16="http://schemas.microsoft.com/office/drawing/2014/chart" uri="{C3380CC4-5D6E-409C-BE32-E72D297353CC}">
              <c16:uniqueId val="{00000003-362F-4F82-ACA9-9868DE98C112}"/>
            </c:ext>
          </c:extLst>
        </c:ser>
        <c:ser>
          <c:idx val="4"/>
          <c:order val="4"/>
          <c:tx>
            <c:strRef>
              <c:f>债券策略_每周idx_分位图!$F$1</c:f>
              <c:strCache>
                <c:ptCount val="1"/>
                <c:pt idx="0">
                  <c:v>60%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债券策略_每周idx_分位图!$F$2:$F$54</c:f>
              <c:numCache>
                <c:formatCode>General</c:formatCode>
                <c:ptCount val="53"/>
                <c:pt idx="0">
                  <c:v>1</c:v>
                </c:pt>
                <c:pt idx="1">
                  <c:v>1.0018587282660001</c:v>
                </c:pt>
                <c:pt idx="2">
                  <c:v>1.0036857504647099</c:v>
                </c:pt>
                <c:pt idx="3">
                  <c:v>1.0080562701656199</c:v>
                </c:pt>
                <c:pt idx="4">
                  <c:v>1.00937656403957</c:v>
                </c:pt>
                <c:pt idx="5">
                  <c:v>1.0111179305392601</c:v>
                </c:pt>
                <c:pt idx="6">
                  <c:v>1.0136024692522201</c:v>
                </c:pt>
                <c:pt idx="7">
                  <c:v>1.0136627878549795</c:v>
                </c:pt>
                <c:pt idx="8">
                  <c:v>1.0135734225001298</c:v>
                </c:pt>
                <c:pt idx="9">
                  <c:v>1.0127701032821399</c:v>
                </c:pt>
                <c:pt idx="10">
                  <c:v>1.0124366378682299</c:v>
                </c:pt>
                <c:pt idx="11">
                  <c:v>1.0113299079076896</c:v>
                </c:pt>
                <c:pt idx="12">
                  <c:v>1.0115347902018397</c:v>
                </c:pt>
                <c:pt idx="13">
                  <c:v>1.0128210872874996</c:v>
                </c:pt>
                <c:pt idx="14">
                  <c:v>1.0141620982699697</c:v>
                </c:pt>
                <c:pt idx="15">
                  <c:v>1.0145768911146398</c:v>
                </c:pt>
                <c:pt idx="16">
                  <c:v>1.0154815482401498</c:v>
                </c:pt>
                <c:pt idx="17">
                  <c:v>1.0168835333789601</c:v>
                </c:pt>
                <c:pt idx="18">
                  <c:v>1.0168986731889798</c:v>
                </c:pt>
                <c:pt idx="19">
                  <c:v>1.0202852611408801</c:v>
                </c:pt>
                <c:pt idx="20">
                  <c:v>1.02312259044181</c:v>
                </c:pt>
                <c:pt idx="21">
                  <c:v>1.0239112343238099</c:v>
                </c:pt>
                <c:pt idx="22">
                  <c:v>1.0232481751824798</c:v>
                </c:pt>
                <c:pt idx="23">
                  <c:v>1.02291430490107</c:v>
                </c:pt>
                <c:pt idx="24">
                  <c:v>1.0248745669491499</c:v>
                </c:pt>
                <c:pt idx="25">
                  <c:v>1.02531093104243</c:v>
                </c:pt>
                <c:pt idx="26">
                  <c:v>1.0252239464115001</c:v>
                </c:pt>
                <c:pt idx="27">
                  <c:v>1.0268483881535999</c:v>
                </c:pt>
                <c:pt idx="28">
                  <c:v>1.0274997758625097</c:v>
                </c:pt>
                <c:pt idx="29">
                  <c:v>1.0280299668388702</c:v>
                </c:pt>
                <c:pt idx="30">
                  <c:v>1.0271362142841096</c:v>
                </c:pt>
                <c:pt idx="31">
                  <c:v>1.02622453885777</c:v>
                </c:pt>
                <c:pt idx="32">
                  <c:v>1.0245874598863902</c:v>
                </c:pt>
                <c:pt idx="33">
                  <c:v>1.02491042565067</c:v>
                </c:pt>
                <c:pt idx="34">
                  <c:v>1.02382276955188</c:v>
                </c:pt>
                <c:pt idx="35">
                  <c:v>1.0253297508371895</c:v>
                </c:pt>
                <c:pt idx="36">
                  <c:v>1.0256409597215701</c:v>
                </c:pt>
                <c:pt idx="37">
                  <c:v>1.0259978893700299</c:v>
                </c:pt>
                <c:pt idx="38">
                  <c:v>1.0276232378661696</c:v>
                </c:pt>
                <c:pt idx="39">
                  <c:v>1.0292703146649897</c:v>
                </c:pt>
                <c:pt idx="40">
                  <c:v>1.0298082678792198</c:v>
                </c:pt>
                <c:pt idx="41">
                  <c:v>1.0349382628398098</c:v>
                </c:pt>
                <c:pt idx="42">
                  <c:v>1.0405148055641298</c:v>
                </c:pt>
                <c:pt idx="43">
                  <c:v>1.0396257616023499</c:v>
                </c:pt>
                <c:pt idx="44">
                  <c:v>1.0424136865326099</c:v>
                </c:pt>
                <c:pt idx="45">
                  <c:v>1.0379089324547099</c:v>
                </c:pt>
                <c:pt idx="46">
                  <c:v>1.0410164313374899</c:v>
                </c:pt>
                <c:pt idx="47">
                  <c:v>1.0477999160701097</c:v>
                </c:pt>
                <c:pt idx="48">
                  <c:v>1.0468953466079798</c:v>
                </c:pt>
                <c:pt idx="49">
                  <c:v>1.0476023749735301</c:v>
                </c:pt>
                <c:pt idx="50">
                  <c:v>1.04936043875828</c:v>
                </c:pt>
                <c:pt idx="51">
                  <c:v>1.0506538485580101</c:v>
                </c:pt>
                <c:pt idx="52">
                  <c:v>1.0506538485580101</c:v>
                </c:pt>
              </c:numCache>
            </c:numRef>
          </c:val>
          <c:smooth val="0"/>
          <c:extLst>
            <c:ext xmlns:c16="http://schemas.microsoft.com/office/drawing/2014/chart" uri="{C3380CC4-5D6E-409C-BE32-E72D297353CC}">
              <c16:uniqueId val="{00000004-362F-4F82-ACA9-9868DE98C112}"/>
            </c:ext>
          </c:extLst>
        </c:ser>
        <c:ser>
          <c:idx val="5"/>
          <c:order val="5"/>
          <c:tx>
            <c:strRef>
              <c:f>债券策略_每周idx_分位图!$G$1</c:f>
              <c:strCache>
                <c:ptCount val="1"/>
                <c:pt idx="0">
                  <c:v>75%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债券策略_每周idx_分位图!$G$2:$G$54</c:f>
              <c:numCache>
                <c:formatCode>General</c:formatCode>
                <c:ptCount val="53"/>
                <c:pt idx="0">
                  <c:v>1</c:v>
                </c:pt>
                <c:pt idx="1">
                  <c:v>1.00324787963489</c:v>
                </c:pt>
                <c:pt idx="2">
                  <c:v>1.0063898460178</c:v>
                </c:pt>
                <c:pt idx="3">
                  <c:v>1.0104697186625997</c:v>
                </c:pt>
                <c:pt idx="4">
                  <c:v>1.0121784103496498</c:v>
                </c:pt>
                <c:pt idx="5">
                  <c:v>1.01655647073404</c:v>
                </c:pt>
                <c:pt idx="6">
                  <c:v>1.0188733480390397</c:v>
                </c:pt>
                <c:pt idx="7">
                  <c:v>1.0187668659867601</c:v>
                </c:pt>
                <c:pt idx="8">
                  <c:v>1.0228565860880701</c:v>
                </c:pt>
                <c:pt idx="9">
                  <c:v>1.01810309599657</c:v>
                </c:pt>
                <c:pt idx="10">
                  <c:v>1.01543534422077</c:v>
                </c:pt>
                <c:pt idx="11">
                  <c:v>1.0158907221499696</c:v>
                </c:pt>
                <c:pt idx="12">
                  <c:v>1.01691650570422</c:v>
                </c:pt>
                <c:pt idx="13">
                  <c:v>1.0180383967220898</c:v>
                </c:pt>
                <c:pt idx="14">
                  <c:v>1.0188948033460299</c:v>
                </c:pt>
                <c:pt idx="15">
                  <c:v>1.02029354645951</c:v>
                </c:pt>
                <c:pt idx="16">
                  <c:v>1.02206615117109</c:v>
                </c:pt>
                <c:pt idx="17">
                  <c:v>1.0250525899601601</c:v>
                </c:pt>
                <c:pt idx="18">
                  <c:v>1.0270267942941795</c:v>
                </c:pt>
                <c:pt idx="19">
                  <c:v>1.0289851554127201</c:v>
                </c:pt>
                <c:pt idx="20">
                  <c:v>1.0325026241102302</c:v>
                </c:pt>
                <c:pt idx="21">
                  <c:v>1.0335511982906598</c:v>
                </c:pt>
                <c:pt idx="22">
                  <c:v>1.0317769267412802</c:v>
                </c:pt>
                <c:pt idx="23">
                  <c:v>1.0304280574643896</c:v>
                </c:pt>
                <c:pt idx="24">
                  <c:v>1.0323192092919899</c:v>
                </c:pt>
                <c:pt idx="25">
                  <c:v>1.0335176893440599</c:v>
                </c:pt>
                <c:pt idx="26">
                  <c:v>1.0344024726362202</c:v>
                </c:pt>
                <c:pt idx="27">
                  <c:v>1.0397261954954695</c:v>
                </c:pt>
                <c:pt idx="28">
                  <c:v>1.0413055417618402</c:v>
                </c:pt>
                <c:pt idx="29">
                  <c:v>1.0390945470335398</c:v>
                </c:pt>
                <c:pt idx="30">
                  <c:v>1.0411596399265901</c:v>
                </c:pt>
                <c:pt idx="31">
                  <c:v>1.04118710850718</c:v>
                </c:pt>
                <c:pt idx="32">
                  <c:v>1.0410584692527503</c:v>
                </c:pt>
                <c:pt idx="33">
                  <c:v>1.04262856364787</c:v>
                </c:pt>
                <c:pt idx="34">
                  <c:v>1.04667446248106</c:v>
                </c:pt>
                <c:pt idx="35">
                  <c:v>1.0462121758762504</c:v>
                </c:pt>
                <c:pt idx="36">
                  <c:v>1.04788144193633</c:v>
                </c:pt>
                <c:pt idx="37">
                  <c:v>1.0493117613194898</c:v>
                </c:pt>
                <c:pt idx="38">
                  <c:v>1.04404933059865</c:v>
                </c:pt>
                <c:pt idx="39">
                  <c:v>1.05039792742712</c:v>
                </c:pt>
                <c:pt idx="40">
                  <c:v>1.05185644568374</c:v>
                </c:pt>
                <c:pt idx="41">
                  <c:v>1.0555063872274595</c:v>
                </c:pt>
                <c:pt idx="42">
                  <c:v>1.0593950751040397</c:v>
                </c:pt>
                <c:pt idx="43">
                  <c:v>1.0613928233087602</c:v>
                </c:pt>
                <c:pt idx="44">
                  <c:v>1.0644810783755501</c:v>
                </c:pt>
                <c:pt idx="45">
                  <c:v>1.0666027471338</c:v>
                </c:pt>
                <c:pt idx="46">
                  <c:v>1.0673655039840999</c:v>
                </c:pt>
                <c:pt idx="47">
                  <c:v>1.0685713427280099</c:v>
                </c:pt>
                <c:pt idx="48">
                  <c:v>1.07117926986691</c:v>
                </c:pt>
                <c:pt idx="49">
                  <c:v>1.0723770793192502</c:v>
                </c:pt>
                <c:pt idx="50">
                  <c:v>1.0712861635081801</c:v>
                </c:pt>
                <c:pt idx="51">
                  <c:v>1.0722578115404202</c:v>
                </c:pt>
                <c:pt idx="52">
                  <c:v>1.0727787795722101</c:v>
                </c:pt>
              </c:numCache>
            </c:numRef>
          </c:val>
          <c:smooth val="0"/>
          <c:extLst>
            <c:ext xmlns:c16="http://schemas.microsoft.com/office/drawing/2014/chart" uri="{C3380CC4-5D6E-409C-BE32-E72D297353CC}">
              <c16:uniqueId val="{00000005-362F-4F82-ACA9-9868DE98C112}"/>
            </c:ext>
          </c:extLst>
        </c:ser>
        <c:ser>
          <c:idx val="6"/>
          <c:order val="6"/>
          <c:tx>
            <c:strRef>
              <c:f>债券策略_每周idx_分位图!$H$1</c:f>
              <c:strCache>
                <c:ptCount val="1"/>
                <c:pt idx="0">
                  <c:v>90% 分位数</c:v>
                </c:pt>
              </c:strCache>
            </c:strRef>
          </c:tx>
          <c:spPr>
            <a:ln w="28575"/>
          </c:spPr>
          <c:marker>
            <c:symbol val="none"/>
          </c:marker>
          <c:cat>
            <c:numRef>
              <c:f>债券策略_每周idx_分位图!$A$2:$A$54</c:f>
              <c:numCache>
                <c:formatCode>yyyy/m/d</c:formatCode>
                <c:ptCount val="53"/>
                <c:pt idx="0">
                  <c:v>42643</c:v>
                </c:pt>
                <c:pt idx="1">
                  <c:v>42650</c:v>
                </c:pt>
                <c:pt idx="2">
                  <c:v>42657</c:v>
                </c:pt>
                <c:pt idx="3">
                  <c:v>42664</c:v>
                </c:pt>
                <c:pt idx="4">
                  <c:v>42671</c:v>
                </c:pt>
                <c:pt idx="5">
                  <c:v>42678</c:v>
                </c:pt>
                <c:pt idx="6">
                  <c:v>42685</c:v>
                </c:pt>
                <c:pt idx="7">
                  <c:v>42692</c:v>
                </c:pt>
                <c:pt idx="8">
                  <c:v>42699</c:v>
                </c:pt>
                <c:pt idx="9">
                  <c:v>42706</c:v>
                </c:pt>
                <c:pt idx="10">
                  <c:v>42713</c:v>
                </c:pt>
                <c:pt idx="11">
                  <c:v>42720</c:v>
                </c:pt>
                <c:pt idx="12">
                  <c:v>42727</c:v>
                </c:pt>
                <c:pt idx="13">
                  <c:v>42734</c:v>
                </c:pt>
                <c:pt idx="14">
                  <c:v>42741</c:v>
                </c:pt>
                <c:pt idx="15">
                  <c:v>42748</c:v>
                </c:pt>
                <c:pt idx="16">
                  <c:v>42755</c:v>
                </c:pt>
                <c:pt idx="17">
                  <c:v>42762</c:v>
                </c:pt>
                <c:pt idx="18">
                  <c:v>42769</c:v>
                </c:pt>
                <c:pt idx="19">
                  <c:v>42776</c:v>
                </c:pt>
                <c:pt idx="20">
                  <c:v>42783</c:v>
                </c:pt>
                <c:pt idx="21">
                  <c:v>42790</c:v>
                </c:pt>
                <c:pt idx="22">
                  <c:v>42797</c:v>
                </c:pt>
                <c:pt idx="23">
                  <c:v>42804</c:v>
                </c:pt>
                <c:pt idx="24">
                  <c:v>42811</c:v>
                </c:pt>
                <c:pt idx="25">
                  <c:v>42818</c:v>
                </c:pt>
                <c:pt idx="26">
                  <c:v>42825</c:v>
                </c:pt>
                <c:pt idx="27">
                  <c:v>42832</c:v>
                </c:pt>
                <c:pt idx="28">
                  <c:v>42839</c:v>
                </c:pt>
                <c:pt idx="29">
                  <c:v>42846</c:v>
                </c:pt>
                <c:pt idx="30">
                  <c:v>42853</c:v>
                </c:pt>
                <c:pt idx="31">
                  <c:v>42860</c:v>
                </c:pt>
                <c:pt idx="32">
                  <c:v>42867</c:v>
                </c:pt>
                <c:pt idx="33">
                  <c:v>42874</c:v>
                </c:pt>
                <c:pt idx="34">
                  <c:v>42881</c:v>
                </c:pt>
                <c:pt idx="35">
                  <c:v>42888</c:v>
                </c:pt>
                <c:pt idx="36">
                  <c:v>42895</c:v>
                </c:pt>
                <c:pt idx="37">
                  <c:v>42902</c:v>
                </c:pt>
                <c:pt idx="38">
                  <c:v>42909</c:v>
                </c:pt>
                <c:pt idx="39">
                  <c:v>42916</c:v>
                </c:pt>
                <c:pt idx="40">
                  <c:v>42923</c:v>
                </c:pt>
                <c:pt idx="41">
                  <c:v>42930</c:v>
                </c:pt>
                <c:pt idx="42">
                  <c:v>42937</c:v>
                </c:pt>
                <c:pt idx="43">
                  <c:v>42944</c:v>
                </c:pt>
                <c:pt idx="44">
                  <c:v>42951</c:v>
                </c:pt>
                <c:pt idx="45">
                  <c:v>42958</c:v>
                </c:pt>
                <c:pt idx="46">
                  <c:v>42965</c:v>
                </c:pt>
                <c:pt idx="47">
                  <c:v>42972</c:v>
                </c:pt>
                <c:pt idx="48">
                  <c:v>42979</c:v>
                </c:pt>
                <c:pt idx="49">
                  <c:v>42986</c:v>
                </c:pt>
                <c:pt idx="50">
                  <c:v>42993</c:v>
                </c:pt>
                <c:pt idx="51">
                  <c:v>43000</c:v>
                </c:pt>
                <c:pt idx="52">
                  <c:v>43007</c:v>
                </c:pt>
              </c:numCache>
            </c:numRef>
          </c:cat>
          <c:val>
            <c:numRef>
              <c:f>债券策略_每周idx_分位图!$H$2:$H$54</c:f>
              <c:numCache>
                <c:formatCode>General</c:formatCode>
                <c:ptCount val="53"/>
                <c:pt idx="0">
                  <c:v>1</c:v>
                </c:pt>
                <c:pt idx="1">
                  <c:v>1.0068814214244899</c:v>
                </c:pt>
                <c:pt idx="2">
                  <c:v>1.0136612725755896</c:v>
                </c:pt>
                <c:pt idx="3">
                  <c:v>1.01809349426522</c:v>
                </c:pt>
                <c:pt idx="4">
                  <c:v>1.0218561129248198</c:v>
                </c:pt>
                <c:pt idx="5">
                  <c:v>1.0243879527152102</c:v>
                </c:pt>
                <c:pt idx="6">
                  <c:v>1.0303303048987003</c:v>
                </c:pt>
                <c:pt idx="7">
                  <c:v>1.0333869690953101</c:v>
                </c:pt>
                <c:pt idx="8">
                  <c:v>1.0340038773085201</c:v>
                </c:pt>
                <c:pt idx="9">
                  <c:v>1.03347546290806</c:v>
                </c:pt>
                <c:pt idx="10">
                  <c:v>1.0275010106749696</c:v>
                </c:pt>
                <c:pt idx="11">
                  <c:v>1.0253795006821798</c:v>
                </c:pt>
                <c:pt idx="12">
                  <c:v>1.0314518885386599</c:v>
                </c:pt>
                <c:pt idx="13">
                  <c:v>1.0345797590468699</c:v>
                </c:pt>
                <c:pt idx="14">
                  <c:v>1.0406913835311697</c:v>
                </c:pt>
                <c:pt idx="15">
                  <c:v>1.0423077506812501</c:v>
                </c:pt>
                <c:pt idx="16">
                  <c:v>1.0437502846299798</c:v>
                </c:pt>
                <c:pt idx="17">
                  <c:v>1.0423564516129</c:v>
                </c:pt>
                <c:pt idx="18">
                  <c:v>1.0459708113401898</c:v>
                </c:pt>
                <c:pt idx="19">
                  <c:v>1.0495104952577499</c:v>
                </c:pt>
                <c:pt idx="20">
                  <c:v>1.0498904742673498</c:v>
                </c:pt>
                <c:pt idx="21">
                  <c:v>1.0564877229187504</c:v>
                </c:pt>
                <c:pt idx="22">
                  <c:v>1.0563043262382801</c:v>
                </c:pt>
                <c:pt idx="23">
                  <c:v>1.0518388509513199</c:v>
                </c:pt>
                <c:pt idx="24">
                  <c:v>1.0532336308967301</c:v>
                </c:pt>
                <c:pt idx="25">
                  <c:v>1.0540399658141899</c:v>
                </c:pt>
                <c:pt idx="26">
                  <c:v>1.0509410978859497</c:v>
                </c:pt>
                <c:pt idx="27">
                  <c:v>1.0506493379333299</c:v>
                </c:pt>
                <c:pt idx="28">
                  <c:v>1.0538566699095999</c:v>
                </c:pt>
                <c:pt idx="29">
                  <c:v>1.0518470555344797</c:v>
                </c:pt>
                <c:pt idx="30">
                  <c:v>1.05178774877339</c:v>
                </c:pt>
                <c:pt idx="31">
                  <c:v>1.0556761626434399</c:v>
                </c:pt>
                <c:pt idx="32">
                  <c:v>1.06599696863302</c:v>
                </c:pt>
                <c:pt idx="33">
                  <c:v>1.0663298361039799</c:v>
                </c:pt>
                <c:pt idx="34">
                  <c:v>1.0664999296567903</c:v>
                </c:pt>
                <c:pt idx="35">
                  <c:v>1.06687913612253</c:v>
                </c:pt>
                <c:pt idx="36">
                  <c:v>1.0725582207593201</c:v>
                </c:pt>
                <c:pt idx="37">
                  <c:v>1.0756314924658896</c:v>
                </c:pt>
                <c:pt idx="38">
                  <c:v>1.0716215115886798</c:v>
                </c:pt>
                <c:pt idx="39">
                  <c:v>1.0753537960073598</c:v>
                </c:pt>
                <c:pt idx="40">
                  <c:v>1.07262242272099</c:v>
                </c:pt>
                <c:pt idx="41">
                  <c:v>1.0864923488490099</c:v>
                </c:pt>
                <c:pt idx="42">
                  <c:v>1.0886526525251499</c:v>
                </c:pt>
                <c:pt idx="43">
                  <c:v>1.0896313303727698</c:v>
                </c:pt>
                <c:pt idx="44">
                  <c:v>1.09270125941679</c:v>
                </c:pt>
                <c:pt idx="45">
                  <c:v>1.1002625388162204</c:v>
                </c:pt>
                <c:pt idx="46">
                  <c:v>1.1004454950091698</c:v>
                </c:pt>
                <c:pt idx="47">
                  <c:v>1.1075192356225898</c:v>
                </c:pt>
                <c:pt idx="48">
                  <c:v>1.1142484293539503</c:v>
                </c:pt>
                <c:pt idx="49">
                  <c:v>1.1140329090649002</c:v>
                </c:pt>
                <c:pt idx="50">
                  <c:v>1.1185779358833803</c:v>
                </c:pt>
                <c:pt idx="51">
                  <c:v>1.1134826143549699</c:v>
                </c:pt>
                <c:pt idx="52">
                  <c:v>1.1134826143549699</c:v>
                </c:pt>
              </c:numCache>
            </c:numRef>
          </c:val>
          <c:smooth val="0"/>
          <c:extLst>
            <c:ext xmlns:c16="http://schemas.microsoft.com/office/drawing/2014/chart" uri="{C3380CC4-5D6E-409C-BE32-E72D297353CC}">
              <c16:uniqueId val="{00000006-362F-4F82-ACA9-9868DE98C112}"/>
            </c:ext>
          </c:extLst>
        </c:ser>
        <c:dLbls>
          <c:showLegendKey val="0"/>
          <c:showVal val="0"/>
          <c:showCatName val="0"/>
          <c:showSerName val="0"/>
          <c:showPercent val="0"/>
          <c:showBubbleSize val="0"/>
        </c:dLbls>
        <c:smooth val="0"/>
        <c:axId val="211255296"/>
        <c:axId val="211257216"/>
      </c:lineChart>
      <c:dateAx>
        <c:axId val="211255296"/>
        <c:scaling>
          <c:orientation val="minMax"/>
        </c:scaling>
        <c:delete val="0"/>
        <c:axPos val="b"/>
        <c:numFmt formatCode="yyyy/m/d" sourceLinked="1"/>
        <c:majorTickMark val="none"/>
        <c:minorTickMark val="none"/>
        <c:tickLblPos val="nextTo"/>
        <c:crossAx val="211257216"/>
        <c:crosses val="autoZero"/>
        <c:auto val="1"/>
        <c:lblOffset val="100"/>
        <c:baseTimeUnit val="days"/>
        <c:majorUnit val="45"/>
        <c:majorTimeUnit val="days"/>
      </c:dateAx>
      <c:valAx>
        <c:axId val="211257216"/>
        <c:scaling>
          <c:orientation val="minMax"/>
        </c:scaling>
        <c:delete val="0"/>
        <c:axPos val="l"/>
        <c:majorGridlines/>
        <c:numFmt formatCode="General" sourceLinked="1"/>
        <c:majorTickMark val="none"/>
        <c:minorTickMark val="none"/>
        <c:tickLblPos val="nextTo"/>
        <c:crossAx val="211255296"/>
        <c:crossesAt val="42643"/>
        <c:crossBetween val="between"/>
      </c:valAx>
    </c:plotArea>
    <c:legend>
      <c:legendPos val="r"/>
      <c:layout>
        <c:manualLayout>
          <c:xMode val="edge"/>
          <c:yMode val="edge"/>
          <c:x val="0.79706236455574286"/>
          <c:y val="0.20457698522340628"/>
          <c:w val="0.18849024801348424"/>
          <c:h val="0.58363395834045229"/>
        </c:manualLayout>
      </c:layout>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31861-BAC6-4F17-9044-4AEF5965F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杨宝元</dc:creator>
  <cp:keywords/>
  <dc:description/>
  <cp:lastModifiedBy>杨宝元</cp:lastModifiedBy>
  <cp:revision>35</cp:revision>
  <cp:lastPrinted>2017-10-23T06:53:00Z</cp:lastPrinted>
  <dcterms:created xsi:type="dcterms:W3CDTF">2017-10-20T07:23:00Z</dcterms:created>
  <dcterms:modified xsi:type="dcterms:W3CDTF">2017-10-23T07:20:00Z</dcterms:modified>
</cp:coreProperties>
</file>