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全文工具设计文档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增加“全文工具”SearchToolkit模块，计划包含目前已知的涉赌，涉黄，涉枪，飞机场4种依赖全文的线索模型。当前先实现涉赌模型，其他模型预留接口。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SearchToolkit模块依赖内网全文集群，现实中有</w:t>
      </w:r>
      <w:r>
        <w:rPr>
          <w:rFonts w:hint="eastAsia"/>
          <w:b/>
          <w:bCs/>
          <w:lang w:val="en-US" w:eastAsia="zh-CN"/>
        </w:rPr>
        <w:t>直连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堡垒机跳转</w:t>
      </w:r>
      <w:r>
        <w:rPr>
          <w:rFonts w:hint="eastAsia"/>
          <w:lang w:val="en-US" w:eastAsia="zh-CN"/>
        </w:rPr>
        <w:t>两种连接方式。目前只考虑</w:t>
      </w:r>
      <w:r>
        <w:rPr>
          <w:rFonts w:hint="eastAsia"/>
          <w:b/>
          <w:bCs/>
          <w:lang w:val="en-US" w:eastAsia="zh-CN"/>
        </w:rPr>
        <w:t>堡垒机跳转</w:t>
      </w:r>
      <w:r>
        <w:rPr>
          <w:rFonts w:hint="eastAsia"/>
          <w:lang w:val="en-US" w:eastAsia="zh-CN"/>
        </w:rPr>
        <w:t>模式。用户通过鼠标配置，执行模型，并可以下载结果到本机。业务过程类似侦察兵模块。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交互设计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用户选择涉赌模型后，提供堡垒机用户名，密码，堡垒机IP，全文机IP，C2通过SSH协议自动实现堡垒机登陆跳转到全文机，在默认文件夹上传涉赌脚本并远程后台执行。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0447F6"/>
    <w:multiLevelType w:val="singleLevel"/>
    <w:tmpl w:val="AE0447F6"/>
    <w:lvl w:ilvl="0" w:tentative="0">
      <w:start w:val="1"/>
      <w:numFmt w:val="decimal"/>
      <w:suff w:val="space"/>
      <w:lvlText w:val="%1）"/>
      <w:lvlJc w:val="left"/>
    </w:lvl>
  </w:abstractNum>
  <w:abstractNum w:abstractNumId="1">
    <w:nsid w:val="1E63D87D"/>
    <w:multiLevelType w:val="singleLevel"/>
    <w:tmpl w:val="1E63D87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C3CC1"/>
    <w:rsid w:val="2098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2021-03-20T08:50:14Z</dcterms:created>
  <dc:creator>iao3</dc:creator>
  <cp:lastModifiedBy>iao3</cp:lastModifiedBy>
  <dcterms:modified xsi:type="dcterms:W3CDTF">2021-03-20T09:00:06Z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