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6522" w14:textId="77777777" w:rsidR="00C0374E" w:rsidRDefault="00000000">
      <w:pPr>
        <w:spacing w:before="40" w:after="80"/>
        <w:jc w:val="center"/>
      </w:pPr>
      <w:r>
        <w:rPr>
          <w:b/>
          <w:sz w:val="28"/>
        </w:rPr>
        <w:t>DISEÑO E IMPLEMENTACIÓN DE LEFODIGITAL PARA FORTALECER COMPETENCIAS DIGITALES BÁSICAS EN ESTUDIANTES</w:t>
      </w:r>
    </w:p>
    <w:p w14:paraId="2A5BBC5E" w14:textId="77777777" w:rsidR="00C0374E" w:rsidRDefault="00000000">
      <w:pPr>
        <w:spacing w:after="20"/>
        <w:jc w:val="center"/>
      </w:pPr>
      <w:r>
        <w:rPr>
          <w:sz w:val="22"/>
        </w:rPr>
        <w:t>Fabian Jose Menco Manjarres; Leonardo Florez Ortega</w:t>
      </w:r>
    </w:p>
    <w:p w14:paraId="1C563506" w14:textId="77777777" w:rsidR="00C0374E" w:rsidRDefault="00000000">
      <w:pPr>
        <w:spacing w:after="100"/>
        <w:jc w:val="center"/>
      </w:pPr>
      <w:r>
        <w:t>fjmencom@unadvirtual.edu.co; lfortega@unadvirtual.edu.co</w:t>
      </w:r>
    </w:p>
    <w:p w14:paraId="323CD69C" w14:textId="77777777" w:rsidR="00C0374E" w:rsidRDefault="00000000">
      <w:pPr>
        <w:ind w:left="288" w:right="288"/>
        <w:jc w:val="both"/>
      </w:pPr>
      <w:r>
        <w:rPr>
          <w:b/>
          <w:i/>
        </w:rPr>
        <w:t>Resumen—</w:t>
      </w:r>
      <w:r>
        <w:rPr>
          <w:i/>
        </w:rPr>
        <w:t>LeFodigital es una plataforma web educativa orientada al fortalecimiento de competencias digitales en estudiantes de educación media rural. Se documentan su arquitectura Angular–FastAPI–PostgreSQL, los controles de seguridad, el despliegue reproducible y la validación técnica en entorno controlado. El proceso se organizó en cuatro sprints y se reconstruyó documentalmente cuando no existían registros contemporáneos de ceremonias. Se aprobaron 17 pruebas de backend con 94,10 % de cobertura y 36 pruebas de frontend con 88,46 % de sentencias; el contrato incluyó 22 rutas y nueve de diez escenarios funcionales se completaron. Los resultados sustentan un prototipo integrado TRL5, pero no demuestran impacto educativo. Se propone una evaluación aplicada, mixta, no experimental, descriptiva y transversal con estudiantes y docentes, sujeta a autorización institucional, consentimiento, asentimiento y protección de datos.</w:t>
      </w:r>
    </w:p>
    <w:p w14:paraId="6301F7AF" w14:textId="77777777" w:rsidR="00C0374E" w:rsidRDefault="00000000">
      <w:pPr>
        <w:spacing w:after="60"/>
        <w:ind w:left="288" w:right="288"/>
      </w:pPr>
      <w:r>
        <w:rPr>
          <w:b/>
          <w:i/>
        </w:rPr>
        <w:t>Palabras clave—</w:t>
      </w:r>
      <w:r>
        <w:rPr>
          <w:i/>
        </w:rPr>
        <w:t>competencia digital, plataforma educativa, Scrum, TRL5.</w:t>
      </w:r>
    </w:p>
    <w:p w14:paraId="5D87ECAF" w14:textId="77777777" w:rsidR="00C0374E" w:rsidRDefault="00C0374E">
      <w:pPr>
        <w:sectPr w:rsidR="00C0374E">
          <w:type w:val="continuous"/>
          <w:pgSz w:w="12240" w:h="15840"/>
          <w:pgMar w:top="792" w:right="792" w:bottom="792" w:left="792" w:header="288" w:footer="360" w:gutter="0"/>
          <w:cols w:space="360" w:equalWidth="0">
            <w:col w:w="4558" w:space="567"/>
          </w:cols>
          <w:docGrid w:linePitch="360"/>
        </w:sectPr>
      </w:pPr>
    </w:p>
    <w:p w14:paraId="428FD5EF" w14:textId="77777777" w:rsidR="00C0374E" w:rsidRDefault="00000000">
      <w:pPr>
        <w:keepNext/>
        <w:spacing w:before="100"/>
      </w:pPr>
      <w:r>
        <w:rPr>
          <w:b/>
          <w:sz w:val="20"/>
        </w:rPr>
        <w:t>I. INTRODUCCIÓN</w:t>
      </w:r>
    </w:p>
    <w:p w14:paraId="230EFBEE" w14:textId="77777777" w:rsidR="00C0374E" w:rsidRDefault="00000000">
      <w:pPr>
        <w:ind w:firstLine="230"/>
        <w:jc w:val="both"/>
      </w:pPr>
      <w:r>
        <w:t>El fortalecimiento de las competencias digitales es una necesidad educativa relacionada con la participación crítica, segura y productiva en entornos mediados por tecnología. DigComp 2.2 organiza estas competencias en alfabetización informacional, comunicación y colaboración, creación de contenido, seguridad y resolución de problemas [1]. En contextos rurales, la apropiación tecnológica también depende de conectividad, disponibilidad de dispositivos, acompañamiento docente y pertinencia pedagógica; por ello, el acceso material no equivale por sí solo a una experiencia formativa de calidad [2].</w:t>
      </w:r>
    </w:p>
    <w:p w14:paraId="10E3A597" w14:textId="77777777" w:rsidR="00C0374E" w:rsidRDefault="00000000">
      <w:pPr>
        <w:ind w:firstLine="230"/>
        <w:jc w:val="both"/>
      </w:pPr>
      <w:r>
        <w:t>LeFodigital se diseñó como una plataforma web educativa para estudiantes de los grados octavo a undécimo y docentes de instituciones agropecuarias de La Paz, Cesar. La solución integra cursos, actividades, evidencias, gamificación, recursos, comunidad, reportes y un asistente conversacional desacoplado. Este artículo documenta la arquitectura, la implementación y la validación técnica controlada del prototipo alcanzado en la Fase 5. Los resultados se interpretan como evidencia de integración tecnológica en TRL5; no representan un estudio de impacto ni una validación empírica con población escolar real.</w:t>
      </w:r>
    </w:p>
    <w:p w14:paraId="08545A51" w14:textId="77777777" w:rsidR="00C0374E" w:rsidRDefault="00000000">
      <w:pPr>
        <w:keepNext/>
        <w:spacing w:before="100"/>
      </w:pPr>
      <w:r>
        <w:rPr>
          <w:b/>
          <w:sz w:val="20"/>
        </w:rPr>
        <w:t>II. PROBLEMÁTICA Y ANTECEDENTES</w:t>
      </w:r>
    </w:p>
    <w:p w14:paraId="27197B57" w14:textId="77777777" w:rsidR="00C0374E" w:rsidRDefault="00000000">
      <w:pPr>
        <w:ind w:firstLine="230"/>
        <w:jc w:val="both"/>
      </w:pPr>
      <w:r>
        <w:t xml:space="preserve">La formulación del proyecto parte de oportunidades insuficientes para desarrollar y evidenciar competencias digitales básicas mediante experiencias contextualizadas. La Encuesta de Tecnologías de la Información y las Comunicaciones en Hogares mostró para 2024 una diferencia de 30,6 puntos porcentuales en conectividad entre cabeceras y centros poblados o rural disperso en Colombia [3]. Esta brecha condiciona la continuidad de las actividades, el acceso a contenidos y la autonomía de los estudiantes. La política </w:t>
      </w:r>
      <w:r>
        <w:t>nacional de tecnologías para aprender propone que la infraestructura se articule con prácticas pedagógicas, formación y seguimiento [4].</w:t>
      </w:r>
    </w:p>
    <w:p w14:paraId="179D8F00" w14:textId="77777777" w:rsidR="00C0374E" w:rsidRDefault="00000000">
      <w:pPr>
        <w:ind w:firstLine="230"/>
        <w:jc w:val="both"/>
      </w:pPr>
      <w:r>
        <w:t>Los antecedentes revisados coinciden en que la competencia digital es multidimensional y que su evaluación requiere combinar indicadores de desempeño, percepción y contexto. El proyecto respondió con una arquitectura modular y con criterios de aceptación verificables, evitando reducir la solución a un repositorio de contenidos. La contribución central es un prototipo reproducible que articula gestión académica básica, trazabilidad de evidencias y controles técnicos coherentes con el contexto de uso previsto.</w:t>
      </w:r>
    </w:p>
    <w:p w14:paraId="1283B70A" w14:textId="77777777" w:rsidR="00C0374E" w:rsidRDefault="00000000">
      <w:pPr>
        <w:keepNext/>
        <w:spacing w:before="100"/>
      </w:pPr>
      <w:r>
        <w:rPr>
          <w:b/>
          <w:sz w:val="20"/>
        </w:rPr>
        <w:t>III. METODOLOGÍA</w:t>
      </w:r>
    </w:p>
    <w:p w14:paraId="6211AB69" w14:textId="77777777" w:rsidR="00C0374E" w:rsidRDefault="00000000">
      <w:pPr>
        <w:ind w:firstLine="230"/>
        <w:jc w:val="both"/>
      </w:pPr>
      <w:r>
        <w:t>La ruta académica integra dos componentes. El primero corresponde al desarrollo tecnológico iterativo; el segundo define el diseño prospectivo para una evaluación institucional posterior. Esta separación impide presentar como hallazgos poblacionales los resultados obtenidos únicamente con cuentas y datos de demostración.</w:t>
      </w:r>
    </w:p>
    <w:p w14:paraId="5AE9BE80" w14:textId="77777777" w:rsidR="00C0374E" w:rsidRDefault="00000000">
      <w:pPr>
        <w:ind w:firstLine="230"/>
        <w:jc w:val="both"/>
      </w:pPr>
      <w:r>
        <w:t>La unidad de análisis del componente técnico estuvo conformada por los incrementos del software, sus contratos, pruebas y escenarios funcionales. Las fuentes de evidencia fueron el repositorio, los registros de compilación, las coberturas, las migraciones, las configuraciones de despliegue y los documentos de cierre. Para el seguimiento ágil se estimaron retrospectivamente 81 puntos de historia distribuidos en cuatro sprints; se completaron 79, con una velocity media de 19,75 puntos y cumplimiento global del 97,5 %. El saldo de dos puntos se asoció a la validación externa de LeFoBot. Estas cifras describen el flujo reconstruido y no reemplazan actas contemporáneas.</w:t>
      </w:r>
    </w:p>
    <w:p w14:paraId="543E08CB" w14:textId="77777777" w:rsidR="00C0374E" w:rsidRDefault="00000000">
      <w:pPr>
        <w:ind w:firstLine="230"/>
        <w:jc w:val="both"/>
      </w:pPr>
      <w:r>
        <w:t xml:space="preserve">A. Diseño investigativo prospectivo. Se formalizó una investigación aplicada de enfoque mixto, diseño no </w:t>
      </w:r>
      <w:r>
        <w:lastRenderedPageBreak/>
        <w:t>experimental, alcance descriptivo, corte transversal e integración convergente [5], [6]. La población accesible se proyecta en cerca de 100 estudiantes de los grados octavo a undécimo y cinco docentes. Para estudiantes se prevé muestreo probabilístico estratificado por grado, con tamaño definitivo calculado a partir de la matrícula vigente; como referencia de planeación, una población de 100 estudiantes requeriría aproximadamente 80 participantes con 95 % de confianza, error del 5 % y máxima variabilidad. Para docentes se proyecta censo de los cinco integrantes. Ninguna de estas muestras fue ejecutada en la Fase 5.</w:t>
      </w:r>
    </w:p>
    <w:p w14:paraId="6AE43AD8" w14:textId="77777777" w:rsidR="00C0374E" w:rsidRDefault="00000000">
      <w:pPr>
        <w:ind w:firstLine="230"/>
        <w:jc w:val="both"/>
      </w:pPr>
      <w:r>
        <w:t>Los indicadores previstos incluyen dimensiones DigComp, efectividad de tareas, errores, tiempo, usabilidad mediante la System Usability Scale, aceptación y condiciones de acceso. Las categorías cualitativas comprenden utilidad percibida, barreras, pertinencia pedagógica, confianza y seguridad. Los instrumentos propuestos son cuestionario, SUS, lista de observación, entrevista semiestructurada y matriz de registros. La validación futura requerirá juicio de expertos, prueba piloto, consistencia interna, consentimiento informado de adultos, autorización de acudientes, asentimiento de menores, minimización de datos y reporte agregado.</w:t>
      </w:r>
    </w:p>
    <w:p w14:paraId="50B26E46" w14:textId="77777777" w:rsidR="00C0374E" w:rsidRDefault="00000000">
      <w:pPr>
        <w:ind w:firstLine="230"/>
        <w:jc w:val="both"/>
      </w:pPr>
      <w:r>
        <w:t>B. Desarrollo tecnológico. Scrum se utilizó como marco de organización, con Product Backlog, cuatro sprints, criterios de aceptación, revisión de incrementos y retrospectivas [7]. La trazabilidad se reconstruyó a partir de commits, pruebas, configuraciones, documentos fechados y el plan de implementación. Los puntos de historia y el burndown son estimaciones retrospectivas para analizar el flujo; no se presentan como registros contemporáneos de reuniones inexistentes.</w:t>
      </w:r>
    </w:p>
    <w:p w14:paraId="683D4C5E" w14:textId="77777777" w:rsidR="00C0374E" w:rsidRDefault="00000000">
      <w:pPr>
        <w:keepNext/>
        <w:spacing w:before="100"/>
      </w:pPr>
      <w:r>
        <w:rPr>
          <w:b/>
          <w:sz w:val="20"/>
        </w:rPr>
        <w:t>IV. ARQUITECTURA E IMPLEMENTACIÓN</w:t>
      </w:r>
    </w:p>
    <w:p w14:paraId="12A7A34B" w14:textId="77777777" w:rsidR="00C0374E" w:rsidRDefault="00000000">
      <w:pPr>
        <w:ind w:firstLine="230"/>
        <w:jc w:val="both"/>
      </w:pPr>
      <w:r>
        <w:t>La arquitectura separa presentación, servicios, persistencia y operación. Angular 22 implementa componentes independientes, rutas con carga diferida y experiencia responsive. Nginx sirve los archivos estáticos y reenvía las solicitudes de /api. FastAPI expone servicios HTTP con contratos tipados; PostgreSQL conserva usuarios, cursos, actividades, finalizaciones, evidencias, gamificación y comunidad. SQLAlchemy y Alembic controlan el modelo y las migraciones. Los archivos de evidencia se almacenan en un volumen persistente con metadatos y autorización en la API.</w:t>
      </w:r>
    </w:p>
    <w:p w14:paraId="4430325D" w14:textId="4CBA0300" w:rsidR="00C0374E" w:rsidRDefault="00000000">
      <w:pPr>
        <w:jc w:val="center"/>
      </w:pPr>
      <w:r w:rsidRPr="0002371F">
        <w:rPr>
          <w:noProof/>
        </w:rPr>
        <w:pict w14:anchorId="455333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20.2pt;height:132pt;visibility:visible;mso-wrap-style:square">
            <v:imagedata r:id="rId7" o:title=""/>
          </v:shape>
        </w:pict>
      </w:r>
    </w:p>
    <w:p w14:paraId="0808E385" w14:textId="77777777" w:rsidR="00C0374E" w:rsidRDefault="00000000">
      <w:pPr>
        <w:spacing w:after="60"/>
        <w:jc w:val="center"/>
      </w:pPr>
      <w:r>
        <w:rPr>
          <w:sz w:val="16"/>
        </w:rPr>
        <w:t>Fig. 1. Arquitectura lógica y de despliegue de LeFodigital.</w:t>
      </w:r>
    </w:p>
    <w:p w14:paraId="580D0E9A" w14:textId="77777777" w:rsidR="00C0374E" w:rsidRDefault="00000000">
      <w:pPr>
        <w:ind w:firstLine="230"/>
        <w:jc w:val="both"/>
      </w:pPr>
      <w:r>
        <w:t>La seguridad incluye contraseñas con Argon2id, tokens de acceso de corta duración, renovación mediante cookie HttpOnly, rotación de sesiones, validación de roles, limitación de abuso y secretos fuera del cliente. LeFoBot se comunica a través de un adaptador de backend, de modo que el proveedor externo puede sustituirse sin exponer credenciales en el navegador. El empaquetado con Docker y los manifiestos de Kubernetes incorporan migraciones, comprobaciones de salud y ejecución no privilegiada. La integración continua automatiza pruebas, compilación y revisión de calidad.</w:t>
      </w:r>
    </w:p>
    <w:p w14:paraId="07F60703" w14:textId="77777777" w:rsidR="00C0374E" w:rsidRDefault="00000000">
      <w:pPr>
        <w:ind w:firstLine="230"/>
        <w:jc w:val="both"/>
      </w:pPr>
      <w:r>
        <w:t>Las decisiones de diseño respondieron a riesgos observados en el prototipo previo. La persistencia local se sustituyó por un modelo relacional compartido para evitar divergencias entre sesiones; las operaciones de finalización se hicieron idempotentes para impedir duplicados; los archivos se separaron de los registros transaccionales; y las rutas de profesor y estudiante incorporaron autorización explícita. La carga diferida del frontend y el proxy de Nginx redujeron acoplamiento operativo. En conjunto, estas decisiones permiten rastrear cada función desde la historia de usuario hasta el servicio, la entidad persistente y la prueba correspondiente.</w:t>
      </w:r>
    </w:p>
    <w:p w14:paraId="0477A222" w14:textId="77777777" w:rsidR="00C0374E" w:rsidRDefault="00000000">
      <w:pPr>
        <w:ind w:firstLine="230"/>
        <w:jc w:val="both"/>
      </w:pPr>
      <w:r>
        <w:t>El modelo se diseñó alrededor de flujos completos: autenticación; creación y publicación de actividades; finalización idempotente; carga y descarga autorizada de evidencias; cálculo de puntos y medallas; reportes por rol; publicaciones y comentarios; perfil y contacto. La separación modular favorece mantenibilidad, seguridad y despliegue, atributos relacionados con el modelo de calidad ISO/IEC 25010:2023 [8].</w:t>
      </w:r>
    </w:p>
    <w:p w14:paraId="7C93B3FC" w14:textId="77777777" w:rsidR="00C0374E" w:rsidRDefault="00000000">
      <w:pPr>
        <w:keepNext/>
        <w:spacing w:before="100"/>
      </w:pPr>
      <w:r>
        <w:rPr>
          <w:b/>
          <w:sz w:val="20"/>
        </w:rPr>
        <w:t>V. VALIDACIÓN Y RESULTADOS</w:t>
      </w:r>
    </w:p>
    <w:p w14:paraId="496CCF3F" w14:textId="77777777" w:rsidR="00C0374E" w:rsidRDefault="00000000">
      <w:pPr>
        <w:ind w:firstLine="230"/>
        <w:jc w:val="both"/>
      </w:pPr>
      <w:r>
        <w:t>La validación controlada combinó suites automatizadas, compilación de producción, inspección del contrato API, pruebas de migración, comprobaciones de contenedores y diez escenarios funcionales con cuentas de demostración. El backend aprobó 17 pruebas y alcanzó 94,10 % de cobertura. El frontend aprobó 36 pruebas y obtuvo 88,46 % de cobertura de sentencias y 85,87 % en ramas. El contrato expuso 22 rutas funcionales requeridas y el build de producción finalizó sin advertencias.</w:t>
      </w:r>
    </w:p>
    <w:p w14:paraId="6E5771BC" w14:textId="77777777" w:rsidR="00C0374E" w:rsidRDefault="00000000">
      <w:pPr>
        <w:ind w:firstLine="230"/>
        <w:jc w:val="both"/>
      </w:pPr>
      <w:r>
        <w:t>Nueve de diez escenarios se completaron de extremo a extremo. El escenario condicionado correspondió a la calidad de la respuesta de LeFoBot cuando el proveedor externo no disponía de una credencial vigente; el adaptador, el control de errores y la ruta permanecieron integrados. La revisión responsive se realizó a 1920, 900 y 560 píxeles. La tabla I resume los indicadores comprobados. Estas métricas sustentan la integración del prototipo en entorno controlado, pero no permiten inferir aprendizaje, usabilidad poblacional o impacto institucional.</w:t>
      </w:r>
    </w:p>
    <w:p w14:paraId="2BB32EF0" w14:textId="77777777" w:rsidR="00C0374E" w:rsidRDefault="00000000">
      <w:pPr>
        <w:spacing w:before="40" w:after="20"/>
        <w:jc w:val="center"/>
      </w:pPr>
      <w:r>
        <w:rPr>
          <w:b/>
          <w:sz w:val="15"/>
        </w:rPr>
        <w:t>TABLA I. RESULTADOS TÉCNICOS COMPROBADOS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800"/>
        <w:gridCol w:w="792"/>
      </w:tblGrid>
      <w:tr w:rsidR="00C0374E" w14:paraId="39CAC193" w14:textId="77777777">
        <w:trPr>
          <w:tblHeader/>
          <w:jc w:val="center"/>
        </w:trPr>
        <w:tc>
          <w:tcPr>
            <w:tcW w:w="1656" w:type="dxa"/>
            <w:shd w:val="clear" w:color="auto" w:fill="E7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1C678F" w14:textId="77777777" w:rsidR="00C0374E" w:rsidRDefault="00000000">
            <w:pPr>
              <w:spacing w:after="0"/>
            </w:pPr>
            <w:r>
              <w:rPr>
                <w:b/>
                <w:sz w:val="13"/>
              </w:rPr>
              <w:t>Indicador</w:t>
            </w:r>
          </w:p>
        </w:tc>
        <w:tc>
          <w:tcPr>
            <w:tcW w:w="1800" w:type="dxa"/>
            <w:shd w:val="clear" w:color="auto" w:fill="E7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BD9F89" w14:textId="77777777" w:rsidR="00C0374E" w:rsidRDefault="00000000">
            <w:pPr>
              <w:spacing w:after="0"/>
            </w:pPr>
            <w:r>
              <w:rPr>
                <w:b/>
                <w:sz w:val="13"/>
              </w:rPr>
              <w:t>Resultado</w:t>
            </w:r>
          </w:p>
        </w:tc>
        <w:tc>
          <w:tcPr>
            <w:tcW w:w="792" w:type="dxa"/>
            <w:shd w:val="clear" w:color="auto" w:fill="E7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E024B" w14:textId="77777777" w:rsidR="00C0374E" w:rsidRDefault="00000000">
            <w:pPr>
              <w:spacing w:after="0"/>
            </w:pPr>
            <w:r>
              <w:rPr>
                <w:b/>
                <w:sz w:val="13"/>
              </w:rPr>
              <w:t>Estado</w:t>
            </w:r>
          </w:p>
        </w:tc>
      </w:tr>
      <w:tr w:rsidR="00C0374E" w14:paraId="4ABAB647" w14:textId="77777777">
        <w:trPr>
          <w:jc w:val="center"/>
        </w:trPr>
        <w:tc>
          <w:tcPr>
            <w:tcW w:w="165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10570" w14:textId="77777777" w:rsidR="00C0374E" w:rsidRDefault="00000000">
            <w:pPr>
              <w:spacing w:after="0"/>
            </w:pPr>
            <w:r>
              <w:rPr>
                <w:sz w:val="13"/>
              </w:rPr>
              <w:t>Pruebas backend</w:t>
            </w:r>
          </w:p>
        </w:tc>
        <w:tc>
          <w:tcPr>
            <w:tcW w:w="180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EA55C8" w14:textId="77777777" w:rsidR="00C0374E" w:rsidRDefault="00000000">
            <w:pPr>
              <w:spacing w:after="0"/>
            </w:pPr>
            <w:r>
              <w:rPr>
                <w:sz w:val="13"/>
              </w:rPr>
              <w:t>17; cobertura 94,10 %</w:t>
            </w:r>
          </w:p>
        </w:tc>
        <w:tc>
          <w:tcPr>
            <w:tcW w:w="79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E9A70F" w14:textId="77777777" w:rsidR="00C0374E" w:rsidRDefault="00000000">
            <w:pPr>
              <w:spacing w:after="0"/>
            </w:pPr>
            <w:r>
              <w:rPr>
                <w:sz w:val="13"/>
              </w:rPr>
              <w:t>Cumple</w:t>
            </w:r>
          </w:p>
        </w:tc>
      </w:tr>
      <w:tr w:rsidR="00C0374E" w14:paraId="0E90C2DB" w14:textId="77777777">
        <w:trPr>
          <w:jc w:val="center"/>
        </w:trPr>
        <w:tc>
          <w:tcPr>
            <w:tcW w:w="165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EF94BC" w14:textId="77777777" w:rsidR="00C0374E" w:rsidRDefault="00000000">
            <w:pPr>
              <w:spacing w:after="0"/>
            </w:pPr>
            <w:r>
              <w:rPr>
                <w:sz w:val="13"/>
              </w:rPr>
              <w:t>Pruebas frontend</w:t>
            </w:r>
          </w:p>
        </w:tc>
        <w:tc>
          <w:tcPr>
            <w:tcW w:w="180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29F36C" w14:textId="77777777" w:rsidR="00C0374E" w:rsidRDefault="00000000">
            <w:pPr>
              <w:spacing w:after="0"/>
            </w:pPr>
            <w:r>
              <w:rPr>
                <w:sz w:val="13"/>
              </w:rPr>
              <w:t>36; sentencias 88,46 %</w:t>
            </w:r>
          </w:p>
        </w:tc>
        <w:tc>
          <w:tcPr>
            <w:tcW w:w="79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C4B48" w14:textId="77777777" w:rsidR="00C0374E" w:rsidRDefault="00000000">
            <w:pPr>
              <w:spacing w:after="0"/>
            </w:pPr>
            <w:r>
              <w:rPr>
                <w:sz w:val="13"/>
              </w:rPr>
              <w:t>Cumple</w:t>
            </w:r>
          </w:p>
        </w:tc>
      </w:tr>
      <w:tr w:rsidR="00C0374E" w14:paraId="7BC95094" w14:textId="77777777">
        <w:trPr>
          <w:jc w:val="center"/>
        </w:trPr>
        <w:tc>
          <w:tcPr>
            <w:tcW w:w="165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FF9CA" w14:textId="77777777" w:rsidR="00C0374E" w:rsidRDefault="00000000">
            <w:pPr>
              <w:spacing w:after="0"/>
            </w:pPr>
            <w:r>
              <w:rPr>
                <w:sz w:val="13"/>
              </w:rPr>
              <w:t>Ramas frontend</w:t>
            </w:r>
          </w:p>
        </w:tc>
        <w:tc>
          <w:tcPr>
            <w:tcW w:w="180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E96FE" w14:textId="77777777" w:rsidR="00C0374E" w:rsidRDefault="00000000">
            <w:pPr>
              <w:spacing w:after="0"/>
            </w:pPr>
            <w:r>
              <w:rPr>
                <w:sz w:val="13"/>
              </w:rPr>
              <w:t>85,87 %</w:t>
            </w:r>
          </w:p>
        </w:tc>
        <w:tc>
          <w:tcPr>
            <w:tcW w:w="79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A37B98" w14:textId="77777777" w:rsidR="00C0374E" w:rsidRDefault="00000000">
            <w:pPr>
              <w:spacing w:after="0"/>
            </w:pPr>
            <w:r>
              <w:rPr>
                <w:sz w:val="13"/>
              </w:rPr>
              <w:t>Cumple</w:t>
            </w:r>
          </w:p>
        </w:tc>
      </w:tr>
      <w:tr w:rsidR="00C0374E" w14:paraId="3CF3E14A" w14:textId="77777777">
        <w:trPr>
          <w:jc w:val="center"/>
        </w:trPr>
        <w:tc>
          <w:tcPr>
            <w:tcW w:w="165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54036" w14:textId="77777777" w:rsidR="00C0374E" w:rsidRDefault="00000000">
            <w:pPr>
              <w:spacing w:after="0"/>
            </w:pPr>
            <w:r>
              <w:rPr>
                <w:sz w:val="13"/>
              </w:rPr>
              <w:t>Contrato API</w:t>
            </w:r>
          </w:p>
        </w:tc>
        <w:tc>
          <w:tcPr>
            <w:tcW w:w="180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D60F6" w14:textId="77777777" w:rsidR="00C0374E" w:rsidRDefault="00000000">
            <w:pPr>
              <w:spacing w:after="0"/>
            </w:pPr>
            <w:r>
              <w:rPr>
                <w:sz w:val="13"/>
              </w:rPr>
              <w:t>22 rutas requeridas</w:t>
            </w:r>
          </w:p>
        </w:tc>
        <w:tc>
          <w:tcPr>
            <w:tcW w:w="79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D9542" w14:textId="77777777" w:rsidR="00C0374E" w:rsidRDefault="00000000">
            <w:pPr>
              <w:spacing w:after="0"/>
            </w:pPr>
            <w:r>
              <w:rPr>
                <w:sz w:val="13"/>
              </w:rPr>
              <w:t>Cumple</w:t>
            </w:r>
          </w:p>
        </w:tc>
      </w:tr>
      <w:tr w:rsidR="00C0374E" w14:paraId="3774D13F" w14:textId="77777777">
        <w:trPr>
          <w:jc w:val="center"/>
        </w:trPr>
        <w:tc>
          <w:tcPr>
            <w:tcW w:w="165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16A554" w14:textId="77777777" w:rsidR="00C0374E" w:rsidRDefault="00000000">
            <w:pPr>
              <w:spacing w:after="0"/>
            </w:pPr>
            <w:r>
              <w:rPr>
                <w:sz w:val="13"/>
              </w:rPr>
              <w:t>Escenarios</w:t>
            </w:r>
          </w:p>
        </w:tc>
        <w:tc>
          <w:tcPr>
            <w:tcW w:w="180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D1725D" w14:textId="77777777" w:rsidR="00C0374E" w:rsidRDefault="00000000">
            <w:pPr>
              <w:spacing w:after="0"/>
            </w:pPr>
            <w:r>
              <w:rPr>
                <w:sz w:val="13"/>
              </w:rPr>
              <w:t>9 de 10 completos</w:t>
            </w:r>
          </w:p>
        </w:tc>
        <w:tc>
          <w:tcPr>
            <w:tcW w:w="79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1D3485" w14:textId="77777777" w:rsidR="00C0374E" w:rsidRDefault="00000000">
            <w:pPr>
              <w:spacing w:after="0"/>
            </w:pPr>
            <w:r>
              <w:rPr>
                <w:sz w:val="13"/>
              </w:rPr>
              <w:t>90 %</w:t>
            </w:r>
          </w:p>
        </w:tc>
      </w:tr>
    </w:tbl>
    <w:p w14:paraId="178C2C57" w14:textId="77777777" w:rsidR="00C0374E" w:rsidRDefault="00000000">
      <w:pPr>
        <w:ind w:firstLine="230"/>
        <w:jc w:val="both"/>
      </w:pPr>
      <w:r>
        <w:t>La comparación entre metas y resultados mostró cumplimiento en autenticación, persistencia, gestión académica, evidencias, gamificación, comunidad, reportes, compilación y cobertura. El caso condicionado no se ocultó ni se transformó en aprobación parcial: se documentó como dependencia externa y se mantuvo fuera de las conclusiones sobre calidad conversacional. Tampoco se equipararon las cuentas de demostración con participantes. Esta delimitación mejora la validez de la evidencia porque restringe las conclusiones a aquello que las pruebas realmente observaron.</w:t>
      </w:r>
    </w:p>
    <w:p w14:paraId="778DBFE6" w14:textId="77777777" w:rsidR="00C0374E" w:rsidRDefault="00000000">
      <w:pPr>
        <w:keepNext/>
        <w:spacing w:before="100"/>
      </w:pPr>
      <w:r>
        <w:rPr>
          <w:b/>
          <w:sz w:val="20"/>
        </w:rPr>
        <w:t>VI. DISCUSIÓN Y LIMITACIONES</w:t>
      </w:r>
    </w:p>
    <w:p w14:paraId="1407C089" w14:textId="77777777" w:rsidR="00C0374E" w:rsidRDefault="00000000">
      <w:pPr>
        <w:ind w:firstLine="230"/>
        <w:jc w:val="both"/>
      </w:pPr>
      <w:r>
        <w:t xml:space="preserve">La cobertura automatizada, la persistencia compartida y la reproducción de los flujos prioritarios reducen riesgos técnicos frente al prototipo heredado. El resultado es consistente con un TRL5: los componentes se integran y funcionan en un entorno relevante simulado. Sin embargo, la madurez técnica no sustituye la evaluación con usuarios. La usabilidad deberá medirse con SUS y análisis de tareas; la interpretación de sus </w:t>
      </w:r>
      <w:r>
        <w:lastRenderedPageBreak/>
        <w:t>puntuaciones debe considerar evidencia empírica y no umbrales aislados [9].</w:t>
      </w:r>
    </w:p>
    <w:p w14:paraId="0872037E" w14:textId="77777777" w:rsidR="00C0374E" w:rsidRDefault="00000000">
      <w:pPr>
        <w:ind w:firstLine="230"/>
        <w:jc w:val="both"/>
      </w:pPr>
      <w:r>
        <w:t>El protocolo mixto propuesto permite ampliar la evaluación sin alterar el alcance de los resultados actuales. Los datos cuantitativos describirían desempeño, usabilidad y acceso; las entrevistas aportarían explicaciones sobre barreras y pertinencia pedagógica. Una matriz de integración confrontaría los hallazgos convergentes y divergentes por rol y grado. Esta combinación es particularmente relevante cuando una puntuación favorable puede coexistir con dificultades de conectividad, baja confianza o prácticas docentes que limitan el uso sostenido.</w:t>
      </w:r>
    </w:p>
    <w:p w14:paraId="18FCA356" w14:textId="77777777" w:rsidR="00C0374E" w:rsidRDefault="00000000">
      <w:pPr>
        <w:ind w:firstLine="230"/>
        <w:jc w:val="both"/>
      </w:pPr>
      <w:r>
        <w:t>Las principales limitaciones son la ausencia de un piloto autorizado con estudiantes y docentes, la dependencia del proveedor externo para LeFoBot, la falta de pruebas de carga y accesibilidad con usuarios, y la verificación insuficiente bajo conectividad limitada y teléfonos de gama media. La evolución hacia TRL6 requiere protocolo ético, instrumentos validados, observación institucional, monitoreo, copias de seguridad, restauración probada y gestión de incidentes. El desarrollo seguro debe mantenerse durante todo el ciclo de vida [10], y la interfaz debe evaluarse contra WCAG 2.2 [11].</w:t>
      </w:r>
    </w:p>
    <w:p w14:paraId="2F12D450" w14:textId="77777777" w:rsidR="00C0374E" w:rsidRDefault="00000000">
      <w:pPr>
        <w:ind w:firstLine="230"/>
        <w:jc w:val="both"/>
      </w:pPr>
      <w:r>
        <w:t>El seguimiento Scrum también presenta una restricción documental: no existieron actas contemporáneas completas de todas las ceremonias. Por ello, la velocidad media y el burndown se calcularon retrospectivamente con evidencia fechada y estimaciones de puntos. Esta decisión preserva la trazabilidad sin atribuir reuniones ni métricas que no fueron registradas durante la ejecución.</w:t>
      </w:r>
    </w:p>
    <w:p w14:paraId="0067D224" w14:textId="77777777" w:rsidR="00C0374E" w:rsidRDefault="00000000">
      <w:pPr>
        <w:keepNext/>
        <w:spacing w:before="100"/>
      </w:pPr>
      <w:r>
        <w:rPr>
          <w:b/>
          <w:sz w:val="20"/>
        </w:rPr>
        <w:t>VII. CONCLUSIONES</w:t>
      </w:r>
    </w:p>
    <w:p w14:paraId="29F550B9" w14:textId="77777777" w:rsidR="00C0374E" w:rsidRDefault="00000000">
      <w:pPr>
        <w:ind w:firstLine="230"/>
        <w:jc w:val="both"/>
      </w:pPr>
      <w:r>
        <w:t>LeFodigital consolidó una arquitectura web modular con frontend Angular, API FastAPI, persistencia PostgreSQL, controles de seguridad, automatización de calidad y despliegue reproducible. La solución cubre los flujos prioritarios de estudiante y profesor y conserva separación entre experiencia de usuario, dominio y operación.</w:t>
      </w:r>
    </w:p>
    <w:p w14:paraId="4326920A" w14:textId="77777777" w:rsidR="00C0374E" w:rsidRDefault="00000000">
      <w:pPr>
        <w:ind w:firstLine="230"/>
        <w:jc w:val="both"/>
      </w:pPr>
      <w:r>
        <w:t>La validación controlada produjo 53 pruebas aprobadas, coberturas superiores a los umbrales definidos, un contrato de 22 rutas, build sin advertencias y cumplimiento completo de nueve de diez escenarios. La evidencia sustenta TRL5, no eficacia educativa. El avance responsable exige realizar una evaluación mixta, descriptiva y transversal con autorización institucional y protección reforzada de menores.</w:t>
      </w:r>
    </w:p>
    <w:p w14:paraId="39BD60C6" w14:textId="77777777" w:rsidR="00C0374E" w:rsidRDefault="00000000">
      <w:pPr>
        <w:ind w:firstLine="230"/>
        <w:jc w:val="both"/>
      </w:pPr>
      <w:r>
        <w:t>El artículo y el Documento Maestro dejan trazabilidad entre problema, objetivos, requerimientos, arquitectura, pruebas, limitaciones y trabajo futuro. La disponibilidad del repositorio facilita la revisión técnica, mientras que la sustentación de Fase 5 deberá asociarse exclusivamente al video definitivo del equipo.</w:t>
      </w:r>
    </w:p>
    <w:p w14:paraId="31366F49" w14:textId="77777777" w:rsidR="00C0374E" w:rsidRPr="00F44095" w:rsidRDefault="00000000">
      <w:pPr>
        <w:keepNext/>
        <w:spacing w:before="100"/>
        <w:rPr>
          <w:lang w:val="en-US"/>
        </w:rPr>
      </w:pPr>
      <w:r w:rsidRPr="00F44095">
        <w:rPr>
          <w:b/>
          <w:sz w:val="20"/>
          <w:lang w:val="en-US"/>
        </w:rPr>
        <w:t>REFERENCIAS</w:t>
      </w:r>
    </w:p>
    <w:p w14:paraId="105817D1" w14:textId="77777777" w:rsidR="00C0374E" w:rsidRPr="00F44095" w:rsidRDefault="00000000">
      <w:pPr>
        <w:spacing w:after="20"/>
        <w:ind w:left="230" w:hanging="230"/>
        <w:jc w:val="both"/>
        <w:rPr>
          <w:lang w:val="en-US"/>
        </w:rPr>
      </w:pPr>
      <w:r w:rsidRPr="00F44095">
        <w:rPr>
          <w:sz w:val="14"/>
          <w:lang w:val="en-US"/>
        </w:rPr>
        <w:t>[1] R. Vuorikari, S. Kluzer y Y. Punie, DigComp 2.2: The Digital Competence Framework for Citizens. Luxemburgo: Publications Office of the European Union, 2022. doi: 10.2760/115376.</w:t>
      </w:r>
    </w:p>
    <w:p w14:paraId="1E966DAB" w14:textId="77777777" w:rsidR="00C0374E" w:rsidRDefault="00000000">
      <w:pPr>
        <w:spacing w:after="20"/>
        <w:ind w:left="230" w:hanging="230"/>
        <w:jc w:val="both"/>
      </w:pPr>
      <w:r w:rsidRPr="00F44095">
        <w:rPr>
          <w:sz w:val="14"/>
          <w:lang w:val="en-US"/>
        </w:rPr>
        <w:t xml:space="preserve">[2] UNESCO, Global Education Monitoring Report 2023: Technology in Education—A Tool on Whose Terms? </w:t>
      </w:r>
      <w:r>
        <w:rPr>
          <w:sz w:val="14"/>
        </w:rPr>
        <w:t>París: UNESCO, 2023.</w:t>
      </w:r>
    </w:p>
    <w:p w14:paraId="0BF9EA34" w14:textId="77777777" w:rsidR="00C0374E" w:rsidRDefault="00000000">
      <w:pPr>
        <w:spacing w:after="20"/>
        <w:ind w:left="230" w:hanging="230"/>
        <w:jc w:val="both"/>
      </w:pPr>
      <w:r>
        <w:rPr>
          <w:sz w:val="14"/>
        </w:rPr>
        <w:t>[3] Departamento Administrativo Nacional de Estadística, Encuesta de Tecnologías de la Información y las Comunicaciones en Hogares 2024, Bogotá, 2025.</w:t>
      </w:r>
    </w:p>
    <w:p w14:paraId="0D9A7F65" w14:textId="77777777" w:rsidR="00C0374E" w:rsidRDefault="00000000">
      <w:pPr>
        <w:spacing w:after="20"/>
        <w:ind w:left="230" w:hanging="230"/>
        <w:jc w:val="both"/>
      </w:pPr>
      <w:r>
        <w:rPr>
          <w:sz w:val="14"/>
        </w:rPr>
        <w:t>[4] Departamento Nacional de Planeación, Documento CONPES 3988: Tecnologías para aprender, Bogotá, 2020.</w:t>
      </w:r>
    </w:p>
    <w:p w14:paraId="7B160980" w14:textId="77777777" w:rsidR="00C0374E" w:rsidRDefault="00000000">
      <w:pPr>
        <w:spacing w:after="20"/>
        <w:ind w:left="230" w:hanging="230"/>
        <w:jc w:val="both"/>
      </w:pPr>
      <w:r w:rsidRPr="00F44095">
        <w:rPr>
          <w:sz w:val="14"/>
          <w:lang w:val="en-US"/>
        </w:rPr>
        <w:t xml:space="preserve">[5] J. W. Creswell y V. L. Plano Clark, Designing and Conducting Mixed Methods Research, 3.ª ed. </w:t>
      </w:r>
      <w:r>
        <w:rPr>
          <w:sz w:val="14"/>
        </w:rPr>
        <w:t>Thousand Oaks, CA: SAGE, 2018.</w:t>
      </w:r>
    </w:p>
    <w:p w14:paraId="17775C1A" w14:textId="77777777" w:rsidR="00C0374E" w:rsidRDefault="00000000">
      <w:pPr>
        <w:spacing w:after="20"/>
        <w:ind w:left="230" w:hanging="230"/>
        <w:jc w:val="both"/>
      </w:pPr>
      <w:r>
        <w:rPr>
          <w:sz w:val="14"/>
        </w:rPr>
        <w:t>[6] R. Hernández-Sampieri y C. P. Mendoza Torres, Metodología de la investigación: Las rutas cuantitativa, cualitativa y mixta. Ciudad de México: McGraw-Hill, 2018.</w:t>
      </w:r>
    </w:p>
    <w:p w14:paraId="59151ACD" w14:textId="77777777" w:rsidR="00C0374E" w:rsidRPr="00F44095" w:rsidRDefault="00000000">
      <w:pPr>
        <w:spacing w:after="20"/>
        <w:ind w:left="230" w:hanging="230"/>
        <w:jc w:val="both"/>
        <w:rPr>
          <w:lang w:val="en-US"/>
        </w:rPr>
      </w:pPr>
      <w:r>
        <w:rPr>
          <w:sz w:val="14"/>
        </w:rPr>
        <w:t xml:space="preserve">[7] K. Schwaber y J. Sutherland, The Scrum Guide, 2020. [En línea]. </w:t>
      </w:r>
      <w:r w:rsidRPr="00F44095">
        <w:rPr>
          <w:sz w:val="14"/>
          <w:lang w:val="en-US"/>
        </w:rPr>
        <w:t>Disponible: https://scrumguides.org/scrum-guide.html</w:t>
      </w:r>
    </w:p>
    <w:p w14:paraId="19B1FDA5" w14:textId="77777777" w:rsidR="00C0374E" w:rsidRPr="00F44095" w:rsidRDefault="00000000">
      <w:pPr>
        <w:spacing w:after="20"/>
        <w:ind w:left="230" w:hanging="230"/>
        <w:jc w:val="both"/>
        <w:rPr>
          <w:lang w:val="en-US"/>
        </w:rPr>
      </w:pPr>
      <w:r w:rsidRPr="00F44095">
        <w:rPr>
          <w:sz w:val="14"/>
          <w:lang w:val="en-US"/>
        </w:rPr>
        <w:t>[8] International Organization for Standardization, ISO/IEC 25010:2023 Systems and Software Engineering—SQuaRE—Product Quality Model, Ginebra, 2023.</w:t>
      </w:r>
    </w:p>
    <w:p w14:paraId="5C5C6E3E" w14:textId="77777777" w:rsidR="00C0374E" w:rsidRPr="00F44095" w:rsidRDefault="00000000">
      <w:pPr>
        <w:spacing w:after="20"/>
        <w:ind w:left="230" w:hanging="230"/>
        <w:jc w:val="both"/>
        <w:rPr>
          <w:lang w:val="en-US"/>
        </w:rPr>
      </w:pPr>
      <w:r w:rsidRPr="00F44095">
        <w:rPr>
          <w:sz w:val="14"/>
          <w:lang w:val="en-US"/>
        </w:rPr>
        <w:t>[9] A. Bangor, P. T. Kortum y J. T. Miller, “An empirical evaluation of the System Usability Scale,” Int. J. Human–Computer Interaction, vol. 24, n.º 6, pp. 574–594, 2008, doi: 10.1080/10447310802205776.</w:t>
      </w:r>
    </w:p>
    <w:p w14:paraId="60FE2F6A" w14:textId="77777777" w:rsidR="00C0374E" w:rsidRPr="00F44095" w:rsidRDefault="00000000">
      <w:pPr>
        <w:spacing w:after="20"/>
        <w:ind w:left="230" w:hanging="230"/>
        <w:jc w:val="both"/>
        <w:rPr>
          <w:lang w:val="en-US"/>
        </w:rPr>
      </w:pPr>
      <w:r w:rsidRPr="00F44095">
        <w:rPr>
          <w:sz w:val="14"/>
          <w:lang w:val="en-US"/>
        </w:rPr>
        <w:t>[10] National Institute of Standards and Technology, Secure Software Development Framework (SSDF), Version 1.1, SP 800-218, 2022. doi: 10.6028/NIST.SP.800-218.</w:t>
      </w:r>
    </w:p>
    <w:p w14:paraId="126DEF1F" w14:textId="77777777" w:rsidR="00C0374E" w:rsidRPr="00F44095" w:rsidRDefault="00000000">
      <w:pPr>
        <w:spacing w:after="20"/>
        <w:ind w:left="230" w:hanging="230"/>
        <w:jc w:val="both"/>
        <w:rPr>
          <w:lang w:val="en-US"/>
        </w:rPr>
      </w:pPr>
      <w:r w:rsidRPr="00F44095">
        <w:rPr>
          <w:sz w:val="14"/>
          <w:lang w:val="en-US"/>
        </w:rPr>
        <w:t>[11] World Wide Web Consortium, Web Content Accessibility Guidelines (WCAG) 2.2, 2024. [En línea]. Disponible: https://www.w3.org/TR/WCAG22/</w:t>
      </w:r>
    </w:p>
    <w:p w14:paraId="1E7B242C" w14:textId="77777777" w:rsidR="00C0374E" w:rsidRPr="00F44095" w:rsidRDefault="00000000">
      <w:pPr>
        <w:spacing w:after="20"/>
        <w:ind w:left="230" w:hanging="230"/>
        <w:jc w:val="both"/>
        <w:rPr>
          <w:lang w:val="en-US"/>
        </w:rPr>
      </w:pPr>
      <w:r w:rsidRPr="00F44095">
        <w:rPr>
          <w:sz w:val="14"/>
          <w:lang w:val="en-US"/>
        </w:rPr>
        <w:t>[12] J. L. Armijos Carrión, R. F. Morocho Román, F. F. Redrován Castillo y D. A. Tapia Apolinario, “AEGIS-MD: Agile framework based on the design of serious games,” Applied Sciences, vol. 12, n.º 3, art. 1166, 2022, doi: 10.3390/app12031166.</w:t>
      </w:r>
    </w:p>
    <w:sectPr w:rsidR="00C0374E" w:rsidRPr="00F44095" w:rsidSect="00447A8F">
      <w:type w:val="continuous"/>
      <w:pgSz w:w="12240" w:h="15840"/>
      <w:pgMar w:top="792" w:right="792" w:bottom="792" w:left="792" w:header="288" w:footer="360" w:gutter="0"/>
      <w:cols w:num="2" w:space="360" w:equalWidth="0">
        <w:col w:w="4558" w:space="567"/>
        <w:col w:w="456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AAD75" w14:textId="77777777" w:rsidR="000855C6" w:rsidRDefault="000855C6">
      <w:r>
        <w:separator/>
      </w:r>
    </w:p>
  </w:endnote>
  <w:endnote w:type="continuationSeparator" w:id="0">
    <w:p w14:paraId="2D820D18" w14:textId="77777777" w:rsidR="000855C6" w:rsidRDefault="0008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7CB15" w14:textId="77777777" w:rsidR="000855C6" w:rsidRDefault="000855C6">
      <w:r>
        <w:separator/>
      </w:r>
    </w:p>
  </w:footnote>
  <w:footnote w:type="continuationSeparator" w:id="0">
    <w:p w14:paraId="4EA9D767" w14:textId="77777777" w:rsidR="000855C6" w:rsidRDefault="00085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40B5"/>
    <w:multiLevelType w:val="hybridMultilevel"/>
    <w:tmpl w:val="57C8F70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D5DA7"/>
    <w:multiLevelType w:val="hybridMultilevel"/>
    <w:tmpl w:val="C6040C1C"/>
    <w:lvl w:ilvl="0" w:tplc="0C0A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" w15:restartNumberingAfterBreak="0">
    <w:nsid w:val="1FC469F0"/>
    <w:multiLevelType w:val="hybridMultilevel"/>
    <w:tmpl w:val="F8BE1AE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C319F"/>
    <w:multiLevelType w:val="hybridMultilevel"/>
    <w:tmpl w:val="BBC4F0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33922"/>
    <w:multiLevelType w:val="hybridMultilevel"/>
    <w:tmpl w:val="3668A63E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2C5D144B"/>
    <w:multiLevelType w:val="hybridMultilevel"/>
    <w:tmpl w:val="7996F9B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05B6023"/>
    <w:multiLevelType w:val="hybridMultilevel"/>
    <w:tmpl w:val="12A6AE28"/>
    <w:lvl w:ilvl="0" w:tplc="17125B48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C0A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B0E14E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3D07995"/>
    <w:multiLevelType w:val="hybridMultilevel"/>
    <w:tmpl w:val="29760386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8350DB"/>
    <w:multiLevelType w:val="hybridMultilevel"/>
    <w:tmpl w:val="5C489FF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13B2B37"/>
    <w:multiLevelType w:val="hybridMultilevel"/>
    <w:tmpl w:val="22FC8D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D05FA"/>
    <w:multiLevelType w:val="multilevel"/>
    <w:tmpl w:val="71DC8E10"/>
    <w:lvl w:ilvl="0">
      <w:start w:val="1"/>
      <w:numFmt w:val="decimal"/>
      <w:pStyle w:val="Heading1"/>
      <w:suff w:val="space"/>
      <w:lvlText w:val="%1"/>
      <w:lvlJc w:val="left"/>
      <w:pPr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27" w:hanging="227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27" w:hanging="227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C80188A"/>
    <w:multiLevelType w:val="hybridMultilevel"/>
    <w:tmpl w:val="57C8F70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num w:numId="1" w16cid:durableId="37512259">
    <w:abstractNumId w:val="5"/>
  </w:num>
  <w:num w:numId="2" w16cid:durableId="839123728">
    <w:abstractNumId w:val="6"/>
  </w:num>
  <w:num w:numId="3" w16cid:durableId="741294861">
    <w:abstractNumId w:val="0"/>
  </w:num>
  <w:num w:numId="4" w16cid:durableId="108816514">
    <w:abstractNumId w:val="12"/>
  </w:num>
  <w:num w:numId="5" w16cid:durableId="434863010">
    <w:abstractNumId w:val="2"/>
  </w:num>
  <w:num w:numId="6" w16cid:durableId="1382023467">
    <w:abstractNumId w:val="7"/>
  </w:num>
  <w:num w:numId="7" w16cid:durableId="191915748">
    <w:abstractNumId w:val="8"/>
  </w:num>
  <w:num w:numId="8" w16cid:durableId="94786425">
    <w:abstractNumId w:val="10"/>
  </w:num>
  <w:num w:numId="9" w16cid:durableId="60445085">
    <w:abstractNumId w:val="3"/>
  </w:num>
  <w:num w:numId="10" w16cid:durableId="1051076415">
    <w:abstractNumId w:val="11"/>
  </w:num>
  <w:num w:numId="11" w16cid:durableId="1526018706">
    <w:abstractNumId w:val="1"/>
  </w:num>
  <w:num w:numId="12" w16cid:durableId="1036269367">
    <w:abstractNumId w:val="9"/>
  </w:num>
  <w:num w:numId="13" w16cid:durableId="1864858912">
    <w:abstractNumId w:val="13"/>
  </w:num>
  <w:num w:numId="14" w16cid:durableId="191236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E7D"/>
    <w:rsid w:val="0000792B"/>
    <w:rsid w:val="000855C6"/>
    <w:rsid w:val="000C4822"/>
    <w:rsid w:val="000E14F3"/>
    <w:rsid w:val="00120262"/>
    <w:rsid w:val="001916EA"/>
    <w:rsid w:val="001B44B9"/>
    <w:rsid w:val="001C4C24"/>
    <w:rsid w:val="001D68E1"/>
    <w:rsid w:val="001E5C1A"/>
    <w:rsid w:val="001F497D"/>
    <w:rsid w:val="002D16ED"/>
    <w:rsid w:val="002D4CCE"/>
    <w:rsid w:val="002E5A36"/>
    <w:rsid w:val="0030414A"/>
    <w:rsid w:val="003811BC"/>
    <w:rsid w:val="003826F1"/>
    <w:rsid w:val="00391ACF"/>
    <w:rsid w:val="00447A8F"/>
    <w:rsid w:val="00495C90"/>
    <w:rsid w:val="004B617A"/>
    <w:rsid w:val="004C105A"/>
    <w:rsid w:val="004D6B6F"/>
    <w:rsid w:val="00503F1A"/>
    <w:rsid w:val="00525B4D"/>
    <w:rsid w:val="005F4C87"/>
    <w:rsid w:val="00620367"/>
    <w:rsid w:val="00630E7D"/>
    <w:rsid w:val="006322B8"/>
    <w:rsid w:val="006B7B99"/>
    <w:rsid w:val="006F28DB"/>
    <w:rsid w:val="006F777D"/>
    <w:rsid w:val="006F7D5C"/>
    <w:rsid w:val="007D775F"/>
    <w:rsid w:val="00846655"/>
    <w:rsid w:val="008A424C"/>
    <w:rsid w:val="0092219D"/>
    <w:rsid w:val="00931989"/>
    <w:rsid w:val="0093446B"/>
    <w:rsid w:val="00946E6C"/>
    <w:rsid w:val="00A8367D"/>
    <w:rsid w:val="00B2782F"/>
    <w:rsid w:val="00C0374E"/>
    <w:rsid w:val="00C21BBB"/>
    <w:rsid w:val="00CD4340"/>
    <w:rsid w:val="00D13576"/>
    <w:rsid w:val="00D74B00"/>
    <w:rsid w:val="00DE5B6D"/>
    <w:rsid w:val="00EB73E1"/>
    <w:rsid w:val="00EF299B"/>
    <w:rsid w:val="00EF727E"/>
    <w:rsid w:val="00F44095"/>
    <w:rsid w:val="00F53769"/>
    <w:rsid w:val="00F9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06BA7C"/>
  <w15:chartTrackingRefBased/>
  <w15:docId w15:val="{5C3E472A-1639-4677-AAE8-0982C613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sz w:val="18"/>
      <w:szCs w:val="24"/>
      <w:lang w:val="es-ES" w:eastAsia="es-ES"/>
    </w:rPr>
  </w:style>
  <w:style w:type="paragraph" w:styleId="Heading1">
    <w:name w:val="heading 1"/>
    <w:basedOn w:val="Normal"/>
    <w:next w:val="Normal"/>
    <w:autoRedefine/>
    <w:qFormat/>
    <w:pPr>
      <w:keepNext/>
      <w:numPr>
        <w:numId w:val="10"/>
      </w:numPr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autoRedefine/>
    <w:qFormat/>
    <w:pPr>
      <w:keepNext/>
      <w:numPr>
        <w:ilvl w:val="1"/>
        <w:numId w:val="10"/>
      </w:numPr>
      <w:jc w:val="both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10"/>
      </w:numPr>
      <w:outlineLvl w:val="2"/>
    </w:pPr>
    <w:rPr>
      <w:rFonts w:ascii="Arial" w:hAnsi="Arial" w:cs="Arial"/>
      <w:b/>
      <w:bCs/>
      <w:sz w:val="20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0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0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0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0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Arial" w:hAnsi="Arial" w:cs="Arial"/>
      <w:b/>
      <w:bCs/>
      <w:sz w:val="28"/>
    </w:rPr>
  </w:style>
  <w:style w:type="paragraph" w:styleId="BodyText2">
    <w:name w:val="Body Text 2"/>
    <w:basedOn w:val="Normal"/>
    <w:rPr>
      <w:sz w:val="20"/>
    </w:rPr>
  </w:style>
  <w:style w:type="paragraph" w:styleId="BodyText3">
    <w:name w:val="Body Text 3"/>
    <w:basedOn w:val="Normal"/>
    <w:pPr>
      <w:autoSpaceDE w:val="0"/>
      <w:autoSpaceDN w:val="0"/>
      <w:adjustRightInd w:val="0"/>
    </w:pPr>
    <w:rPr>
      <w:rFonts w:ascii="Arial" w:hAnsi="Arial" w:cs="Arial"/>
      <w:sz w:val="16"/>
      <w:szCs w:val="16"/>
      <w:lang w:val="en-US"/>
    </w:rPr>
  </w:style>
  <w:style w:type="paragraph" w:styleId="BodyTextIndent">
    <w:name w:val="Body Text Indent"/>
    <w:basedOn w:val="Normal"/>
    <w:pPr>
      <w:autoSpaceDE w:val="0"/>
      <w:autoSpaceDN w:val="0"/>
      <w:adjustRightInd w:val="0"/>
      <w:ind w:firstLine="284"/>
      <w:jc w:val="both"/>
    </w:pPr>
    <w:rPr>
      <w:rFonts w:ascii="Arial" w:hAnsi="Arial" w:cs="Arial"/>
      <w:sz w:val="16"/>
      <w:szCs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rsid w:val="00447A8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References">
    <w:name w:val="References"/>
    <w:basedOn w:val="Normal"/>
    <w:rsid w:val="00DE5B6D"/>
    <w:pPr>
      <w:numPr>
        <w:numId w:val="12"/>
      </w:numPr>
      <w:autoSpaceDE w:val="0"/>
      <w:autoSpaceDN w:val="0"/>
      <w:jc w:val="both"/>
    </w:pPr>
    <w:rPr>
      <w:sz w:val="16"/>
      <w:szCs w:val="16"/>
      <w:lang w:val="en-US" w:eastAsia="en-US"/>
    </w:rPr>
  </w:style>
  <w:style w:type="character" w:styleId="UnresolvedMention">
    <w:name w:val="Unresolved Mention"/>
    <w:uiPriority w:val="99"/>
    <w:semiHidden/>
    <w:unhideWhenUsed/>
    <w:rsid w:val="00B278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74B00"/>
    <w:pPr>
      <w:spacing w:before="100" w:beforeAutospacing="1" w:after="142" w:line="276" w:lineRule="auto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3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2345</Words>
  <Characters>13368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Preparación de Informes en formato IEE</vt:lpstr>
      <vt:lpstr>Preparación de Informes en formato IEE</vt:lpstr>
    </vt:vector>
  </TitlesOfParts>
  <Company>Familiar</Company>
  <LinksUpToDate>false</LinksUpToDate>
  <CharactersWithSpaces>15682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de Informes en formato IEE</dc:title>
  <dc:subject/>
  <dc:creator>fjmencom@unadvirtual.edu.co</dc:creator>
  <cp:keywords/>
  <dc:description/>
  <cp:lastModifiedBy>FABIAN JOSE MENCO MANJARRES</cp:lastModifiedBy>
  <cp:revision>3</cp:revision>
  <cp:lastPrinted>2007-02-07T23:30:00Z</cp:lastPrinted>
  <dcterms:created xsi:type="dcterms:W3CDTF">2026-08-02T20:04:00Z</dcterms:created>
  <dcterms:modified xsi:type="dcterms:W3CDTF">2026-08-03T07:22:00Z</dcterms:modified>
</cp:coreProperties>
</file>