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  <w:r>
        <w:drawing>
          <wp:inline distT="0" distB="0" distL="0" distR="0">
            <wp:extent cx="2667000" cy="1047750"/>
            <wp:effectExtent t="0" r="0" b="0" l="0"/>
            <wp:docPr id="1" name="logo" descr="Expo 2030 Riyadh logo" title="Expo 2030 Riyad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024638" w:sz="0"/>
              <w:left w:val="none" w:color="024638" w:sz="0"/>
              <w:bottom w:val="none" w:color="024638" w:sz="0"/>
              <w:right w:val="none" w:color="024638" w:sz="0"/>
            </w:tcBorders>
            <w:shd w:fill="024638" w:color="auto" w:val="clear"/>
            <w:tcMar>
              <w:top w:type="dxa" w:w="700"/>
              <w:left w:type="dxa" w:w="520"/>
              <w:bottom w:type="dxa" w:w="700"/>
              <w:right w:type="dxa" w:w="520"/>
            </w:tcMar>
          </w:tcPr>
          <w:p>
            <w:pPr>
              <w:spacing w:after="160"/>
            </w:pPr>
            <w:r>
              <w:rPr>
                <w:rFonts w:ascii="Segoe UI" w:cs="Segoe UI" w:eastAsia="Segoe UI" w:hAnsi="Segoe UI"/>
                <w:b/>
                <w:bCs/>
                <w:color w:val="36B78E"/>
                <w:sz w:val="22"/>
                <w:szCs w:val="22"/>
              </w:rPr>
              <w:t xml:space="preserve">●  SERVICE DESK · REQUIREMENTS TEMPLATE</w:t>
            </w:r>
          </w:p>
          <w:p>
            <w:pPr>
              <w:spacing w:after="8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60"/>
                <w:szCs w:val="60"/>
              </w:rPr>
              <w:t xml:space="preserve">Service Level (SLA)</w:t>
            </w:r>
          </w:p>
          <w:p>
            <w:pPr>
              <w:spacing w:after="240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60"/>
                <w:szCs w:val="60"/>
              </w:rPr>
              <w:t xml:space="preserve">Requirements</w:t>
            </w:r>
          </w:p>
          <w:p>
            <w:pPr>
              <w:spacing w:after="320"/>
            </w:pPr>
            <w:r>
              <w:rPr>
                <w:rFonts w:ascii="Segoe UI" w:cs="Segoe UI" w:eastAsia="Segoe UI" w:hAnsi="Segoe UI"/>
                <w:color w:val="CFE3DB"/>
                <w:sz w:val="26"/>
                <w:szCs w:val="26"/>
              </w:rPr>
              <w:t xml:space="preserve">Speak Up – targets, levels and escalation, to be completed by ERC</w:t>
            </w:r>
          </w:p>
          <w:p>
            <w:r>
              <w:rPr>
                <w:rFonts w:ascii="Segoe UI" w:cs="Segoe UI" w:eastAsia="Segoe UI" w:hAnsi="Segoe UI"/>
                <w:b/>
                <w:bCs/>
                <w:color w:val="024638"/>
                <w:sz w:val="20"/>
                <w:szCs w:val="20"/>
                <w:shd w:fill="36B78E" w:color="auto" w:val="clear"/>
              </w:rPr>
              <w:t xml:space="preserve">  TO BE COMPLETED BY THE CUSTOMER  </w:t>
            </w:r>
          </w:p>
        </w:tc>
      </w:tr>
    </w:tbl>
    <w:p>
      <w:pPr>
        <w:spacing w:after="4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02463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66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02463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color w:val="1D2B27"/>
                <w:sz w:val="18"/>
                <w:szCs w:val="18"/>
              </w:rPr>
              <w:t xml:space="preserve">Customer</w:t>
            </w:r>
          </w:p>
        </w:tc>
        <w:tc>
          <w:tcPr>
            <w:tcW w:type="dxa" w:w="66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color w:val="1D2B27"/>
                <w:sz w:val="18"/>
                <w:szCs w:val="18"/>
              </w:rPr>
              <w:t xml:space="preserve">Expo 2030 Riyadh Company (ERC)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6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color w:val="1D2B27"/>
                <w:sz w:val="18"/>
                <w:szCs w:val="18"/>
              </w:rPr>
              <w:t xml:space="preserve">Service</w:t>
            </w:r>
          </w:p>
        </w:tc>
        <w:tc>
          <w:tcPr>
            <w:tcW w:type="dxa" w:w="66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6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color w:val="1D2B27"/>
                <w:sz w:val="18"/>
                <w:szCs w:val="18"/>
              </w:rPr>
              <w:t xml:space="preserve">Speak Up (Jira Service Management)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color w:val="1D2B27"/>
                <w:sz w:val="18"/>
                <w:szCs w:val="18"/>
              </w:rPr>
              <w:t xml:space="preserve">Template version</w:t>
            </w:r>
          </w:p>
        </w:tc>
        <w:tc>
          <w:tcPr>
            <w:tcW w:type="dxa" w:w="66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color w:val="1D2B27"/>
                <w:sz w:val="18"/>
                <w:szCs w:val="18"/>
              </w:rPr>
              <w:t xml:space="preserve">1.0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6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color w:val="1D2B27"/>
                <w:sz w:val="18"/>
                <w:szCs w:val="18"/>
              </w:rPr>
              <w:t xml:space="preserve">Prepared by</w:t>
            </w:r>
          </w:p>
        </w:tc>
        <w:tc>
          <w:tcPr>
            <w:tcW w:type="dxa" w:w="66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6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color w:val="1D2B27"/>
                <w:sz w:val="18"/>
                <w:szCs w:val="18"/>
              </w:rPr>
              <w:t xml:space="preserve">Doaa Mokhtar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color w:val="1D2B27"/>
                <w:sz w:val="18"/>
                <w:szCs w:val="18"/>
              </w:rPr>
              <w:t xml:space="preserve">Completed by (name, role)</w:t>
            </w:r>
          </w:p>
        </w:tc>
        <w:tc>
          <w:tcPr>
            <w:tcW w:type="dxa" w:w="66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</w:tr>
      <w:tr>
        <w:trPr>
          <w:cantSplit/>
        </w:trPr>
        <w:tc>
          <w:tcPr>
            <w:tcW w:type="dxa" w:w="30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6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color w:val="1D2B27"/>
                <w:sz w:val="18"/>
                <w:szCs w:val="18"/>
              </w:rPr>
              <w:t xml:space="preserve">Date completed</w:t>
            </w:r>
          </w:p>
        </w:tc>
        <w:tc>
          <w:tcPr>
            <w:tcW w:type="dxa" w:w="66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</w:tr>
      <w:tr>
        <w:trPr>
          <w:cantSplit/>
        </w:trPr>
        <w:tc>
          <w:tcPr>
            <w:tcW w:type="dxa" w:w="30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color w:val="1D2B27"/>
                <w:sz w:val="18"/>
                <w:szCs w:val="18"/>
              </w:rPr>
              <w:t xml:space="preserve">Approved by (name, role)</w:t>
            </w:r>
          </w:p>
        </w:tc>
        <w:tc>
          <w:tcPr>
            <w:tcW w:type="dxa" w:w="66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</w:tr>
    </w:tbl>
    <w:p>
      <w:r>
        <w:br w:type="page"/>
      </w:r>
    </w:p>
    <w:p>
      <w:pPr>
        <w:pStyle w:val="Heading1"/>
        <w:pBdr>
          <w:bottom w:val="single" w:color="36B78E" w:sz="12" w:space="4"/>
        </w:pBdr>
        <w:spacing w:before="360" w:after="160"/>
      </w:pPr>
      <w:r>
        <w:rPr>
          <w:rFonts w:ascii="Segoe UI" w:cs="Segoe UI" w:eastAsia="Segoe UI" w:hAnsi="Segoe UI"/>
        </w:rPr>
        <w:t xml:space="preserve">1. How to fill in this template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Segoe UI" w:cs="Segoe UI" w:eastAsia="Segoe UI" w:hAnsi="Segoe UI"/>
          <w:b/>
          <w:bCs/>
        </w:rPr>
        <w:t xml:space="preserve">Pale yellow cells </w:t>
      </w:r>
      <w:r>
        <w:rPr>
          <w:rFonts w:ascii="Segoe UI" w:cs="Segoe UI" w:eastAsia="Segoe UI" w:hAnsi="Segoe UI"/>
        </w:rPr>
        <w:t xml:space="preserve">are for you to complete.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Segoe UI" w:cs="Segoe UI" w:eastAsia="Segoe UI" w:hAnsi="Segoe UI"/>
          <w:b/>
          <w:bCs/>
        </w:rPr>
        <w:t xml:space="preserve">Grey italic values </w:t>
      </w:r>
      <w:r>
        <w:rPr>
          <w:rFonts w:ascii="Segoe UI" w:cs="Segoe UI" w:eastAsia="Segoe UI" w:hAnsi="Segoe UI"/>
        </w:rPr>
        <w:t xml:space="preserve">show what is configured today in the sandbox. Keep them, change them, or delete them.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Segoe UI" w:cs="Segoe UI" w:eastAsia="Segoe UI" w:hAnsi="Segoe UI"/>
        </w:rPr>
        <w:t xml:space="preserve">Tick </w:t>
      </w:r>
      <w:r>
        <w:rPr>
          <w:rFonts w:ascii="Segoe UI" w:cs="Segoe UI" w:eastAsia="Segoe UI" w:hAnsi="Segoe UI"/>
          <w:b/>
          <w:bCs/>
        </w:rPr>
        <w:t xml:space="preserve">☐</w:t>
      </w:r>
      <w:r>
        <w:rPr>
          <w:rFonts w:ascii="Segoe UI" w:cs="Segoe UI" w:eastAsia="Segoe UI" w:hAnsi="Segoe UI"/>
        </w:rPr>
        <w:t xml:space="preserve"> the options that apply. Add rows wherever you need more levels.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Segoe UI" w:cs="Segoe UI" w:eastAsia="Segoe UI" w:hAnsi="Segoe UI"/>
        </w:rPr>
        <w:t xml:space="preserve">Targets are measured in </w:t>
      </w:r>
      <w:r>
        <w:rPr>
          <w:rFonts w:ascii="Segoe UI" w:cs="Segoe UI" w:eastAsia="Segoe UI" w:hAnsi="Segoe UI"/>
          <w:b/>
          <w:bCs/>
        </w:rPr>
        <w:t xml:space="preserve">working time</w:t>
      </w:r>
      <w:r>
        <w:rPr>
          <w:rFonts w:ascii="Segoe UI" w:cs="Segoe UI" w:eastAsia="Segoe UI" w:hAnsi="Segoe UI"/>
        </w:rPr>
        <w:t xml:space="preserve"> on the calendar in section 2, unless you state otherwise.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28848" w:sz="24"/>
              <w:bottom w:val="none" w:color="FFFFFF" w:sz="0"/>
              <w:right w:val="none" w:color="FFFFFF" w:sz="0"/>
            </w:tcBorders>
            <w:shd w:fill="EEF7F3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228848"/>
              </w:rPr>
              <w:t xml:space="preserve">Why levels matter: </w:t>
            </w:r>
            <w:r>
              <w:rPr>
                <w:rFonts w:ascii="Segoe UI" w:cs="Segoe UI" w:eastAsia="Segoe UI" w:hAnsi="Segoe UI"/>
                <w:color w:val="1D2B27"/>
              </w:rPr>
              <w:t xml:space="preserve">one target for every report is simple, but most organisations want shorter targets for serious concerns (for example retaliation or fraud) and a staged escalation: a warning before the target, then escalation to a manager, then to a higher level if still unresolved.</w:t>
            </w:r>
          </w:p>
        </w:tc>
      </w:tr>
    </w:tbl>
    <w:p>
      <w:pPr>
        <w:pStyle w:val="Heading1"/>
        <w:pBdr>
          <w:bottom w:val="single" w:color="36B78E" w:sz="12" w:space="4"/>
        </w:pBdr>
        <w:spacing w:before="360" w:after="160"/>
      </w:pPr>
      <w:r>
        <w:rPr>
          <w:rFonts w:ascii="Segoe UI" w:cs="Segoe UI" w:eastAsia="Segoe UI" w:hAnsi="Segoe UI"/>
        </w:rPr>
        <w:t xml:space="preserve">2. Working calendar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00"/>
        <w:gridCol w:w="3300"/>
        <w:gridCol w:w="3138"/>
      </w:tblGrid>
      <w:tr>
        <w:trPr>
          <w:cantSplit/>
          <w:tblHeader/>
        </w:trPr>
        <w:tc>
          <w:tcPr>
            <w:tcW w:type="dxa" w:w="3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02463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33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02463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Your answer</w:t>
            </w:r>
          </w:p>
        </w:tc>
        <w:tc>
          <w:tcPr>
            <w:tcW w:type="dxa" w:w="31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02463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Today (example)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color w:val="1D2B27"/>
                <w:sz w:val="18"/>
                <w:szCs w:val="18"/>
              </w:rPr>
              <w:t xml:space="preserve">Working days</w:t>
            </w:r>
          </w:p>
        </w:tc>
        <w:tc>
          <w:tcPr>
            <w:tcW w:type="dxa" w:w="33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31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Sunday – Thursday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6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color w:val="1D2B27"/>
                <w:sz w:val="18"/>
                <w:szCs w:val="18"/>
              </w:rPr>
              <w:t xml:space="preserve">Working hours</w:t>
            </w:r>
          </w:p>
        </w:tc>
        <w:tc>
          <w:tcPr>
            <w:tcW w:type="dxa" w:w="33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31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6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08:00 – 16:00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color w:val="1D2B27"/>
                <w:sz w:val="18"/>
                <w:szCs w:val="18"/>
              </w:rPr>
              <w:t xml:space="preserve">Time zone</w:t>
            </w:r>
          </w:p>
        </w:tc>
        <w:tc>
          <w:tcPr>
            <w:tcW w:type="dxa" w:w="33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31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Riyadh (GMT+3)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6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color w:val="1D2B27"/>
                <w:sz w:val="18"/>
                <w:szCs w:val="18"/>
              </w:rPr>
              <w:t xml:space="preserve">Do weekends and holidays count?</w:t>
            </w:r>
          </w:p>
        </w:tc>
        <w:tc>
          <w:tcPr>
            <w:tcW w:type="dxa" w:w="33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31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6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color w:val="1D2B27"/>
                <w:sz w:val="18"/>
                <w:szCs w:val="18"/>
              </w:rPr>
              <w:t xml:space="preserve">Is a 24/7 calendar needed for any level?</w:t>
            </w:r>
          </w:p>
        </w:tc>
        <w:tc>
          <w:tcPr>
            <w:tcW w:type="dxa" w:w="33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31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No</w:t>
            </w:r>
          </w:p>
        </w:tc>
      </w:tr>
    </w:tbl>
    <w:p>
      <w:pPr>
        <w:spacing w:before="240" w:after="100"/>
      </w:pPr>
      <w:r>
        <w:rPr>
          <w:rFonts w:ascii="Segoe UI" w:cs="Segoe UI" w:eastAsia="Segoe UI" w:hAnsi="Segoe UI"/>
          <w:b/>
          <w:bCs/>
          <w:color w:val="024638"/>
          <w:sz w:val="24"/>
          <w:szCs w:val="24"/>
        </w:rPr>
        <w:t xml:space="preserve">Official holidays to exclude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0"/>
        <w:gridCol w:w="2400"/>
        <w:gridCol w:w="3038"/>
      </w:tblGrid>
      <w:tr>
        <w:trPr>
          <w:cantSplit/>
          <w:tblHeader/>
        </w:trPr>
        <w:tc>
          <w:tcPr>
            <w:tcW w:type="dxa" w:w="4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02463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Holiday</w:t>
            </w:r>
          </w:p>
        </w:tc>
        <w:tc>
          <w:tcPr>
            <w:tcW w:type="dxa" w:w="24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02463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From</w:t>
            </w:r>
          </w:p>
        </w:tc>
        <w:tc>
          <w:tcPr>
            <w:tcW w:type="dxa" w:w="30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02463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To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Eid al-Fitr</w:t>
            </w:r>
          </w:p>
        </w:tc>
        <w:tc>
          <w:tcPr>
            <w:tcW w:type="dxa" w:w="24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30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</w:tr>
      <w:tr>
        <w:trPr>
          <w:cantSplit/>
        </w:trPr>
        <w:tc>
          <w:tcPr>
            <w:tcW w:type="dxa" w:w="4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6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Eid al-Adha</w:t>
            </w:r>
          </w:p>
        </w:tc>
        <w:tc>
          <w:tcPr>
            <w:tcW w:type="dxa" w:w="24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30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</w:tr>
      <w:tr>
        <w:trPr>
          <w:cantSplit/>
        </w:trPr>
        <w:tc>
          <w:tcPr>
            <w:tcW w:type="dxa" w:w="4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Founding Day</w:t>
            </w:r>
          </w:p>
        </w:tc>
        <w:tc>
          <w:tcPr>
            <w:tcW w:type="dxa" w:w="24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30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</w:tr>
      <w:tr>
        <w:trPr>
          <w:cantSplit/>
        </w:trPr>
        <w:tc>
          <w:tcPr>
            <w:tcW w:type="dxa" w:w="4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6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National Day</w:t>
            </w:r>
          </w:p>
        </w:tc>
        <w:tc>
          <w:tcPr>
            <w:tcW w:type="dxa" w:w="24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30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</w:tr>
      <w:tr>
        <w:trPr>
          <w:cantSplit/>
        </w:trPr>
        <w:tc>
          <w:tcPr>
            <w:tcW w:type="dxa" w:w="4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24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30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</w:tr>
      <w:tr>
        <w:trPr>
          <w:cantSplit/>
        </w:trPr>
        <w:tc>
          <w:tcPr>
            <w:tcW w:type="dxa" w:w="4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24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30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</w:tr>
    </w:tbl>
    <w:p>
      <w:pPr>
        <w:pStyle w:val="Heading1"/>
        <w:pBdr>
          <w:bottom w:val="single" w:color="36B78E" w:sz="12" w:space="4"/>
        </w:pBdr>
        <w:spacing w:before="360" w:after="160"/>
      </w:pPr>
      <w:r>
        <w:rPr>
          <w:rFonts w:ascii="Segoe UI" w:cs="Segoe UI" w:eastAsia="Segoe UI" w:hAnsi="Segoe UI"/>
        </w:rPr>
        <w:t xml:space="preserve">3. What is measured (SLA metrics)</w:t>
      </w:r>
    </w:p>
    <w:p>
      <w:pPr>
        <w:spacing w:after="120" w:line="288"/>
      </w:pPr>
      <w:r>
        <w:rPr>
          <w:rFonts w:ascii="Segoe UI" w:cs="Segoe UI" w:eastAsia="Segoe UI" w:hAnsi="Segoe UI"/>
        </w:rPr>
        <w:t xml:space="preserve">Each row is one clock. Add a row for every additional stage you want measured.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00"/>
        <w:gridCol w:w="2600"/>
        <w:gridCol w:w="2500"/>
        <w:gridCol w:w="2238"/>
      </w:tblGrid>
      <w:tr>
        <w:trPr>
          <w:cantSplit/>
          <w:tblHeader/>
        </w:trPr>
        <w:tc>
          <w:tcPr>
            <w:tcW w:type="dxa" w:w="23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02463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SLA name</w:t>
            </w:r>
          </w:p>
        </w:tc>
        <w:tc>
          <w:tcPr>
            <w:tcW w:type="dxa" w:w="26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02463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Clock starts when</w:t>
            </w:r>
          </w:p>
        </w:tc>
        <w:tc>
          <w:tcPr>
            <w:tcW w:type="dxa" w:w="25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02463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Clock stops when</w:t>
            </w:r>
          </w:p>
        </w:tc>
        <w:tc>
          <w:tcPr>
            <w:tcW w:type="dxa" w:w="22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02463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Clock pauses when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Time to Compliance Decision</w:t>
            </w:r>
          </w:p>
        </w:tc>
        <w:tc>
          <w:tcPr>
            <w:tcW w:type="dxa" w:w="26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Report created, or returned to Back to Compliance</w:t>
            </w:r>
          </w:p>
        </w:tc>
        <w:tc>
          <w:tcPr>
            <w:tcW w:type="dxa" w:w="25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Under Investigation or Rejected by Compliance</w:t>
            </w:r>
          </w:p>
        </w:tc>
        <w:tc>
          <w:tcPr>
            <w:tcW w:type="dxa" w:w="22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Never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6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Time to Investigation Decision</w:t>
            </w:r>
          </w:p>
        </w:tc>
        <w:tc>
          <w:tcPr>
            <w:tcW w:type="dxa" w:w="26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6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Report enters Under Investigation</w:t>
            </w:r>
          </w:p>
        </w:tc>
        <w:tc>
          <w:tcPr>
            <w:tcW w:type="dxa" w:w="25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6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Investigation Approved or Back to Compliance</w:t>
            </w:r>
          </w:p>
        </w:tc>
        <w:tc>
          <w:tcPr>
            <w:tcW w:type="dxa" w:w="22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6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Never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e.g. Time to first contact with reporter</w:t>
            </w:r>
          </w:p>
        </w:tc>
        <w:tc>
          <w:tcPr>
            <w:tcW w:type="dxa" w:w="26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25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22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</w:tr>
      <w:tr>
        <w:trPr>
          <w:cantSplit/>
        </w:trPr>
        <w:tc>
          <w:tcPr>
            <w:tcW w:type="dxa" w:w="23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6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e.g. Time to close the case</w:t>
            </w:r>
          </w:p>
        </w:tc>
        <w:tc>
          <w:tcPr>
            <w:tcW w:type="dxa" w:w="26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25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22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</w:tr>
      <w:tr>
        <w:trPr>
          <w:cantSplit/>
        </w:trPr>
        <w:tc>
          <w:tcPr>
            <w:tcW w:type="dxa" w:w="23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26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25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22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</w:tr>
      <w:tr>
        <w:trPr>
          <w:cantSplit/>
        </w:trPr>
        <w:tc>
          <w:tcPr>
            <w:tcW w:type="dxa" w:w="23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26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25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22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</w:tr>
    </w:tbl>
    <w:p>
      <w:pPr>
        <w:spacing w:after="60"/>
      </w:pPr>
    </w:p>
    <w:p>
      <w:pPr>
        <w:spacing w:before="120" w:after="60"/>
      </w:pPr>
      <w:r>
        <w:rPr>
          <w:rFonts w:ascii="Segoe UI" w:cs="Segoe UI" w:eastAsia="Segoe UI" w:hAnsi="Segoe UI"/>
          <w:b/>
          <w:bCs/>
        </w:rPr>
        <w:t xml:space="preserve">Should any clock pause while waiting for the reporter or a third party?</w:t>
      </w:r>
    </w:p>
    <w:p>
      <w:pPr>
        <w:spacing w:after="40"/>
        <w:ind w:left="360"/>
      </w:pPr>
      <w:r>
        <w:rPr>
          <w:rFonts w:ascii="Segoe UI" w:cs="Segoe UI" w:eastAsia="Segoe UI" w:hAnsi="Segoe UI"/>
        </w:rPr>
        <w:t xml:space="preserve">☐ No pause</w:t>
      </w:r>
    </w:p>
    <w:p>
      <w:pPr>
        <w:spacing w:after="40"/>
        <w:ind w:left="360"/>
      </w:pPr>
      <w:r>
        <w:rPr>
          <w:rFonts w:ascii="Segoe UI" w:cs="Segoe UI" w:eastAsia="Segoe UI" w:hAnsi="Segoe UI"/>
        </w:rPr>
        <w:t xml:space="preserve">☐ Pause while waiting for the reporter (requires a "Waiting for reporter" status)</w:t>
      </w:r>
    </w:p>
    <w:p>
      <w:pPr>
        <w:spacing w:after="40"/>
        <w:ind w:left="360"/>
      </w:pPr>
      <w:r>
        <w:rPr>
          <w:rFonts w:ascii="Segoe UI" w:cs="Segoe UI" w:eastAsia="Segoe UI" w:hAnsi="Segoe UI"/>
        </w:rPr>
        <w:t xml:space="preserve">☐ Pause while waiting for a third party</w:t>
      </w:r>
    </w:p>
    <w:p>
      <w:pPr>
        <w:spacing w:after="40"/>
        <w:ind w:left="360"/>
      </w:pPr>
      <w:r>
        <w:rPr>
          <w:rFonts w:ascii="Segoe UI" w:cs="Segoe UI" w:eastAsia="Segoe UI" w:hAnsi="Segoe UI"/>
        </w:rPr>
        <w:t xml:space="preserve">☐ Other: ____________________</w:t>
      </w:r>
    </w:p>
    <w:p>
      <w:pPr>
        <w:pStyle w:val="Heading1"/>
        <w:pBdr>
          <w:bottom w:val="single" w:color="36B78E" w:sz="12" w:space="4"/>
        </w:pBdr>
        <w:spacing w:before="360" w:after="160"/>
      </w:pPr>
      <w:r>
        <w:rPr>
          <w:rFonts w:ascii="Segoe UI" w:cs="Segoe UI" w:eastAsia="Segoe UI" w:hAnsi="Segoe UI"/>
        </w:rPr>
        <w:t xml:space="preserve">4. Targets by level</w:t>
      </w:r>
    </w:p>
    <w:p>
      <w:pPr>
        <w:spacing w:before="120" w:after="60"/>
      </w:pPr>
      <w:r>
        <w:rPr>
          <w:rFonts w:ascii="Segoe UI" w:cs="Segoe UI" w:eastAsia="Segoe UI" w:hAnsi="Segoe UI"/>
          <w:b/>
          <w:bCs/>
        </w:rPr>
        <w:t xml:space="preserve">How should targets differ? (tick one)</w:t>
      </w:r>
    </w:p>
    <w:p>
      <w:pPr>
        <w:spacing w:after="40"/>
        <w:ind w:left="360"/>
      </w:pPr>
      <w:r>
        <w:rPr>
          <w:rFonts w:ascii="Segoe UI" w:cs="Segoe UI" w:eastAsia="Segoe UI" w:hAnsi="Segoe UI"/>
        </w:rPr>
        <w:t xml:space="preserve">☐ One target for all reports (today)</w:t>
      </w:r>
    </w:p>
    <w:p>
      <w:pPr>
        <w:spacing w:after="40"/>
        <w:ind w:left="360"/>
      </w:pPr>
      <w:r>
        <w:rPr>
          <w:rFonts w:ascii="Segoe UI" w:cs="Segoe UI" w:eastAsia="Segoe UI" w:hAnsi="Segoe UI"/>
        </w:rPr>
        <w:t xml:space="preserve">☐ By severity or priority (fill in table 4A)</w:t>
      </w:r>
    </w:p>
    <w:p>
      <w:pPr>
        <w:spacing w:after="40"/>
        <w:ind w:left="360"/>
      </w:pPr>
      <w:r>
        <w:rPr>
          <w:rFonts w:ascii="Segoe UI" w:cs="Segoe UI" w:eastAsia="Segoe UI" w:hAnsi="Segoe UI"/>
        </w:rPr>
        <w:t xml:space="preserve">☐ By report category (fill in table 4B)</w:t>
      </w:r>
    </w:p>
    <w:p>
      <w:pPr>
        <w:spacing w:after="40"/>
        <w:ind w:left="360"/>
      </w:pPr>
      <w:r>
        <w:rPr>
          <w:rFonts w:ascii="Segoe UI" w:cs="Segoe UI" w:eastAsia="Segoe UI" w:hAnsi="Segoe UI"/>
        </w:rPr>
        <w:t xml:space="preserve">☐ By both severity and category</w:t>
      </w:r>
    </w:p>
    <w:p>
      <w:pPr>
        <w:spacing w:before="240" w:after="100"/>
      </w:pPr>
      <w:r>
        <w:rPr>
          <w:rFonts w:ascii="Segoe UI" w:cs="Segoe UI" w:eastAsia="Segoe UI" w:hAnsi="Segoe UI"/>
          <w:b/>
          <w:bCs/>
          <w:color w:val="024638"/>
          <w:sz w:val="24"/>
          <w:szCs w:val="24"/>
        </w:rPr>
        <w:t xml:space="preserve">4A. Targets by severity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00"/>
        <w:gridCol w:w="3400"/>
        <w:gridCol w:w="2300"/>
        <w:gridCol w:w="2338"/>
      </w:tblGrid>
      <w:tr>
        <w:trPr>
          <w:cantSplit/>
          <w:tblHeader/>
        </w:trPr>
        <w:tc>
          <w:tcPr>
            <w:tcW w:type="dxa" w:w="16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02463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Severity</w:t>
            </w:r>
          </w:p>
        </w:tc>
        <w:tc>
          <w:tcPr>
            <w:tcW w:type="dxa" w:w="34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02463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Definition</w:t>
            </w:r>
          </w:p>
        </w:tc>
        <w:tc>
          <w:tcPr>
            <w:tcW w:type="dxa" w:w="23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02463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Compliance Decision target</w:t>
            </w:r>
          </w:p>
        </w:tc>
        <w:tc>
          <w:tcPr>
            <w:tcW w:type="dxa" w:w="23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02463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Investigation Decision target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Critical</w:t>
            </w:r>
          </w:p>
        </w:tc>
        <w:tc>
          <w:tcPr>
            <w:tcW w:type="dxa" w:w="34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e.g. immediate risk to people, large fraud</w:t>
            </w:r>
          </w:p>
        </w:tc>
        <w:tc>
          <w:tcPr>
            <w:tcW w:type="dxa" w:w="23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23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</w:tr>
      <w:tr>
        <w:trPr>
          <w:cantSplit/>
        </w:trPr>
        <w:tc>
          <w:tcPr>
            <w:tcW w:type="dxa" w:w="16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6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High</w:t>
            </w:r>
          </w:p>
        </w:tc>
        <w:tc>
          <w:tcPr>
            <w:tcW w:type="dxa" w:w="34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23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23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</w:tr>
      <w:tr>
        <w:trPr>
          <w:cantSplit/>
        </w:trPr>
        <w:tc>
          <w:tcPr>
            <w:tcW w:type="dxa" w:w="16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Medium</w:t>
            </w:r>
          </w:p>
        </w:tc>
        <w:tc>
          <w:tcPr>
            <w:tcW w:type="dxa" w:w="34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23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2 working days</w:t>
            </w:r>
          </w:p>
        </w:tc>
        <w:tc>
          <w:tcPr>
            <w:tcW w:type="dxa" w:w="23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2 working days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6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Low</w:t>
            </w:r>
          </w:p>
        </w:tc>
        <w:tc>
          <w:tcPr>
            <w:tcW w:type="dxa" w:w="34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23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23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</w:tr>
    </w:tbl>
    <w:p>
      <w:pPr>
        <w:spacing w:before="240" w:after="100"/>
      </w:pPr>
      <w:r>
        <w:rPr>
          <w:rFonts w:ascii="Segoe UI" w:cs="Segoe UI" w:eastAsia="Segoe UI" w:hAnsi="Segoe UI"/>
          <w:b/>
          <w:bCs/>
          <w:color w:val="024638"/>
          <w:sz w:val="24"/>
          <w:szCs w:val="24"/>
        </w:rPr>
        <w:t xml:space="preserve">4B. Targets by report category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200"/>
        <w:gridCol w:w="2200"/>
        <w:gridCol w:w="2238"/>
      </w:tblGrid>
      <w:tr>
        <w:trPr>
          <w:cantSplit/>
          <w:tblHeader/>
        </w:trPr>
        <w:tc>
          <w:tcPr>
            <w:tcW w:type="dxa" w:w="5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02463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Report category</w:t>
            </w:r>
          </w:p>
        </w:tc>
        <w:tc>
          <w:tcPr>
            <w:tcW w:type="dxa" w:w="2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02463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Compliance Decision target</w:t>
            </w:r>
          </w:p>
        </w:tc>
        <w:tc>
          <w:tcPr>
            <w:tcW w:type="dxa" w:w="22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02463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Investigation Decision target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color w:val="1D2B27"/>
                <w:sz w:val="18"/>
                <w:szCs w:val="18"/>
              </w:rPr>
              <w:t xml:space="preserve">Fraud, Theft, Embezzlement or Asset Misappropriation</w:t>
            </w:r>
          </w:p>
        </w:tc>
        <w:tc>
          <w:tcPr>
            <w:tcW w:type="dxa" w:w="2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22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</w:tr>
      <w:tr>
        <w:trPr>
          <w:cantSplit/>
        </w:trPr>
        <w:tc>
          <w:tcPr>
            <w:tcW w:type="dxa" w:w="5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6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color w:val="1D2B27"/>
                <w:sz w:val="18"/>
                <w:szCs w:val="18"/>
              </w:rPr>
              <w:t xml:space="preserve">Bribery, Corruption, Kickbacks or Trading in Influence</w:t>
            </w:r>
          </w:p>
        </w:tc>
        <w:tc>
          <w:tcPr>
            <w:tcW w:type="dxa" w:w="2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22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</w:tr>
      <w:tr>
        <w:trPr>
          <w:cantSplit/>
        </w:trPr>
        <w:tc>
          <w:tcPr>
            <w:tcW w:type="dxa" w:w="5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color w:val="1D2B27"/>
                <w:sz w:val="18"/>
                <w:szCs w:val="18"/>
              </w:rPr>
              <w:t xml:space="preserve">Money Laundering, Terrorist Financing or Sanctions Concerns</w:t>
            </w:r>
          </w:p>
        </w:tc>
        <w:tc>
          <w:tcPr>
            <w:tcW w:type="dxa" w:w="2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22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</w:tr>
      <w:tr>
        <w:trPr>
          <w:cantSplit/>
        </w:trPr>
        <w:tc>
          <w:tcPr>
            <w:tcW w:type="dxa" w:w="5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6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color w:val="1D2B27"/>
                <w:sz w:val="18"/>
                <w:szCs w:val="18"/>
              </w:rPr>
              <w:t xml:space="preserve">Procurement Manipulation, Collusion, Bid Rigging or Conflict of Interest</w:t>
            </w:r>
          </w:p>
        </w:tc>
        <w:tc>
          <w:tcPr>
            <w:tcW w:type="dxa" w:w="2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22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</w:tr>
      <w:tr>
        <w:trPr>
          <w:cantSplit/>
        </w:trPr>
        <w:tc>
          <w:tcPr>
            <w:tcW w:type="dxa" w:w="5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color w:val="1D2B27"/>
                <w:sz w:val="18"/>
                <w:szCs w:val="18"/>
              </w:rPr>
              <w:t xml:space="preserve">Harassment, Discrimination, Bullying or Abuse of Authority</w:t>
            </w:r>
          </w:p>
        </w:tc>
        <w:tc>
          <w:tcPr>
            <w:tcW w:type="dxa" w:w="2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22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</w:tr>
      <w:tr>
        <w:trPr>
          <w:cantSplit/>
        </w:trPr>
        <w:tc>
          <w:tcPr>
            <w:tcW w:type="dxa" w:w="5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6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color w:val="1D2B27"/>
                <w:sz w:val="18"/>
                <w:szCs w:val="18"/>
              </w:rPr>
              <w:t xml:space="preserve">Health, Safety, Environmental or Heritage-Protection Breach</w:t>
            </w:r>
          </w:p>
        </w:tc>
        <w:tc>
          <w:tcPr>
            <w:tcW w:type="dxa" w:w="2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22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</w:tr>
      <w:tr>
        <w:trPr>
          <w:cantSplit/>
        </w:trPr>
        <w:tc>
          <w:tcPr>
            <w:tcW w:type="dxa" w:w="5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color w:val="1D2B27"/>
                <w:sz w:val="18"/>
                <w:szCs w:val="18"/>
              </w:rPr>
              <w:t xml:space="preserve">Information Security, Data Protection or Systems Misuse</w:t>
            </w:r>
          </w:p>
        </w:tc>
        <w:tc>
          <w:tcPr>
            <w:tcW w:type="dxa" w:w="2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22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</w:tr>
      <w:tr>
        <w:trPr>
          <w:cantSplit/>
        </w:trPr>
        <w:tc>
          <w:tcPr>
            <w:tcW w:type="dxa" w:w="5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6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color w:val="1D2B27"/>
                <w:sz w:val="18"/>
                <w:szCs w:val="18"/>
              </w:rPr>
              <w:t xml:space="preserve">Other Regulatory or License Compliance Breach</w:t>
            </w:r>
          </w:p>
        </w:tc>
        <w:tc>
          <w:tcPr>
            <w:tcW w:type="dxa" w:w="2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22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</w:tr>
      <w:tr>
        <w:trPr>
          <w:cantSplit/>
        </w:trPr>
        <w:tc>
          <w:tcPr>
            <w:tcW w:type="dxa" w:w="5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color w:val="1D2B27"/>
                <w:sz w:val="18"/>
                <w:szCs w:val="18"/>
              </w:rPr>
              <w:t xml:space="preserve">Retaliation Against a Reporter or Witness</w:t>
            </w:r>
          </w:p>
        </w:tc>
        <w:tc>
          <w:tcPr>
            <w:tcW w:type="dxa" w:w="2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22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</w:tr>
      <w:tr>
        <w:trPr>
          <w:cantSplit/>
        </w:trPr>
        <w:tc>
          <w:tcPr>
            <w:tcW w:type="dxa" w:w="5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6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color w:val="1D2B27"/>
                <w:sz w:val="18"/>
                <w:szCs w:val="18"/>
              </w:rPr>
              <w:t xml:space="preserve">Other</w:t>
            </w:r>
          </w:p>
        </w:tc>
        <w:tc>
          <w:tcPr>
            <w:tcW w:type="dxa" w:w="2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22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</w:tr>
    </w:tbl>
    <w:p>
      <w:pPr>
        <w:spacing w:after="60"/>
      </w:pPr>
    </w:p>
    <w:p>
      <w:pPr>
        <w:spacing w:before="120" w:after="60"/>
      </w:pPr>
      <w:r>
        <w:rPr>
          <w:rFonts w:ascii="Segoe UI" w:cs="Segoe UI" w:eastAsia="Segoe UI" w:hAnsi="Segoe UI"/>
          <w:b/>
          <w:bCs/>
        </w:rPr>
        <w:t xml:space="preserve">Who sets the severity of a report?</w:t>
      </w:r>
    </w:p>
    <w:p>
      <w:pPr>
        <w:spacing w:after="40"/>
        <w:ind w:left="360"/>
      </w:pPr>
      <w:r>
        <w:rPr>
          <w:rFonts w:ascii="Segoe UI" w:cs="Segoe UI" w:eastAsia="Segoe UI" w:hAnsi="Segoe UI"/>
        </w:rPr>
        <w:t xml:space="preserve">☐ Compliance Manager, in the Compliance Approval form</w:t>
      </w:r>
    </w:p>
    <w:p>
      <w:pPr>
        <w:spacing w:after="40"/>
        <w:ind w:left="360"/>
      </w:pPr>
      <w:r>
        <w:rPr>
          <w:rFonts w:ascii="Segoe UI" w:cs="Segoe UI" w:eastAsia="Segoe UI" w:hAnsi="Segoe UI"/>
        </w:rPr>
        <w:t xml:space="preserve">☐ Set automatically from the category</w:t>
      </w:r>
    </w:p>
    <w:p>
      <w:pPr>
        <w:spacing w:after="40"/>
        <w:ind w:left="360"/>
      </w:pPr>
      <w:r>
        <w:rPr>
          <w:rFonts w:ascii="Segoe UI" w:cs="Segoe UI" w:eastAsia="Segoe UI" w:hAnsi="Segoe UI"/>
        </w:rPr>
        <w:t xml:space="preserve">☐ Other: ____________________</w:t>
      </w:r>
    </w:p>
    <w:p>
      <w:pPr>
        <w:pStyle w:val="Heading1"/>
        <w:pBdr>
          <w:bottom w:val="single" w:color="36B78E" w:sz="12" w:space="4"/>
        </w:pBdr>
        <w:spacing w:before="360" w:after="160"/>
      </w:pPr>
      <w:r>
        <w:rPr>
          <w:rFonts w:ascii="Segoe UI" w:cs="Segoe UI" w:eastAsia="Segoe UI" w:hAnsi="Segoe UI"/>
        </w:rPr>
        <w:t xml:space="preserve">5. Warnings and escalation levels</w:t>
      </w:r>
    </w:p>
    <w:p>
      <w:pPr>
        <w:spacing w:after="120" w:line="288"/>
      </w:pPr>
      <w:r>
        <w:rPr>
          <w:rFonts w:ascii="Segoe UI" w:cs="Segoe UI" w:eastAsia="Segoe UI" w:hAnsi="Segoe UI"/>
        </w:rPr>
        <w:t xml:space="preserve">Fill in one table per SLA. Each row is one level. Today a single level exists: an email to HO-Compliance when the target is missed.</w:t>
      </w:r>
    </w:p>
    <w:p>
      <w:pPr>
        <w:spacing w:before="240" w:after="100"/>
      </w:pPr>
      <w:r>
        <w:rPr>
          <w:rFonts w:ascii="Segoe UI" w:cs="Segoe UI" w:eastAsia="Segoe UI" w:hAnsi="Segoe UI"/>
          <w:b/>
          <w:bCs/>
          <w:color w:val="024638"/>
          <w:sz w:val="24"/>
          <w:szCs w:val="24"/>
        </w:rPr>
        <w:t xml:space="preserve">5A. Time to Compliance Decision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00"/>
        <w:gridCol w:w="2100"/>
        <w:gridCol w:w="2700"/>
        <w:gridCol w:w="1200"/>
        <w:gridCol w:w="2438"/>
      </w:tblGrid>
      <w:tr>
        <w:trPr>
          <w:cantSplit/>
          <w:tblHeader/>
        </w:trPr>
        <w:tc>
          <w:tcPr>
            <w:tcW w:type="dxa" w:w="1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02463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Level</w:t>
            </w:r>
          </w:p>
        </w:tc>
        <w:tc>
          <w:tcPr>
            <w:tcW w:type="dxa" w:w="21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02463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When</w:t>
            </w:r>
          </w:p>
        </w:tc>
        <w:tc>
          <w:tcPr>
            <w:tcW w:type="dxa" w:w="27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02463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Notify (role / group / email)</w:t>
            </w:r>
          </w:p>
        </w:tc>
        <w:tc>
          <w:tcPr>
            <w:tcW w:type="dxa" w:w="1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02463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Channel</w:t>
            </w:r>
          </w:p>
        </w:tc>
        <w:tc>
          <w:tcPr>
            <w:tcW w:type="dxa" w:w="24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02463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Action expected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Warning</w:t>
            </w:r>
          </w:p>
        </w:tc>
        <w:tc>
          <w:tcPr>
            <w:tcW w:type="dxa" w:w="21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e.g. 75% of target used</w:t>
            </w:r>
          </w:p>
        </w:tc>
        <w:tc>
          <w:tcPr>
            <w:tcW w:type="dxa" w:w="27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e.g. the assigned group</w:t>
            </w:r>
          </w:p>
        </w:tc>
        <w:tc>
          <w:tcPr>
            <w:tcW w:type="dxa" w:w="1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Email</w:t>
            </w:r>
          </w:p>
        </w:tc>
        <w:tc>
          <w:tcPr>
            <w:tcW w:type="dxa" w:w="24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Act before breach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6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Level 1</w:t>
            </w:r>
          </w:p>
        </w:tc>
        <w:tc>
          <w:tcPr>
            <w:tcW w:type="dxa" w:w="21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6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On breach</w:t>
            </w:r>
          </w:p>
        </w:tc>
        <w:tc>
          <w:tcPr>
            <w:tcW w:type="dxa" w:w="27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6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HO-Compliance (today: Doaa Mokhtar)</w:t>
            </w:r>
          </w:p>
        </w:tc>
        <w:tc>
          <w:tcPr>
            <w:tcW w:type="dxa" w:w="1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6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Email</w:t>
            </w:r>
          </w:p>
        </w:tc>
        <w:tc>
          <w:tcPr>
            <w:tcW w:type="dxa" w:w="24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6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Follow up with the owner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Level 2</w:t>
            </w:r>
          </w:p>
        </w:tc>
        <w:tc>
          <w:tcPr>
            <w:tcW w:type="dxa" w:w="21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e.g. 1 working day after breach</w:t>
            </w:r>
          </w:p>
        </w:tc>
        <w:tc>
          <w:tcPr>
            <w:tcW w:type="dxa" w:w="27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1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24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</w:tr>
      <w:tr>
        <w:trPr>
          <w:cantSplit/>
        </w:trPr>
        <w:tc>
          <w:tcPr>
            <w:tcW w:type="dxa" w:w="1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6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Level 3</w:t>
            </w:r>
          </w:p>
        </w:tc>
        <w:tc>
          <w:tcPr>
            <w:tcW w:type="dxa" w:w="21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6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e.g. 3 working days after breach</w:t>
            </w:r>
          </w:p>
        </w:tc>
        <w:tc>
          <w:tcPr>
            <w:tcW w:type="dxa" w:w="27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1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24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</w:tr>
      <w:tr>
        <w:trPr>
          <w:cantSplit/>
        </w:trPr>
        <w:tc>
          <w:tcPr>
            <w:tcW w:type="dxa" w:w="1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21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27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1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24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</w:tr>
    </w:tbl>
    <w:p>
      <w:pPr>
        <w:spacing w:before="240" w:after="100"/>
      </w:pPr>
      <w:r>
        <w:rPr>
          <w:rFonts w:ascii="Segoe UI" w:cs="Segoe UI" w:eastAsia="Segoe UI" w:hAnsi="Segoe UI"/>
          <w:b/>
          <w:bCs/>
          <w:color w:val="024638"/>
          <w:sz w:val="24"/>
          <w:szCs w:val="24"/>
        </w:rPr>
        <w:t xml:space="preserve">5B. Time to Investigation Decision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00"/>
        <w:gridCol w:w="2100"/>
        <w:gridCol w:w="2700"/>
        <w:gridCol w:w="1200"/>
        <w:gridCol w:w="2438"/>
      </w:tblGrid>
      <w:tr>
        <w:trPr>
          <w:cantSplit/>
          <w:tblHeader/>
        </w:trPr>
        <w:tc>
          <w:tcPr>
            <w:tcW w:type="dxa" w:w="1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02463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Level</w:t>
            </w:r>
          </w:p>
        </w:tc>
        <w:tc>
          <w:tcPr>
            <w:tcW w:type="dxa" w:w="21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02463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When</w:t>
            </w:r>
          </w:p>
        </w:tc>
        <w:tc>
          <w:tcPr>
            <w:tcW w:type="dxa" w:w="27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02463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Notify (role / group / email)</w:t>
            </w:r>
          </w:p>
        </w:tc>
        <w:tc>
          <w:tcPr>
            <w:tcW w:type="dxa" w:w="1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02463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Channel</w:t>
            </w:r>
          </w:p>
        </w:tc>
        <w:tc>
          <w:tcPr>
            <w:tcW w:type="dxa" w:w="24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02463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Action expected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Warning</w:t>
            </w:r>
          </w:p>
        </w:tc>
        <w:tc>
          <w:tcPr>
            <w:tcW w:type="dxa" w:w="21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e.g. 75% of target used</w:t>
            </w:r>
          </w:p>
        </w:tc>
        <w:tc>
          <w:tcPr>
            <w:tcW w:type="dxa" w:w="27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e.g. the assigned group</w:t>
            </w:r>
          </w:p>
        </w:tc>
        <w:tc>
          <w:tcPr>
            <w:tcW w:type="dxa" w:w="1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Email</w:t>
            </w:r>
          </w:p>
        </w:tc>
        <w:tc>
          <w:tcPr>
            <w:tcW w:type="dxa" w:w="24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Act before breach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6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Level 1</w:t>
            </w:r>
          </w:p>
        </w:tc>
        <w:tc>
          <w:tcPr>
            <w:tcW w:type="dxa" w:w="21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6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On breach</w:t>
            </w:r>
          </w:p>
        </w:tc>
        <w:tc>
          <w:tcPr>
            <w:tcW w:type="dxa" w:w="27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6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HO-Compliance (today: Doaa Mokhtar)</w:t>
            </w:r>
          </w:p>
        </w:tc>
        <w:tc>
          <w:tcPr>
            <w:tcW w:type="dxa" w:w="1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6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Email</w:t>
            </w:r>
          </w:p>
        </w:tc>
        <w:tc>
          <w:tcPr>
            <w:tcW w:type="dxa" w:w="24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6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Follow up with the owner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Level 2</w:t>
            </w:r>
          </w:p>
        </w:tc>
        <w:tc>
          <w:tcPr>
            <w:tcW w:type="dxa" w:w="21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e.g. 1 working day after breach</w:t>
            </w:r>
          </w:p>
        </w:tc>
        <w:tc>
          <w:tcPr>
            <w:tcW w:type="dxa" w:w="27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1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24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</w:tr>
      <w:tr>
        <w:trPr>
          <w:cantSplit/>
        </w:trPr>
        <w:tc>
          <w:tcPr>
            <w:tcW w:type="dxa" w:w="1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6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Level 3</w:t>
            </w:r>
          </w:p>
        </w:tc>
        <w:tc>
          <w:tcPr>
            <w:tcW w:type="dxa" w:w="21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6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e.g. 3 working days after breach</w:t>
            </w:r>
          </w:p>
        </w:tc>
        <w:tc>
          <w:tcPr>
            <w:tcW w:type="dxa" w:w="27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1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24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</w:tr>
      <w:tr>
        <w:trPr>
          <w:cantSplit/>
        </w:trPr>
        <w:tc>
          <w:tcPr>
            <w:tcW w:type="dxa" w:w="1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21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27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1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24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28848" w:sz="24"/>
              <w:bottom w:val="none" w:color="FFFFFF" w:sz="0"/>
              <w:right w:val="none" w:color="FFFFFF" w:sz="0"/>
            </w:tcBorders>
            <w:shd w:fill="EEF7F3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228848"/>
              </w:rPr>
              <w:t xml:space="preserve">Confidentiality: </w:t>
            </w:r>
            <w:r>
              <w:rPr>
                <w:rFonts w:ascii="Segoe UI" w:cs="Segoe UI" w:eastAsia="Segoe UI" w:hAnsi="Segoe UI"/>
                <w:color w:val="1D2B27"/>
              </w:rPr>
              <w:t xml:space="preserve">escalation emails carry only the reference number, status, owner and a link. Please confirm below if any recipient outside Jira (for example a board member) must receive them, as they would need Jira access to open the report.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0"/>
        <w:gridCol w:w="2000"/>
        <w:gridCol w:w="2600"/>
        <w:gridCol w:w="2238"/>
      </w:tblGrid>
      <w:tr>
        <w:trPr>
          <w:cantSplit/>
          <w:tblHeader/>
        </w:trPr>
        <w:tc>
          <w:tcPr>
            <w:tcW w:type="dxa" w:w="28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02463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Recipient outside the Compliance team</w:t>
            </w:r>
          </w:p>
        </w:tc>
        <w:tc>
          <w:tcPr>
            <w:tcW w:type="dxa" w:w="20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02463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26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02463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Email</w:t>
            </w:r>
          </w:p>
        </w:tc>
        <w:tc>
          <w:tcPr>
            <w:tcW w:type="dxa" w:w="22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02463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Needs Jira access? (Y/N)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20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26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22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</w:tr>
      <w:tr>
        <w:trPr>
          <w:cantSplit/>
        </w:trPr>
        <w:tc>
          <w:tcPr>
            <w:tcW w:type="dxa" w:w="28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20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26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22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</w:tr>
      <w:tr>
        <w:trPr>
          <w:cantSplit/>
        </w:trPr>
        <w:tc>
          <w:tcPr>
            <w:tcW w:type="dxa" w:w="28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20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26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22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</w:tr>
    </w:tbl>
    <w:p>
      <w:pPr>
        <w:pStyle w:val="Heading1"/>
        <w:pBdr>
          <w:bottom w:val="single" w:color="36B78E" w:sz="12" w:space="4"/>
        </w:pBdr>
        <w:spacing w:before="360" w:after="160"/>
      </w:pPr>
      <w:r>
        <w:rPr>
          <w:rFonts w:ascii="Segoe UI" w:cs="Segoe UI" w:eastAsia="Segoe UI" w:hAnsi="Segoe UI"/>
        </w:rPr>
        <w:t xml:space="preserve">6. Reporting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00"/>
        <w:gridCol w:w="3300"/>
        <w:gridCol w:w="3138"/>
      </w:tblGrid>
      <w:tr>
        <w:trPr>
          <w:cantSplit/>
          <w:tblHeader/>
        </w:trPr>
        <w:tc>
          <w:tcPr>
            <w:tcW w:type="dxa" w:w="3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02463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33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02463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Your answer</w:t>
            </w:r>
          </w:p>
        </w:tc>
        <w:tc>
          <w:tcPr>
            <w:tcW w:type="dxa" w:w="31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02463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Today (example)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color w:val="1D2B27"/>
                <w:sz w:val="18"/>
                <w:szCs w:val="18"/>
              </w:rPr>
              <w:t xml:space="preserve">SLA report needed?</w:t>
            </w:r>
          </w:p>
        </w:tc>
        <w:tc>
          <w:tcPr>
            <w:tcW w:type="dxa" w:w="33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31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Not configured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6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color w:val="1D2B27"/>
                <w:sz w:val="18"/>
                <w:szCs w:val="18"/>
              </w:rPr>
              <w:t xml:space="preserve">Frequency</w:t>
            </w:r>
          </w:p>
        </w:tc>
        <w:tc>
          <w:tcPr>
            <w:tcW w:type="dxa" w:w="33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31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6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e.g. monthly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color w:val="1D2B27"/>
                <w:sz w:val="18"/>
                <w:szCs w:val="18"/>
              </w:rPr>
              <w:t xml:space="preserve">Recipients</w:t>
            </w:r>
          </w:p>
        </w:tc>
        <w:tc>
          <w:tcPr>
            <w:tcW w:type="dxa" w:w="33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31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</w:tr>
      <w:tr>
        <w:trPr>
          <w:cantSplit/>
        </w:trPr>
        <w:tc>
          <w:tcPr>
            <w:tcW w:type="dxa" w:w="3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6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color w:val="1D2B27"/>
                <w:sz w:val="18"/>
                <w:szCs w:val="18"/>
              </w:rPr>
              <w:t xml:space="preserve">Content</w:t>
            </w:r>
          </w:p>
        </w:tc>
        <w:tc>
          <w:tcPr>
            <w:tcW w:type="dxa" w:w="33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31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6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e.g. % within target per SLA, breaches by category and group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color w:val="1D2B27"/>
                <w:sz w:val="18"/>
                <w:szCs w:val="18"/>
              </w:rPr>
              <w:t xml:space="preserve">Format</w:t>
            </w:r>
          </w:p>
        </w:tc>
        <w:tc>
          <w:tcPr>
            <w:tcW w:type="dxa" w:w="33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31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e.g. Jira dashboard / emailed PDF</w:t>
            </w:r>
          </w:p>
        </w:tc>
      </w:tr>
    </w:tbl>
    <w:p>
      <w:pPr>
        <w:pStyle w:val="Heading1"/>
        <w:pBdr>
          <w:bottom w:val="single" w:color="36B78E" w:sz="12" w:space="4"/>
        </w:pBdr>
        <w:spacing w:before="360" w:after="160"/>
      </w:pPr>
      <w:r>
        <w:rPr>
          <w:rFonts w:ascii="Segoe UI" w:cs="Segoe UI" w:eastAsia="Segoe UI" w:hAnsi="Segoe UI"/>
        </w:rPr>
        <w:t xml:space="preserve">7. Other requirements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8938"/>
      </w:tblGrid>
      <w:tr>
        <w:trPr>
          <w:cantSplit/>
          <w:tblHeader/>
        </w:trPr>
        <w:tc>
          <w:tcPr>
            <w:tcW w:type="dxa" w:w="7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02463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89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02463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89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</w:tr>
      <w:tr>
        <w:trPr>
          <w:cantSplit/>
        </w:trPr>
        <w:tc>
          <w:tcPr>
            <w:tcW w:type="dxa" w:w="7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89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</w:tr>
      <w:tr>
        <w:trPr>
          <w:cantSplit/>
        </w:trPr>
        <w:tc>
          <w:tcPr>
            <w:tcW w:type="dxa" w:w="7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89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</w:tr>
      <w:tr>
        <w:trPr>
          <w:cantSplit/>
        </w:trPr>
        <w:tc>
          <w:tcPr>
            <w:tcW w:type="dxa" w:w="7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89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</w:tr>
    </w:tbl>
    <w:p>
      <w:pPr>
        <w:pStyle w:val="Heading1"/>
        <w:pBdr>
          <w:bottom w:val="single" w:color="36B78E" w:sz="12" w:space="4"/>
        </w:pBdr>
        <w:spacing w:before="360" w:after="160"/>
      </w:pPr>
      <w:r>
        <w:rPr>
          <w:rFonts w:ascii="Segoe UI" w:cs="Segoe UI" w:eastAsia="Segoe UI" w:hAnsi="Segoe UI"/>
        </w:rPr>
        <w:t xml:space="preserve">8. Sign-off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2400"/>
        <w:gridCol w:w="2000"/>
        <w:gridCol w:w="1638"/>
      </w:tblGrid>
      <w:tr>
        <w:trPr>
          <w:cantSplit/>
          <w:tblHeader/>
        </w:trPr>
        <w:tc>
          <w:tcPr>
            <w:tcW w:type="dxa" w:w="36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02463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24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02463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dxa" w:w="20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02463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Signature</w:t>
            </w:r>
          </w:p>
        </w:tc>
        <w:tc>
          <w:tcPr>
            <w:tcW w:type="dxa" w:w="16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02463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color w:val="1D2B27"/>
                <w:sz w:val="18"/>
                <w:szCs w:val="18"/>
              </w:rPr>
              <w:t xml:space="preserve">Customer (ERC) – Head of Compliance</w:t>
            </w:r>
          </w:p>
        </w:tc>
        <w:tc>
          <w:tcPr>
            <w:tcW w:type="dxa" w:w="24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20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16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</w:tr>
      <w:tr>
        <w:trPr>
          <w:cantSplit/>
        </w:trPr>
        <w:tc>
          <w:tcPr>
            <w:tcW w:type="dxa" w:w="36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6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color w:val="1D2B27"/>
                <w:sz w:val="18"/>
                <w:szCs w:val="18"/>
              </w:rPr>
              <w:t xml:space="preserve">Customer (ERC) – IT / Service owner</w:t>
            </w:r>
          </w:p>
        </w:tc>
        <w:tc>
          <w:tcPr>
            <w:tcW w:type="dxa" w:w="24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20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16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</w:tr>
      <w:tr>
        <w:trPr>
          <w:cantSplit/>
        </w:trPr>
        <w:tc>
          <w:tcPr>
            <w:tcW w:type="dxa" w:w="36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color w:val="1D2B27"/>
                <w:sz w:val="18"/>
                <w:szCs w:val="18"/>
              </w:rPr>
              <w:t xml:space="preserve">Ejada – Implementation</w:t>
            </w:r>
          </w:p>
        </w:tc>
        <w:tc>
          <w:tcPr>
            <w:tcW w:type="dxa" w:w="24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r>
              <w:rPr>
                <w:rFonts w:ascii="Segoe UI" w:cs="Segoe UI" w:eastAsia="Segoe UI" w:hAnsi="Segoe UI"/>
                <w:i/>
                <w:iCs/>
                <w:color w:val="5E716B"/>
                <w:sz w:val="18"/>
                <w:szCs w:val="18"/>
              </w:rPr>
              <w:t xml:space="preserve">Doaa Mokhtar</w:t>
            </w:r>
          </w:p>
        </w:tc>
        <w:tc>
          <w:tcPr>
            <w:tcW w:type="dxa" w:w="2000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  <w:tc>
          <w:tcPr>
            <w:tcW w:type="dxa" w:w="1638"/>
            <w:tcBorders>
              <w:top w:val="single" w:color="D6E6DF" w:sz="4"/>
              <w:left w:val="single" w:color="D6E6DF" w:sz="4"/>
              <w:bottom w:val="single" w:color="D6E6DF" w:sz="4"/>
              <w:right w:val="single" w:color="D6E6DF" w:sz="4"/>
            </w:tcBorders>
            <w:shd w:fill="FFF8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/>
        </w:tc>
      </w:tr>
    </w:tbl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300" w:right="1134" w:bottom="1100" w:left="1134" w:header="500" w:footer="5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egoe UI" w:cs="Segoe UI" w:eastAsia="Segoe UI" w:hAnsi="Segoe UI"/>
        <w:color w:val="5E716B"/>
        <w:sz w:val="16"/>
        <w:szCs w:val="16"/>
      </w:rPr>
      <w:t xml:space="preserve">Page </w:t>
    </w:r>
    <w:r>
      <w:rPr>
        <w:rFonts w:ascii="Segoe UI" w:cs="Segoe UI" w:eastAsia="Segoe UI" w:hAnsi="Segoe UI"/>
        <w:color w:val="5E716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Segoe UI" w:cs="Segoe UI" w:eastAsia="Segoe UI" w:hAnsi="Segoe UI"/>
        <w:color w:val="5E716B"/>
        <w:sz w:val="16"/>
        <w:szCs w:val="16"/>
      </w:rPr>
      <w:t xml:space="preserve"> of </w:t>
    </w:r>
    <w:r>
      <w:rPr>
        <w:rFonts w:ascii="Segoe UI" w:cs="Segoe UI" w:eastAsia="Segoe UI" w:hAnsi="Segoe UI"/>
        <w:color w:val="5E716B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36B78E" w:sz="8" w:space="6"/>
      </w:pBdr>
      <w:tabs>
        <w:tab w:val="right" w:pos="9638"/>
      </w:tabs>
    </w:pPr>
    <w:r>
      <w:drawing>
        <wp:inline distT="0" distB="0" distL="0" distR="0">
          <wp:extent cx="342900" cy="304800"/>
          <wp:effectExtent t="0" r="0" b="0" l="0"/>
          <wp:docPr id="1" name="icon" descr="ERC icon" title="ER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42900" cy="3048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Segoe UI" w:cs="Segoe UI" w:eastAsia="Segoe UI" w:hAnsi="Segoe UI"/>
        <w:color w:val="5E716B"/>
        <w:sz w:val="16"/>
        <w:szCs w:val="16"/>
      </w:rPr>
      <w:t xml:space="preserve">	Speak Up – SLA Requirements Template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2884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color w:val="1D2B27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Segoe UI" w:cs="Segoe UI" w:eastAsia="Segoe UI" w:hAnsi="Segoe UI"/>
      <w:b/>
      <w:bCs/>
      <w:color w:val="024638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image" Target="media/475a1c18e0a58b65db45166228d9d6a40b7e4e93.png"/><Relationship Id="rId11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17303b470e73f85e34e72891e1ccaf60b10fdda2.png"/></Relationships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Speak Up – SLA Requirements Template</dc:title>
  <dc:creator>Doaa Mokhtar</dc:creator>
  <cp:lastModifiedBy>Un-named</cp:lastModifiedBy>
  <cp:revision>1</cp:revision>
  <dcterms:created xsi:type="dcterms:W3CDTF">2026-10-21T11:29:32.292Z</dcterms:created>
  <dcterms:modified xsi:type="dcterms:W3CDTF">2026-10-21T11:29:32.294Z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