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A30" w:rsidRDefault="003A1D15">
      <w:pPr>
        <w:spacing w:after="500"/>
      </w:pPr>
      <w:bookmarkStart w:id="0" w:name="_GoBack"/>
      <w:bookmarkEnd w:id="0"/>
      <w:r>
        <w:rPr>
          <w:noProof/>
        </w:rPr>
        <w:drawing>
          <wp:inline distT="0" distB="0" distL="0" distR="0">
            <wp:extent cx="2667000" cy="1047750"/>
            <wp:effectExtent l="0" t="0" r="0" b="0"/>
            <wp:docPr id="1" name="logo" descr="Expo 2030 Riyadh logo" title="Expo 2030 Riya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1047750"/>
                    </a:xfrm>
                    <a:prstGeom prst="rect">
                      <a:avLst/>
                    </a:prstGeom>
                  </pic:spPr>
                </pic:pic>
              </a:graphicData>
            </a:graphic>
          </wp:inline>
        </w:drawing>
      </w:r>
    </w:p>
    <w:tbl>
      <w:tblPr>
        <w:tblW w:w="9638" w:type="dxa"/>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B3A30">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024638"/>
            <w:tcMar>
              <w:top w:w="700" w:type="dxa"/>
              <w:left w:w="520" w:type="dxa"/>
              <w:bottom w:w="700" w:type="dxa"/>
              <w:right w:w="520" w:type="dxa"/>
            </w:tcMar>
          </w:tcPr>
          <w:p w:rsidR="003B3A30" w:rsidRDefault="003A1D15">
            <w:pPr>
              <w:spacing w:after="160"/>
            </w:pPr>
            <w:r>
              <w:rPr>
                <w:b/>
                <w:bCs/>
                <w:color w:val="36B78E"/>
                <w:sz w:val="22"/>
                <w:szCs w:val="22"/>
              </w:rPr>
              <w:t>●  SPEAK UP · USER GUIDE</w:t>
            </w:r>
          </w:p>
          <w:p w:rsidR="003B3A30" w:rsidRDefault="003A1D15">
            <w:pPr>
              <w:spacing w:after="240"/>
            </w:pPr>
            <w:r>
              <w:rPr>
                <w:b/>
                <w:bCs/>
                <w:color w:val="FFFFFF"/>
                <w:sz w:val="72"/>
                <w:szCs w:val="72"/>
              </w:rPr>
              <w:t>Speak Up</w:t>
            </w:r>
          </w:p>
          <w:p w:rsidR="003B3A30" w:rsidRDefault="003A1D15">
            <w:pPr>
              <w:spacing w:after="320"/>
            </w:pPr>
            <w:r>
              <w:rPr>
                <w:color w:val="CFE3DB"/>
                <w:sz w:val="26"/>
                <w:szCs w:val="26"/>
              </w:rPr>
              <w:t>How to submit, review and investigate reports in Jira Service Management</w:t>
            </w:r>
          </w:p>
          <w:p w:rsidR="003B3A30" w:rsidRDefault="003A1D15">
            <w:r>
              <w:rPr>
                <w:b/>
                <w:bCs/>
                <w:color w:val="024638"/>
                <w:sz w:val="20"/>
                <w:szCs w:val="20"/>
                <w:shd w:val="clear" w:color="auto" w:fill="36B78E"/>
              </w:rPr>
              <w:t>  DRAFT · SANDBOX  </w:t>
            </w:r>
          </w:p>
        </w:tc>
      </w:tr>
    </w:tbl>
    <w:p w:rsidR="003B3A30" w:rsidRDefault="003B3A30">
      <w:pPr>
        <w:spacing w:after="480"/>
      </w:pP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3B3A30">
        <w:tblPrEx>
          <w:tblCellMar>
            <w:top w:w="0" w:type="dxa"/>
            <w:bottom w:w="0" w:type="dxa"/>
          </w:tblCellMar>
        </w:tblPrEx>
        <w:trPr>
          <w:cantSplit/>
          <w:tblHeader/>
        </w:trPr>
        <w:tc>
          <w:tcPr>
            <w:tcW w:w="26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Item</w:t>
            </w:r>
          </w:p>
        </w:tc>
        <w:tc>
          <w:tcPr>
            <w:tcW w:w="703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Detail</w:t>
            </w:r>
          </w:p>
        </w:tc>
      </w:tr>
      <w:tr w:rsidR="003B3A30">
        <w:tblPrEx>
          <w:tblCellMar>
            <w:top w:w="0" w:type="dxa"/>
            <w:bottom w:w="0" w:type="dxa"/>
          </w:tblCellMar>
        </w:tblPrEx>
        <w:trPr>
          <w:cantSplit/>
        </w:trPr>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Document</w:t>
            </w:r>
          </w:p>
        </w:tc>
        <w:tc>
          <w:tcPr>
            <w:tcW w:w="70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Speak Up – User Guide</w:t>
            </w:r>
          </w:p>
        </w:tc>
      </w:tr>
      <w:tr w:rsidR="003B3A30">
        <w:tblPrEx>
          <w:tblCellMar>
            <w:top w:w="0" w:type="dxa"/>
            <w:bottom w:w="0" w:type="dxa"/>
          </w:tblCellMar>
        </w:tblPrEx>
        <w:trPr>
          <w:cantSplit/>
        </w:trPr>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Version</w:t>
            </w:r>
          </w:p>
        </w:tc>
        <w:tc>
          <w:tcPr>
            <w:tcW w:w="70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1.2 (draft)</w:t>
            </w:r>
          </w:p>
        </w:tc>
      </w:tr>
      <w:tr w:rsidR="003B3A30">
        <w:tblPrEx>
          <w:tblCellMar>
            <w:top w:w="0" w:type="dxa"/>
            <w:bottom w:w="0" w:type="dxa"/>
          </w:tblCellMar>
        </w:tblPrEx>
        <w:trPr>
          <w:cantSplit/>
        </w:trPr>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Date</w:t>
            </w:r>
          </w:p>
        </w:tc>
        <w:tc>
          <w:tcPr>
            <w:tcW w:w="70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21 October 2026</w:t>
            </w:r>
          </w:p>
        </w:tc>
      </w:tr>
      <w:tr w:rsidR="003B3A30">
        <w:tblPrEx>
          <w:tblCellMar>
            <w:top w:w="0" w:type="dxa"/>
            <w:bottom w:w="0" w:type="dxa"/>
          </w:tblCellMar>
        </w:tblPrEx>
        <w:trPr>
          <w:cantSplit/>
        </w:trPr>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Prepared by</w:t>
            </w:r>
          </w:p>
        </w:tc>
        <w:tc>
          <w:tcPr>
            <w:tcW w:w="70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Doaa Mokhtar</w:t>
            </w:r>
          </w:p>
        </w:tc>
      </w:tr>
      <w:tr w:rsidR="003B3A30">
        <w:tblPrEx>
          <w:tblCellMar>
            <w:top w:w="0" w:type="dxa"/>
            <w:bottom w:w="0" w:type="dxa"/>
          </w:tblCellMar>
        </w:tblPrEx>
        <w:trPr>
          <w:cantSplit/>
        </w:trPr>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Client</w:t>
            </w:r>
          </w:p>
        </w:tc>
        <w:tc>
          <w:tcPr>
            <w:tcW w:w="70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Expo 2030 Riyadh Company (ERC)</w:t>
            </w:r>
          </w:p>
        </w:tc>
      </w:tr>
      <w:tr w:rsidR="003B3A30">
        <w:tblPrEx>
          <w:tblCellMar>
            <w:top w:w="0" w:type="dxa"/>
            <w:bottom w:w="0" w:type="dxa"/>
          </w:tblCellMar>
        </w:tblPrEx>
        <w:trPr>
          <w:cantSplit/>
        </w:trPr>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Environment</w:t>
            </w:r>
          </w:p>
        </w:tc>
        <w:tc>
          <w:tcPr>
            <w:tcW w:w="70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Sandbox (erc-sd-sandbox.atlassian.net)</w:t>
            </w:r>
          </w:p>
        </w:tc>
      </w:tr>
      <w:tr w:rsidR="003B3A30">
        <w:tblPrEx>
          <w:tblCellMar>
            <w:top w:w="0" w:type="dxa"/>
            <w:bottom w:w="0" w:type="dxa"/>
          </w:tblCellMar>
        </w:tblPrEx>
        <w:trPr>
          <w:cantSplit/>
        </w:trPr>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Status</w:t>
            </w:r>
          </w:p>
        </w:tc>
        <w:tc>
          <w:tcPr>
            <w:tcW w:w="70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Draft – to be updated with live ERC data before release</w:t>
            </w:r>
          </w:p>
        </w:tc>
      </w:tr>
    </w:tbl>
    <w:p w:rsidR="003B3A30" w:rsidRDefault="003A1D15">
      <w:r>
        <w:br w:type="page"/>
      </w:r>
    </w:p>
    <w:p w:rsidR="003B3A30" w:rsidRDefault="003A1D15">
      <w:pPr>
        <w:spacing w:after="160"/>
      </w:pPr>
      <w:r>
        <w:rPr>
          <w:b/>
          <w:bCs/>
          <w:color w:val="024638"/>
          <w:sz w:val="32"/>
          <w:szCs w:val="32"/>
        </w:rPr>
        <w:lastRenderedPageBreak/>
        <w:t>Contents</w:t>
      </w:r>
    </w:p>
    <w:sdt>
      <w:sdtPr>
        <w:alias w:val="Contents"/>
        <w:id w:val="-2094934781"/>
      </w:sdtPr>
      <w:sdtEndPr/>
      <w:sdtContent>
        <w:p w:rsidR="003A1D15" w:rsidRDefault="003A1D15">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"1-1"</w:instrText>
          </w:r>
          <w:r>
            <w:fldChar w:fldCharType="separate"/>
          </w:r>
          <w:hyperlink w:anchor="_Toc243485398" w:history="1">
            <w:r w:rsidRPr="00FD4F00">
              <w:rPr>
                <w:rStyle w:val="Hyperlink"/>
                <w:noProof/>
              </w:rPr>
              <w:t>1. About the portal</w:t>
            </w:r>
            <w:r>
              <w:rPr>
                <w:noProof/>
              </w:rPr>
              <w:tab/>
            </w:r>
            <w:r>
              <w:rPr>
                <w:noProof/>
              </w:rPr>
              <w:fldChar w:fldCharType="begin"/>
            </w:r>
            <w:r>
              <w:rPr>
                <w:noProof/>
              </w:rPr>
              <w:instrText xml:space="preserve"> PAGEREF _Toc243485398 \h </w:instrText>
            </w:r>
            <w:r>
              <w:rPr>
                <w:noProof/>
              </w:rPr>
            </w:r>
            <w:r>
              <w:rPr>
                <w:noProof/>
              </w:rPr>
              <w:fldChar w:fldCharType="separate"/>
            </w:r>
            <w:r>
              <w:rPr>
                <w:noProof/>
              </w:rPr>
              <w:t>3</w:t>
            </w:r>
            <w:r>
              <w:rPr>
                <w:noProof/>
              </w:rPr>
              <w:fldChar w:fldCharType="end"/>
            </w:r>
          </w:hyperlink>
        </w:p>
        <w:p w:rsidR="003A1D15" w:rsidRDefault="003A1D15">
          <w:pPr>
            <w:pStyle w:val="TOC1"/>
            <w:tabs>
              <w:tab w:val="right" w:leader="dot" w:pos="9628"/>
            </w:tabs>
            <w:rPr>
              <w:rFonts w:asciiTheme="minorHAnsi" w:eastAsiaTheme="minorEastAsia" w:hAnsiTheme="minorHAnsi" w:cstheme="minorBidi"/>
              <w:noProof/>
              <w:color w:val="auto"/>
              <w:sz w:val="22"/>
              <w:szCs w:val="22"/>
            </w:rPr>
          </w:pPr>
          <w:hyperlink w:anchor="_Toc243485399" w:history="1">
            <w:r w:rsidRPr="00FD4F00">
              <w:rPr>
                <w:rStyle w:val="Hyperlink"/>
                <w:noProof/>
              </w:rPr>
              <w:t>2. How to submit a report</w:t>
            </w:r>
            <w:r>
              <w:rPr>
                <w:noProof/>
              </w:rPr>
              <w:tab/>
            </w:r>
            <w:r>
              <w:rPr>
                <w:noProof/>
              </w:rPr>
              <w:fldChar w:fldCharType="begin"/>
            </w:r>
            <w:r>
              <w:rPr>
                <w:noProof/>
              </w:rPr>
              <w:instrText xml:space="preserve"> PAGEREF _Toc243485399 \h </w:instrText>
            </w:r>
            <w:r>
              <w:rPr>
                <w:noProof/>
              </w:rPr>
            </w:r>
            <w:r>
              <w:rPr>
                <w:noProof/>
              </w:rPr>
              <w:fldChar w:fldCharType="separate"/>
            </w:r>
            <w:r>
              <w:rPr>
                <w:noProof/>
              </w:rPr>
              <w:t>3</w:t>
            </w:r>
            <w:r>
              <w:rPr>
                <w:noProof/>
              </w:rPr>
              <w:fldChar w:fldCharType="end"/>
            </w:r>
          </w:hyperlink>
        </w:p>
        <w:p w:rsidR="003A1D15" w:rsidRDefault="003A1D15">
          <w:pPr>
            <w:pStyle w:val="TOC1"/>
            <w:tabs>
              <w:tab w:val="right" w:leader="dot" w:pos="9628"/>
            </w:tabs>
            <w:rPr>
              <w:rFonts w:asciiTheme="minorHAnsi" w:eastAsiaTheme="minorEastAsia" w:hAnsiTheme="minorHAnsi" w:cstheme="minorBidi"/>
              <w:noProof/>
              <w:color w:val="auto"/>
              <w:sz w:val="22"/>
              <w:szCs w:val="22"/>
            </w:rPr>
          </w:pPr>
          <w:hyperlink w:anchor="_Toc243485400" w:history="1">
            <w:r w:rsidRPr="00FD4F00">
              <w:rPr>
                <w:rStyle w:val="Hyperlink"/>
                <w:noProof/>
              </w:rPr>
              <w:t>3. What happens after you submit</w:t>
            </w:r>
            <w:r>
              <w:rPr>
                <w:noProof/>
              </w:rPr>
              <w:tab/>
            </w:r>
            <w:r>
              <w:rPr>
                <w:noProof/>
              </w:rPr>
              <w:fldChar w:fldCharType="begin"/>
            </w:r>
            <w:r>
              <w:rPr>
                <w:noProof/>
              </w:rPr>
              <w:instrText xml:space="preserve"> PAGEREF _Toc243485400 \h </w:instrText>
            </w:r>
            <w:r>
              <w:rPr>
                <w:noProof/>
              </w:rPr>
            </w:r>
            <w:r>
              <w:rPr>
                <w:noProof/>
              </w:rPr>
              <w:fldChar w:fldCharType="separate"/>
            </w:r>
            <w:r>
              <w:rPr>
                <w:noProof/>
              </w:rPr>
              <w:t>4</w:t>
            </w:r>
            <w:r>
              <w:rPr>
                <w:noProof/>
              </w:rPr>
              <w:fldChar w:fldCharType="end"/>
            </w:r>
          </w:hyperlink>
        </w:p>
        <w:p w:rsidR="003A1D15" w:rsidRDefault="003A1D15">
          <w:pPr>
            <w:pStyle w:val="TOC1"/>
            <w:tabs>
              <w:tab w:val="right" w:leader="dot" w:pos="9628"/>
            </w:tabs>
            <w:rPr>
              <w:rFonts w:asciiTheme="minorHAnsi" w:eastAsiaTheme="minorEastAsia" w:hAnsiTheme="minorHAnsi" w:cstheme="minorBidi"/>
              <w:noProof/>
              <w:color w:val="auto"/>
              <w:sz w:val="22"/>
              <w:szCs w:val="22"/>
            </w:rPr>
          </w:pPr>
          <w:hyperlink w:anchor="_Toc243485401" w:history="1">
            <w:r w:rsidRPr="00FD4F00">
              <w:rPr>
                <w:rStyle w:val="Hyperlink"/>
                <w:noProof/>
              </w:rPr>
              <w:t>4. For the Compliance Manager</w:t>
            </w:r>
            <w:r>
              <w:rPr>
                <w:noProof/>
              </w:rPr>
              <w:tab/>
            </w:r>
            <w:r>
              <w:rPr>
                <w:noProof/>
              </w:rPr>
              <w:fldChar w:fldCharType="begin"/>
            </w:r>
            <w:r>
              <w:rPr>
                <w:noProof/>
              </w:rPr>
              <w:instrText xml:space="preserve"> PAGEREF _Toc243485401 \h </w:instrText>
            </w:r>
            <w:r>
              <w:rPr>
                <w:noProof/>
              </w:rPr>
            </w:r>
            <w:r>
              <w:rPr>
                <w:noProof/>
              </w:rPr>
              <w:fldChar w:fldCharType="separate"/>
            </w:r>
            <w:r>
              <w:rPr>
                <w:noProof/>
              </w:rPr>
              <w:t>4</w:t>
            </w:r>
            <w:r>
              <w:rPr>
                <w:noProof/>
              </w:rPr>
              <w:fldChar w:fldCharType="end"/>
            </w:r>
          </w:hyperlink>
        </w:p>
        <w:p w:rsidR="003A1D15" w:rsidRDefault="003A1D15">
          <w:pPr>
            <w:pStyle w:val="TOC1"/>
            <w:tabs>
              <w:tab w:val="right" w:leader="dot" w:pos="9628"/>
            </w:tabs>
            <w:rPr>
              <w:rFonts w:asciiTheme="minorHAnsi" w:eastAsiaTheme="minorEastAsia" w:hAnsiTheme="minorHAnsi" w:cstheme="minorBidi"/>
              <w:noProof/>
              <w:color w:val="auto"/>
              <w:sz w:val="22"/>
              <w:szCs w:val="22"/>
            </w:rPr>
          </w:pPr>
          <w:hyperlink w:anchor="_Toc243485402" w:history="1">
            <w:r w:rsidRPr="00FD4F00">
              <w:rPr>
                <w:rStyle w:val="Hyperlink"/>
                <w:noProof/>
              </w:rPr>
              <w:t>5. For investigation teams</w:t>
            </w:r>
            <w:r>
              <w:rPr>
                <w:noProof/>
              </w:rPr>
              <w:tab/>
            </w:r>
            <w:r>
              <w:rPr>
                <w:noProof/>
              </w:rPr>
              <w:fldChar w:fldCharType="begin"/>
            </w:r>
            <w:r>
              <w:rPr>
                <w:noProof/>
              </w:rPr>
              <w:instrText xml:space="preserve"> PAGEREF _Toc243485402 \h </w:instrText>
            </w:r>
            <w:r>
              <w:rPr>
                <w:noProof/>
              </w:rPr>
            </w:r>
            <w:r>
              <w:rPr>
                <w:noProof/>
              </w:rPr>
              <w:fldChar w:fldCharType="separate"/>
            </w:r>
            <w:r>
              <w:rPr>
                <w:noProof/>
              </w:rPr>
              <w:t>6</w:t>
            </w:r>
            <w:r>
              <w:rPr>
                <w:noProof/>
              </w:rPr>
              <w:fldChar w:fldCharType="end"/>
            </w:r>
          </w:hyperlink>
        </w:p>
        <w:p w:rsidR="003A1D15" w:rsidRDefault="003A1D15">
          <w:pPr>
            <w:pStyle w:val="TOC1"/>
            <w:tabs>
              <w:tab w:val="right" w:leader="dot" w:pos="9628"/>
            </w:tabs>
            <w:rPr>
              <w:rFonts w:asciiTheme="minorHAnsi" w:eastAsiaTheme="minorEastAsia" w:hAnsiTheme="minorHAnsi" w:cstheme="minorBidi"/>
              <w:noProof/>
              <w:color w:val="auto"/>
              <w:sz w:val="22"/>
              <w:szCs w:val="22"/>
            </w:rPr>
          </w:pPr>
          <w:hyperlink w:anchor="_Toc243485403" w:history="1">
            <w:r w:rsidRPr="00FD4F00">
              <w:rPr>
                <w:rStyle w:val="Hyperlink"/>
                <w:noProof/>
              </w:rPr>
              <w:t>6. Groups: who sees what and who can do what</w:t>
            </w:r>
            <w:r>
              <w:rPr>
                <w:noProof/>
              </w:rPr>
              <w:tab/>
            </w:r>
            <w:r>
              <w:rPr>
                <w:noProof/>
              </w:rPr>
              <w:fldChar w:fldCharType="begin"/>
            </w:r>
            <w:r>
              <w:rPr>
                <w:noProof/>
              </w:rPr>
              <w:instrText xml:space="preserve"> PAGEREF _Toc243485403 \h </w:instrText>
            </w:r>
            <w:r>
              <w:rPr>
                <w:noProof/>
              </w:rPr>
            </w:r>
            <w:r>
              <w:rPr>
                <w:noProof/>
              </w:rPr>
              <w:fldChar w:fldCharType="separate"/>
            </w:r>
            <w:r>
              <w:rPr>
                <w:noProof/>
              </w:rPr>
              <w:t>6</w:t>
            </w:r>
            <w:r>
              <w:rPr>
                <w:noProof/>
              </w:rPr>
              <w:fldChar w:fldCharType="end"/>
            </w:r>
          </w:hyperlink>
        </w:p>
        <w:p w:rsidR="003A1D15" w:rsidRDefault="003A1D15">
          <w:pPr>
            <w:pStyle w:val="TOC1"/>
            <w:tabs>
              <w:tab w:val="right" w:leader="dot" w:pos="9628"/>
            </w:tabs>
            <w:rPr>
              <w:rFonts w:asciiTheme="minorHAnsi" w:eastAsiaTheme="minorEastAsia" w:hAnsiTheme="minorHAnsi" w:cstheme="minorBidi"/>
              <w:noProof/>
              <w:color w:val="auto"/>
              <w:sz w:val="22"/>
              <w:szCs w:val="22"/>
            </w:rPr>
          </w:pPr>
          <w:hyperlink w:anchor="_Toc243485404" w:history="1">
            <w:r w:rsidRPr="00FD4F00">
              <w:rPr>
                <w:rStyle w:val="Hyperlink"/>
                <w:noProof/>
              </w:rPr>
              <w:t>7. Service levels and escalation</w:t>
            </w:r>
            <w:r>
              <w:rPr>
                <w:noProof/>
              </w:rPr>
              <w:tab/>
            </w:r>
            <w:r>
              <w:rPr>
                <w:noProof/>
              </w:rPr>
              <w:fldChar w:fldCharType="begin"/>
            </w:r>
            <w:r>
              <w:rPr>
                <w:noProof/>
              </w:rPr>
              <w:instrText xml:space="preserve"> PAGEREF _Toc243485404 \h </w:instrText>
            </w:r>
            <w:r>
              <w:rPr>
                <w:noProof/>
              </w:rPr>
            </w:r>
            <w:r>
              <w:rPr>
                <w:noProof/>
              </w:rPr>
              <w:fldChar w:fldCharType="separate"/>
            </w:r>
            <w:r>
              <w:rPr>
                <w:noProof/>
              </w:rPr>
              <w:t>8</w:t>
            </w:r>
            <w:r>
              <w:rPr>
                <w:noProof/>
              </w:rPr>
              <w:fldChar w:fldCharType="end"/>
            </w:r>
          </w:hyperlink>
        </w:p>
        <w:p w:rsidR="003B3A30" w:rsidRDefault="003A1D15">
          <w:r>
            <w:fldChar w:fldCharType="end"/>
          </w:r>
        </w:p>
      </w:sdtContent>
    </w:sdt>
    <w:p w:rsidR="003B3A30" w:rsidRDefault="003A1D15">
      <w:pPr>
        <w:spacing w:after="120" w:line="288" w:lineRule="auto"/>
      </w:pPr>
      <w:r>
        <w:rPr>
          <w:i/>
          <w:iCs/>
          <w:color w:val="5E716B"/>
          <w:sz w:val="18"/>
          <w:szCs w:val="18"/>
        </w:rPr>
        <w:t>Right-click the list and choose Update Field if page numbers are missing.</w:t>
      </w: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B3A30">
        <w:tblPrEx>
          <w:tblCellMar>
            <w:top w:w="0" w:type="dxa"/>
            <w:bottom w:w="0" w:type="dxa"/>
          </w:tblCellMar>
        </w:tblPrEx>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3B3A30" w:rsidRDefault="003A1D15">
            <w:r>
              <w:rPr>
                <w:b/>
                <w:bCs/>
                <w:color w:val="228848"/>
              </w:rPr>
              <w:t xml:space="preserve">DRAFT. </w:t>
            </w:r>
            <w:r>
              <w:t>This guide is based on the sandbox environment (erc-sd-sandbox). Links, groups and screenshots will be updated with the live ERC data before release.</w:t>
            </w:r>
          </w:p>
        </w:tc>
      </w:tr>
    </w:tbl>
    <w:p w:rsidR="003B3A30" w:rsidRDefault="003A1D15">
      <w:r>
        <w:br w:type="page"/>
      </w:r>
    </w:p>
    <w:p w:rsidR="003B3A30" w:rsidRDefault="003A1D15">
      <w:pPr>
        <w:pStyle w:val="Heading1"/>
        <w:pBdr>
          <w:bottom w:val="single" w:sz="12" w:space="4" w:color="36B78E"/>
        </w:pBdr>
        <w:spacing w:before="360" w:after="160"/>
      </w:pPr>
      <w:bookmarkStart w:id="1" w:name="_Toc243485398"/>
      <w:r>
        <w:lastRenderedPageBreak/>
        <w:t>1. About the portal</w:t>
      </w:r>
      <w:bookmarkEnd w:id="1"/>
    </w:p>
    <w:p w:rsidR="003B3A30" w:rsidRDefault="003A1D15">
      <w:pPr>
        <w:spacing w:after="120" w:line="288" w:lineRule="auto"/>
      </w:pPr>
      <w:r>
        <w:t>The Speak Up portal lets anyone report misconduct at ERC without signing in and without giving their name. Every report is classified first by the Compliance Manager, then investigated by the team responsible for that type of concern.</w:t>
      </w:r>
    </w:p>
    <w:p w:rsidR="003B3A30" w:rsidRDefault="003A1D15">
      <w:pPr>
        <w:pStyle w:val="ListParagraph"/>
        <w:numPr>
          <w:ilvl w:val="0"/>
          <w:numId w:val="2"/>
        </w:numPr>
        <w:spacing w:after="80" w:line="276" w:lineRule="auto"/>
      </w:pPr>
      <w:r>
        <w:rPr>
          <w:b/>
          <w:bCs/>
        </w:rPr>
        <w:t>Anonymous by default.</w:t>
      </w:r>
      <w:r>
        <w:rPr>
          <w:b/>
          <w:bCs/>
        </w:rPr>
        <w:t xml:space="preserve"> </w:t>
      </w:r>
      <w:r>
        <w:t>The email field is pre-filled with Anonymous@Anonymous.com. Leave it as it is to stay anonymous.</w:t>
      </w:r>
    </w:p>
    <w:p w:rsidR="003B3A30" w:rsidRDefault="003A1D15">
      <w:pPr>
        <w:pStyle w:val="ListParagraph"/>
        <w:numPr>
          <w:ilvl w:val="0"/>
          <w:numId w:val="2"/>
        </w:numPr>
        <w:spacing w:after="80" w:line="276" w:lineRule="auto"/>
      </w:pPr>
      <w:r>
        <w:rPr>
          <w:b/>
          <w:bCs/>
        </w:rPr>
        <w:t xml:space="preserve">Confidential. </w:t>
      </w:r>
      <w:r>
        <w:t>Only the Compliance team and the team assigned to investigate can see a report. Other staff, and other investigation teams, cannot.</w:t>
      </w:r>
    </w:p>
    <w:p w:rsidR="003B3A30" w:rsidRDefault="003A1D15">
      <w:pPr>
        <w:pStyle w:val="ListParagraph"/>
        <w:numPr>
          <w:ilvl w:val="0"/>
          <w:numId w:val="2"/>
        </w:numPr>
        <w:spacing w:after="80" w:line="276" w:lineRule="auto"/>
      </w:pPr>
      <w:r>
        <w:rPr>
          <w:b/>
          <w:bCs/>
        </w:rPr>
        <w:t>Optional con</w:t>
      </w:r>
      <w:r>
        <w:rPr>
          <w:b/>
          <w:bCs/>
        </w:rPr>
        <w:t xml:space="preserve">tact. </w:t>
      </w:r>
      <w:r>
        <w:t>A reporter who wants to be contacted can leave a phone number; nothing else identifies them.</w:t>
      </w:r>
    </w:p>
    <w:p w:rsidR="003B3A30" w:rsidRDefault="003B3A30">
      <w:pPr>
        <w:spacing w:after="60"/>
      </w:pP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00"/>
        <w:gridCol w:w="5238"/>
      </w:tblGrid>
      <w:tr w:rsidR="003B3A30">
        <w:tblPrEx>
          <w:tblCellMar>
            <w:top w:w="0" w:type="dxa"/>
            <w:bottom w:w="0" w:type="dxa"/>
          </w:tblCellMar>
        </w:tblPrEx>
        <w:trPr>
          <w:cantSplit/>
          <w:tblHeader/>
        </w:trPr>
        <w:tc>
          <w:tcPr>
            <w:tcW w:w="44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Who</w:t>
            </w:r>
          </w:p>
        </w:tc>
        <w:tc>
          <w:tcPr>
            <w:tcW w:w="523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Section to read</w:t>
            </w:r>
          </w:p>
        </w:tc>
      </w:tr>
      <w:tr w:rsidR="003B3A30">
        <w:tblPrEx>
          <w:tblCellMar>
            <w:top w:w="0" w:type="dxa"/>
            <w:bottom w:w="0" w:type="dxa"/>
          </w:tblCellMar>
        </w:tblPrEx>
        <w:trPr>
          <w:cantSplit/>
        </w:trPr>
        <w:tc>
          <w:tcPr>
            <w:tcW w:w="4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Anyone reporting a concern</w:t>
            </w:r>
          </w:p>
        </w:tc>
        <w:tc>
          <w:tcPr>
            <w:tcW w:w="52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2. How to submit a report</w:t>
            </w:r>
          </w:p>
        </w:tc>
      </w:tr>
      <w:tr w:rsidR="003B3A30">
        <w:tblPrEx>
          <w:tblCellMar>
            <w:top w:w="0" w:type="dxa"/>
            <w:bottom w:w="0" w:type="dxa"/>
          </w:tblCellMar>
        </w:tblPrEx>
        <w:trPr>
          <w:cantSplit/>
        </w:trPr>
        <w:tc>
          <w:tcPr>
            <w:tcW w:w="4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Compliance Manager (GRC-Compliance)</w:t>
            </w:r>
          </w:p>
        </w:tc>
        <w:tc>
          <w:tcPr>
            <w:tcW w:w="52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4. For the Compliance Manager</w:t>
            </w:r>
          </w:p>
        </w:tc>
      </w:tr>
      <w:tr w:rsidR="003B3A30">
        <w:tblPrEx>
          <w:tblCellMar>
            <w:top w:w="0" w:type="dxa"/>
            <w:bottom w:w="0" w:type="dxa"/>
          </w:tblCellMar>
        </w:tblPrEx>
        <w:trPr>
          <w:cantSplit/>
        </w:trPr>
        <w:tc>
          <w:tcPr>
            <w:tcW w:w="4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Investigation teams</w:t>
            </w:r>
          </w:p>
        </w:tc>
        <w:tc>
          <w:tcPr>
            <w:tcW w:w="52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5. For investigation teams</w:t>
            </w:r>
          </w:p>
        </w:tc>
      </w:tr>
      <w:tr w:rsidR="003B3A30">
        <w:tblPrEx>
          <w:tblCellMar>
            <w:top w:w="0" w:type="dxa"/>
            <w:bottom w:w="0" w:type="dxa"/>
          </w:tblCellMar>
        </w:tblPrEx>
        <w:trPr>
          <w:cantSplit/>
        </w:trPr>
        <w:tc>
          <w:tcPr>
            <w:tcW w:w="4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Head of Compliance (HO-Compliance)</w:t>
            </w:r>
          </w:p>
        </w:tc>
        <w:tc>
          <w:tcPr>
            <w:tcW w:w="52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7. Service levels and escalation</w:t>
            </w:r>
          </w:p>
        </w:tc>
      </w:tr>
    </w:tbl>
    <w:p w:rsidR="003B3A30" w:rsidRDefault="003A1D15">
      <w:pPr>
        <w:pStyle w:val="Heading1"/>
        <w:pBdr>
          <w:bottom w:val="single" w:sz="12" w:space="4" w:color="36B78E"/>
        </w:pBdr>
        <w:spacing w:before="360" w:after="160"/>
      </w:pPr>
      <w:bookmarkStart w:id="2" w:name="_Toc243485399"/>
      <w:r>
        <w:t>2. How to submit a report</w:t>
      </w:r>
      <w:bookmarkEnd w:id="2"/>
    </w:p>
    <w:p w:rsidR="003B3A30" w:rsidRDefault="003A1D15">
      <w:pPr>
        <w:spacing w:after="120" w:line="288" w:lineRule="auto"/>
      </w:pPr>
      <w:r>
        <w:t>Anyone can submit a report in about two minutes, with no account and no sign-in.</w:t>
      </w:r>
    </w:p>
    <w:p w:rsidR="003B3A30" w:rsidRDefault="003A1D15">
      <w:pPr>
        <w:pStyle w:val="ListParagraph"/>
        <w:numPr>
          <w:ilvl w:val="0"/>
          <w:numId w:val="3"/>
        </w:numPr>
        <w:spacing w:after="80" w:line="276" w:lineRule="auto"/>
      </w:pPr>
      <w:r>
        <w:t xml:space="preserve">Open the reporting form: </w:t>
      </w:r>
      <w:r>
        <w:rPr>
          <w:color w:val="228848"/>
          <w:u w:val="single"/>
        </w:rPr>
        <w:t>https://erc-sd-sandbox.atlassian.net/helpcenter/WhistleblowingReporting/portal/169/group/274/create/474?email=Anonymous%40Anonymous.com</w:t>
      </w:r>
    </w:p>
    <w:p w:rsidR="003B3A30" w:rsidRDefault="003A1D15">
      <w:pPr>
        <w:pStyle w:val="ListParagraph"/>
        <w:numPr>
          <w:ilvl w:val="1"/>
          <w:numId w:val="3"/>
        </w:numPr>
        <w:spacing w:after="80" w:line="276" w:lineRule="auto"/>
      </w:pPr>
      <w:r>
        <w:t>Use this exact link. Opening the portal from its home page leaves the email field empty.</w:t>
      </w:r>
    </w:p>
    <w:p w:rsidR="003B3A30" w:rsidRDefault="003A1D15">
      <w:pPr>
        <w:pStyle w:val="ListParagraph"/>
        <w:numPr>
          <w:ilvl w:val="0"/>
          <w:numId w:val="3"/>
        </w:numPr>
        <w:spacing w:after="80" w:line="276" w:lineRule="auto"/>
      </w:pPr>
      <w:r>
        <w:rPr>
          <w:b/>
          <w:bCs/>
        </w:rPr>
        <w:t xml:space="preserve">Email confirmation to </w:t>
      </w:r>
      <w:r>
        <w:t>is alread</w:t>
      </w:r>
      <w:r>
        <w:t>y filled with Anonymous@Anonymous.com. Leave it to stay anonymous, or replace it with your own email.</w:t>
      </w:r>
    </w:p>
    <w:p w:rsidR="003B3A30" w:rsidRDefault="003A1D15">
      <w:pPr>
        <w:pStyle w:val="ListParagraph"/>
        <w:numPr>
          <w:ilvl w:val="0"/>
          <w:numId w:val="3"/>
        </w:numPr>
        <w:spacing w:after="80" w:line="276" w:lineRule="auto"/>
      </w:pPr>
      <w:r>
        <w:rPr>
          <w:b/>
          <w:bCs/>
        </w:rPr>
        <w:t xml:space="preserve">Summary | </w:t>
      </w:r>
      <w:r>
        <w:rPr>
          <w:b/>
          <w:bCs/>
          <w:rtl/>
        </w:rPr>
        <w:t>الموضوع</w:t>
      </w:r>
      <w:r>
        <w:rPr>
          <w:b/>
          <w:bCs/>
        </w:rPr>
        <w:t xml:space="preserve">: </w:t>
      </w:r>
      <w:r>
        <w:t>a short title, for example "Supplier invoice inflated".</w:t>
      </w:r>
    </w:p>
    <w:p w:rsidR="003B3A30" w:rsidRDefault="003A1D15">
      <w:pPr>
        <w:pStyle w:val="ListParagraph"/>
        <w:numPr>
          <w:ilvl w:val="0"/>
          <w:numId w:val="3"/>
        </w:numPr>
        <w:spacing w:after="80" w:line="276" w:lineRule="auto"/>
      </w:pPr>
      <w:r>
        <w:rPr>
          <w:b/>
          <w:bCs/>
        </w:rPr>
        <w:t xml:space="preserve">Phone number | </w:t>
      </w:r>
      <w:r>
        <w:rPr>
          <w:b/>
          <w:bCs/>
          <w:rtl/>
        </w:rPr>
        <w:t>رقم</w:t>
      </w:r>
      <w:r>
        <w:rPr>
          <w:b/>
          <w:bCs/>
        </w:rPr>
        <w:t xml:space="preserve"> </w:t>
      </w:r>
      <w:r>
        <w:rPr>
          <w:b/>
          <w:bCs/>
          <w:rtl/>
        </w:rPr>
        <w:t>الجوال</w:t>
      </w:r>
      <w:r>
        <w:rPr>
          <w:b/>
          <w:bCs/>
        </w:rPr>
        <w:t xml:space="preserve"> </w:t>
      </w:r>
      <w:r>
        <w:t>(optional): only if you want the Compliance team to b</w:t>
      </w:r>
      <w:r>
        <w:t>e able to contact you.</w:t>
      </w:r>
    </w:p>
    <w:p w:rsidR="003B3A30" w:rsidRDefault="003A1D15">
      <w:pPr>
        <w:pStyle w:val="ListParagraph"/>
        <w:numPr>
          <w:ilvl w:val="0"/>
          <w:numId w:val="3"/>
        </w:numPr>
        <w:spacing w:after="80" w:line="276" w:lineRule="auto"/>
      </w:pPr>
      <w:r>
        <w:rPr>
          <w:b/>
          <w:bCs/>
        </w:rPr>
        <w:t xml:space="preserve">What are the details of your request? </w:t>
      </w:r>
      <w:r>
        <w:t>What happened, when, where and who was involved.</w:t>
      </w:r>
    </w:p>
    <w:p w:rsidR="003B3A30" w:rsidRDefault="003A1D15">
      <w:pPr>
        <w:pStyle w:val="ListParagraph"/>
        <w:numPr>
          <w:ilvl w:val="0"/>
          <w:numId w:val="3"/>
        </w:numPr>
        <w:spacing w:after="80" w:line="276" w:lineRule="auto"/>
      </w:pPr>
      <w:r>
        <w:rPr>
          <w:b/>
          <w:bCs/>
        </w:rPr>
        <w:t xml:space="preserve">Attachments </w:t>
      </w:r>
      <w:r>
        <w:t>(optional): documents or photos that support the report.</w:t>
      </w:r>
    </w:p>
    <w:p w:rsidR="003B3A30" w:rsidRDefault="003A1D15">
      <w:pPr>
        <w:pStyle w:val="ListParagraph"/>
        <w:numPr>
          <w:ilvl w:val="0"/>
          <w:numId w:val="3"/>
        </w:numPr>
        <w:spacing w:after="80" w:line="276" w:lineRule="auto"/>
      </w:pPr>
      <w:r>
        <w:t xml:space="preserve">Click </w:t>
      </w:r>
      <w:r>
        <w:rPr>
          <w:b/>
          <w:bCs/>
        </w:rPr>
        <w:t>Send</w:t>
      </w:r>
      <w:r>
        <w:t>. A reference number such as WB-36 is shown. Keep it if you want to</w:t>
      </w:r>
      <w:r>
        <w:t xml:space="preserve"> refer to your report later.</w:t>
      </w:r>
    </w:p>
    <w:p w:rsidR="003B3A30" w:rsidRDefault="003B3A30">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B3A30">
        <w:tblPrEx>
          <w:tblCellMar>
            <w:top w:w="0" w:type="dxa"/>
            <w:bottom w:w="0" w:type="dxa"/>
          </w:tblCellMar>
        </w:tblPrEx>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3B3A30" w:rsidRDefault="003A1D15">
            <w:r>
              <w:rPr>
                <w:b/>
                <w:bCs/>
                <w:color w:val="228848"/>
              </w:rPr>
              <w:t xml:space="preserve">Screenshot to add: </w:t>
            </w:r>
            <w:r>
              <w:t>the reporting form with the email pre-filled, and the confirmation screen after Send.</w:t>
            </w:r>
          </w:p>
        </w:tc>
      </w:tr>
    </w:tbl>
    <w:p w:rsidR="003B3A30" w:rsidRDefault="003A1D15">
      <w:pPr>
        <w:pStyle w:val="Heading1"/>
        <w:pBdr>
          <w:bottom w:val="single" w:sz="12" w:space="4" w:color="36B78E"/>
        </w:pBdr>
        <w:spacing w:before="360" w:after="160"/>
      </w:pPr>
      <w:bookmarkStart w:id="3" w:name="_Toc243485400"/>
      <w:r>
        <w:lastRenderedPageBreak/>
        <w:t>3. What happens after you submit</w:t>
      </w:r>
      <w:bookmarkEnd w:id="3"/>
    </w:p>
    <w:p w:rsidR="003B3A30" w:rsidRDefault="003A1D15">
      <w:pPr>
        <w:spacing w:after="120" w:line="288" w:lineRule="auto"/>
      </w:pPr>
      <w:r>
        <w:t>Every report gets two decisions, each within 2 working days: the Compliance Manager decides whether it is investigated, then the assigned team approves or rejects the investigation.</w:t>
      </w:r>
    </w:p>
    <w:p w:rsidR="003B3A30" w:rsidRDefault="003A1D15">
      <w:pPr>
        <w:spacing w:before="120" w:after="60"/>
        <w:jc w:val="center"/>
      </w:pPr>
      <w:r>
        <w:rPr>
          <w:noProof/>
        </w:rPr>
        <w:drawing>
          <wp:inline distT="0" distB="0" distL="0" distR="0">
            <wp:extent cx="5905500" cy="2809875"/>
            <wp:effectExtent l="0" t="0" r="0" b="0"/>
            <wp:docPr id="2"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09875"/>
                    </a:xfrm>
                    <a:prstGeom prst="rect">
                      <a:avLst/>
                    </a:prstGeom>
                  </pic:spPr>
                </pic:pic>
              </a:graphicData>
            </a:graphic>
          </wp:inline>
        </w:drawing>
      </w:r>
    </w:p>
    <w:p w:rsidR="003B3A30" w:rsidRDefault="003A1D15">
      <w:pPr>
        <w:spacing w:after="200"/>
        <w:jc w:val="center"/>
      </w:pPr>
      <w:r>
        <w:rPr>
          <w:i/>
          <w:iCs/>
          <w:color w:val="5E716B"/>
          <w:sz w:val="18"/>
          <w:szCs w:val="18"/>
        </w:rPr>
        <w:t>Figure 1 – Report workflow</w:t>
      </w:r>
    </w:p>
    <w:p w:rsidR="003B3A30" w:rsidRDefault="003A1D15">
      <w:pPr>
        <w:pStyle w:val="ListParagraph"/>
        <w:numPr>
          <w:ilvl w:val="0"/>
          <w:numId w:val="2"/>
        </w:numPr>
        <w:spacing w:after="80" w:line="276" w:lineRule="auto"/>
      </w:pPr>
      <w:r>
        <w:rPr>
          <w:b/>
          <w:bCs/>
        </w:rPr>
        <w:t xml:space="preserve">Approve </w:t>
      </w:r>
      <w:r>
        <w:t xml:space="preserve">and </w:t>
      </w:r>
      <w:r>
        <w:rPr>
          <w:b/>
          <w:bCs/>
        </w:rPr>
        <w:t xml:space="preserve">Reject </w:t>
      </w:r>
      <w:r>
        <w:t>are buttons next to the re</w:t>
      </w:r>
      <w:r>
        <w:t>port status. Each opens its own screen: Approve asks for the Investigation Outcome, Reject asks for a Rejection Reason.</w:t>
      </w:r>
    </w:p>
    <w:p w:rsidR="003B3A30" w:rsidRDefault="003A1D15">
      <w:pPr>
        <w:pStyle w:val="ListParagraph"/>
        <w:numPr>
          <w:ilvl w:val="0"/>
          <w:numId w:val="2"/>
        </w:numPr>
        <w:spacing w:after="80" w:line="276" w:lineRule="auto"/>
      </w:pPr>
      <w:r>
        <w:rPr>
          <w:b/>
          <w:bCs/>
        </w:rPr>
        <w:t xml:space="preserve">Retaliation reports </w:t>
      </w:r>
      <w:r>
        <w:t>need two approvals: Human Resources first, then Employee Relations.</w:t>
      </w:r>
    </w:p>
    <w:p w:rsidR="003B3A30" w:rsidRDefault="003A1D15">
      <w:pPr>
        <w:pStyle w:val="ListParagraph"/>
        <w:numPr>
          <w:ilvl w:val="0"/>
          <w:numId w:val="2"/>
        </w:numPr>
        <w:spacing w:after="80" w:line="276" w:lineRule="auto"/>
      </w:pPr>
      <w:r>
        <w:t xml:space="preserve">A team that rejects sends the report </w:t>
      </w:r>
      <w:r>
        <w:rPr>
          <w:b/>
          <w:bCs/>
        </w:rPr>
        <w:t>Back to Compliance</w:t>
      </w:r>
      <w:r>
        <w:t xml:space="preserve"> with its reason; the Compliance Manager can correct the classification and approve again, or close it.</w:t>
      </w:r>
    </w:p>
    <w:p w:rsidR="003B3A30" w:rsidRDefault="003A1D15">
      <w:pPr>
        <w:pStyle w:val="Heading1"/>
        <w:pBdr>
          <w:bottom w:val="single" w:sz="12" w:space="4" w:color="36B78E"/>
        </w:pBdr>
        <w:spacing w:before="360" w:after="160"/>
      </w:pPr>
      <w:bookmarkStart w:id="4" w:name="_Toc243485401"/>
      <w:r>
        <w:t>4. For the Compliance Manager</w:t>
      </w:r>
      <w:bookmarkEnd w:id="4"/>
    </w:p>
    <w:p w:rsidR="003B3A30" w:rsidRDefault="003A1D15">
      <w:pPr>
        <w:spacing w:after="120" w:line="288" w:lineRule="auto"/>
      </w:pPr>
      <w:r>
        <w:t>The Compliance Manager classifies every new report and decides whether it goes to investigation. You have 2 working days. You receive an email for every new report.</w:t>
      </w:r>
    </w:p>
    <w:p w:rsidR="003B3A30" w:rsidRDefault="003A1D15">
      <w:pPr>
        <w:pStyle w:val="ListParagraph"/>
        <w:numPr>
          <w:ilvl w:val="0"/>
          <w:numId w:val="4"/>
        </w:numPr>
        <w:spacing w:after="80" w:line="276" w:lineRule="auto"/>
      </w:pPr>
      <w:r>
        <w:t xml:space="preserve">Open the queue and open a report with status </w:t>
      </w:r>
      <w:r>
        <w:rPr>
          <w:b/>
          <w:bCs/>
        </w:rPr>
        <w:t>Open</w:t>
      </w:r>
      <w:r>
        <w:t xml:space="preserve"> (or </w:t>
      </w:r>
      <w:r>
        <w:rPr>
          <w:b/>
          <w:bCs/>
        </w:rPr>
        <w:t>Back to Compliance</w:t>
      </w:r>
      <w:r>
        <w:t>).</w:t>
      </w:r>
    </w:p>
    <w:p w:rsidR="003B3A30" w:rsidRDefault="003A1D15">
      <w:pPr>
        <w:pStyle w:val="ListParagraph"/>
        <w:numPr>
          <w:ilvl w:val="0"/>
          <w:numId w:val="4"/>
        </w:numPr>
        <w:spacing w:after="80" w:line="276" w:lineRule="auto"/>
      </w:pPr>
      <w:r>
        <w:t xml:space="preserve">Under </w:t>
      </w:r>
      <w:r>
        <w:rPr>
          <w:b/>
          <w:bCs/>
        </w:rPr>
        <w:t>Attached f</w:t>
      </w:r>
      <w:r>
        <w:rPr>
          <w:b/>
          <w:bCs/>
        </w:rPr>
        <w:t>orms</w:t>
      </w:r>
      <w:r>
        <w:t xml:space="preserve">, open the </w:t>
      </w:r>
      <w:r>
        <w:rPr>
          <w:b/>
          <w:bCs/>
        </w:rPr>
        <w:t>Compliance Approval</w:t>
      </w:r>
      <w:r>
        <w:t xml:space="preserve"> form. It is internal: the reporter never sees it.</w:t>
      </w:r>
    </w:p>
    <w:p w:rsidR="003B3A30" w:rsidRDefault="003A1D15">
      <w:pPr>
        <w:spacing w:before="120" w:after="60"/>
        <w:jc w:val="center"/>
      </w:pPr>
      <w:r>
        <w:rPr>
          <w:noProof/>
        </w:rPr>
        <w:lastRenderedPageBreak/>
        <w:drawing>
          <wp:inline distT="0" distB="0" distL="0" distR="0">
            <wp:extent cx="5334000" cy="2886075"/>
            <wp:effectExtent l="0" t="0" r="0" b="0"/>
            <wp:docPr id="3" name="form-attached.png" descr="form-attached.png" title="form-attac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86075"/>
                    </a:xfrm>
                    <a:prstGeom prst="rect">
                      <a:avLst/>
                    </a:prstGeom>
                  </pic:spPr>
                </pic:pic>
              </a:graphicData>
            </a:graphic>
          </wp:inline>
        </w:drawing>
      </w:r>
    </w:p>
    <w:p w:rsidR="003B3A30" w:rsidRDefault="003A1D15">
      <w:pPr>
        <w:spacing w:after="200"/>
        <w:jc w:val="center"/>
      </w:pPr>
      <w:r>
        <w:rPr>
          <w:i/>
          <w:iCs/>
          <w:color w:val="5E716B"/>
          <w:sz w:val="18"/>
          <w:szCs w:val="18"/>
        </w:rPr>
        <w:t>Figure 2 – The Compliance Approval form on a new report, not yet submitted</w:t>
      </w:r>
    </w:p>
    <w:p w:rsidR="003B3A30" w:rsidRDefault="003A1D15">
      <w:pPr>
        <w:pStyle w:val="ListParagraph"/>
        <w:numPr>
          <w:ilvl w:val="0"/>
          <w:numId w:val="4"/>
        </w:numPr>
        <w:spacing w:after="80" w:line="276" w:lineRule="auto"/>
      </w:pPr>
      <w:r>
        <w:t xml:space="preserve">Choose </w:t>
      </w:r>
      <w:r>
        <w:rPr>
          <w:b/>
          <w:bCs/>
        </w:rPr>
        <w:t>Report Category</w:t>
      </w:r>
      <w:r>
        <w:t>.</w:t>
      </w:r>
    </w:p>
    <w:p w:rsidR="003B3A30" w:rsidRDefault="003A1D15">
      <w:pPr>
        <w:pStyle w:val="ListParagraph"/>
        <w:numPr>
          <w:ilvl w:val="1"/>
          <w:numId w:val="4"/>
        </w:numPr>
        <w:spacing w:after="80" w:line="276" w:lineRule="auto"/>
      </w:pPr>
      <w:r>
        <w:t xml:space="preserve">If you choose </w:t>
      </w:r>
      <w:r>
        <w:rPr>
          <w:b/>
          <w:bCs/>
        </w:rPr>
        <w:t>Other</w:t>
      </w:r>
      <w:r>
        <w:t xml:space="preserve">, a second question appears: </w:t>
      </w:r>
      <w:r>
        <w:rPr>
          <w:b/>
          <w:bCs/>
        </w:rPr>
        <w:t>Investigating Function</w:t>
      </w:r>
      <w:r>
        <w:t>. Choose which team investigates. The form will not submit without it.</w:t>
      </w:r>
    </w:p>
    <w:p w:rsidR="003B3A30" w:rsidRDefault="003A1D15">
      <w:pPr>
        <w:pStyle w:val="ListParagraph"/>
        <w:numPr>
          <w:ilvl w:val="0"/>
          <w:numId w:val="4"/>
        </w:numPr>
        <w:spacing w:after="80" w:line="276" w:lineRule="auto"/>
      </w:pPr>
      <w:r>
        <w:t xml:space="preserve">Click </w:t>
      </w:r>
      <w:r>
        <w:rPr>
          <w:b/>
          <w:bCs/>
        </w:rPr>
        <w:t>Submit</w:t>
      </w:r>
      <w:r>
        <w:t xml:space="preserve"> on the form. Within a few seconds Investigating Function is filled in from the agreed table.</w:t>
      </w:r>
    </w:p>
    <w:p w:rsidR="003B3A30" w:rsidRDefault="003A1D15">
      <w:pPr>
        <w:spacing w:before="120" w:after="60"/>
        <w:jc w:val="center"/>
      </w:pPr>
      <w:r>
        <w:rPr>
          <w:noProof/>
        </w:rPr>
        <w:drawing>
          <wp:inline distT="0" distB="0" distL="0" distR="0">
            <wp:extent cx="5334000" cy="3276600"/>
            <wp:effectExtent l="0" t="0" r="0" b="0"/>
            <wp:docPr id="4" name="form-submitted.png" descr="form-submitted.png" title="form-submit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76600"/>
                    </a:xfrm>
                    <a:prstGeom prst="rect">
                      <a:avLst/>
                    </a:prstGeom>
                  </pic:spPr>
                </pic:pic>
              </a:graphicData>
            </a:graphic>
          </wp:inline>
        </w:drawing>
      </w:r>
    </w:p>
    <w:p w:rsidR="003B3A30" w:rsidRDefault="003A1D15">
      <w:pPr>
        <w:spacing w:after="200"/>
        <w:jc w:val="center"/>
      </w:pPr>
      <w:r>
        <w:rPr>
          <w:i/>
          <w:iCs/>
          <w:color w:val="5E716B"/>
          <w:sz w:val="18"/>
          <w:szCs w:val="18"/>
        </w:rPr>
        <w:t>Figure 3 – The form after submission: Report Category recorded</w:t>
      </w:r>
    </w:p>
    <w:p w:rsidR="003B3A30" w:rsidRDefault="003A1D15">
      <w:pPr>
        <w:pStyle w:val="ListParagraph"/>
        <w:numPr>
          <w:ilvl w:val="0"/>
          <w:numId w:val="4"/>
        </w:numPr>
        <w:spacing w:after="80" w:line="276" w:lineRule="auto"/>
      </w:pPr>
      <w:r>
        <w:t xml:space="preserve">Click </w:t>
      </w:r>
      <w:r>
        <w:rPr>
          <w:b/>
          <w:bCs/>
        </w:rPr>
        <w:t>Approve</w:t>
      </w:r>
      <w:r>
        <w:t xml:space="preserve"> </w:t>
      </w:r>
      <w:r>
        <w:t>next to the status: the report moves to Under Investigation, is routed to the right team, and that team gets an email.</w:t>
      </w:r>
    </w:p>
    <w:p w:rsidR="003B3A30" w:rsidRDefault="003A1D15">
      <w:pPr>
        <w:pStyle w:val="ListParagraph"/>
        <w:numPr>
          <w:ilvl w:val="0"/>
          <w:numId w:val="4"/>
        </w:numPr>
        <w:spacing w:after="80" w:line="276" w:lineRule="auto"/>
      </w:pPr>
      <w:r>
        <w:t xml:space="preserve">Or click </w:t>
      </w:r>
      <w:r>
        <w:rPr>
          <w:b/>
          <w:bCs/>
        </w:rPr>
        <w:t>Reject</w:t>
      </w:r>
      <w:r>
        <w:t xml:space="preserve">: choose a </w:t>
      </w:r>
      <w:r>
        <w:rPr>
          <w:b/>
          <w:bCs/>
        </w:rPr>
        <w:t>Rejection Reason</w:t>
      </w:r>
      <w:r>
        <w:t xml:space="preserve"> (required) and add a comment; the report closes as Rejected by Compliance.</w:t>
      </w:r>
    </w:p>
    <w:p w:rsidR="003B3A30" w:rsidRDefault="003B3A30">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B3A30">
        <w:tblPrEx>
          <w:tblCellMar>
            <w:top w:w="0" w:type="dxa"/>
            <w:bottom w:w="0" w:type="dxa"/>
          </w:tblCellMar>
        </w:tblPrEx>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3B3A30" w:rsidRDefault="003A1D15">
            <w:r>
              <w:rPr>
                <w:b/>
                <w:bCs/>
                <w:color w:val="228848"/>
              </w:rPr>
              <w:lastRenderedPageBreak/>
              <w:t xml:space="preserve">Good to know: </w:t>
            </w:r>
            <w:r>
              <w:t>Appr</w:t>
            </w:r>
            <w:r>
              <w:t>ove is blocked until the form is submitted. A submitted form is read-only: to change the classification of a report that came Back to Compliance, open the form menu (⋯) and choose Reopen, then submit it again. Investigating Function and Investigation Group</w:t>
            </w:r>
            <w:r>
              <w:t xml:space="preserve"> cannot be edited directly.</w:t>
            </w:r>
          </w:p>
        </w:tc>
      </w:tr>
    </w:tbl>
    <w:p w:rsidR="003B3A30" w:rsidRDefault="003A1D15">
      <w:pPr>
        <w:pStyle w:val="Heading1"/>
        <w:pBdr>
          <w:bottom w:val="single" w:sz="12" w:space="4" w:color="36B78E"/>
        </w:pBdr>
        <w:spacing w:before="360" w:after="160"/>
      </w:pPr>
      <w:bookmarkStart w:id="5" w:name="_Toc243485402"/>
      <w:r>
        <w:t>5. For investigation teams</w:t>
      </w:r>
      <w:bookmarkEnd w:id="5"/>
    </w:p>
    <w:p w:rsidR="003B3A30" w:rsidRDefault="003A1D15">
      <w:pPr>
        <w:spacing w:after="120" w:line="288" w:lineRule="auto"/>
      </w:pPr>
      <w:r>
        <w:t>An investigation team sees a report only after the Compliance Manager approves it and routes it to them. You have 2 working days to decide.</w:t>
      </w:r>
    </w:p>
    <w:p w:rsidR="003B3A30" w:rsidRDefault="003A1D15">
      <w:pPr>
        <w:pStyle w:val="ListParagraph"/>
        <w:numPr>
          <w:ilvl w:val="0"/>
          <w:numId w:val="5"/>
        </w:numPr>
        <w:spacing w:after="80" w:line="276" w:lineRule="auto"/>
      </w:pPr>
      <w:r>
        <w:t xml:space="preserve">You receive an email: </w:t>
      </w:r>
      <w:r>
        <w:rPr>
          <w:b/>
          <w:bCs/>
        </w:rPr>
        <w:t>New report assigned to your team</w:t>
      </w:r>
      <w:r>
        <w:t>. Click Open the report, or find it in the queue.</w:t>
      </w:r>
    </w:p>
    <w:p w:rsidR="003B3A30" w:rsidRDefault="003A1D15">
      <w:pPr>
        <w:pStyle w:val="ListParagraph"/>
        <w:numPr>
          <w:ilvl w:val="0"/>
          <w:numId w:val="5"/>
        </w:numPr>
        <w:spacing w:after="80" w:line="276" w:lineRule="auto"/>
      </w:pPr>
      <w:r>
        <w:t>Read the report and its attachments.</w:t>
      </w:r>
    </w:p>
    <w:p w:rsidR="003B3A30" w:rsidRDefault="003A1D15">
      <w:pPr>
        <w:pStyle w:val="ListParagraph"/>
        <w:numPr>
          <w:ilvl w:val="0"/>
          <w:numId w:val="5"/>
        </w:numPr>
        <w:spacing w:after="80" w:line="276" w:lineRule="auto"/>
      </w:pPr>
      <w:r>
        <w:t xml:space="preserve">Click </w:t>
      </w:r>
      <w:r>
        <w:rPr>
          <w:b/>
          <w:bCs/>
        </w:rPr>
        <w:t>Approve</w:t>
      </w:r>
      <w:r>
        <w:t xml:space="preserve"> next to the status. Choose the </w:t>
      </w:r>
      <w:r>
        <w:rPr>
          <w:b/>
          <w:bCs/>
        </w:rPr>
        <w:t>Investigation Outcome</w:t>
      </w:r>
      <w:r>
        <w:t xml:space="preserve"> (Substantiated, Partially substantiated or Not substantiated), add a comment and confirm. The report m</w:t>
      </w:r>
      <w:r>
        <w:t>oves to Investigation Approved.</w:t>
      </w:r>
    </w:p>
    <w:p w:rsidR="003B3A30" w:rsidRDefault="003A1D15">
      <w:pPr>
        <w:pStyle w:val="ListParagraph"/>
        <w:numPr>
          <w:ilvl w:val="0"/>
          <w:numId w:val="5"/>
        </w:numPr>
        <w:spacing w:after="80" w:line="276" w:lineRule="auto"/>
      </w:pPr>
      <w:r>
        <w:t xml:space="preserve">Or click </w:t>
      </w:r>
      <w:r>
        <w:rPr>
          <w:b/>
          <w:bCs/>
        </w:rPr>
        <w:t>Reject</w:t>
      </w:r>
      <w:r>
        <w:t xml:space="preserve">, choose a </w:t>
      </w:r>
      <w:r>
        <w:rPr>
          <w:b/>
          <w:bCs/>
        </w:rPr>
        <w:t>Rejection Reason</w:t>
      </w:r>
      <w:r>
        <w:t xml:space="preserve"> (insufficient information, duplicate, out of scope or Wrong category), add a comment and confirm. The report returns to the Compliance Manager as Back to Compliance.</w:t>
      </w:r>
    </w:p>
    <w:p w:rsidR="003B3A30" w:rsidRDefault="003A1D15">
      <w:pPr>
        <w:spacing w:before="200" w:after="100"/>
      </w:pPr>
      <w:r>
        <w:rPr>
          <w:b/>
          <w:bCs/>
          <w:color w:val="228848"/>
          <w:sz w:val="24"/>
          <w:szCs w:val="24"/>
        </w:rPr>
        <w:t>Retaliation reports</w:t>
      </w:r>
    </w:p>
    <w:p w:rsidR="003B3A30" w:rsidRDefault="003A1D15">
      <w:pPr>
        <w:pStyle w:val="ListParagraph"/>
        <w:numPr>
          <w:ilvl w:val="0"/>
          <w:numId w:val="2"/>
        </w:numPr>
        <w:spacing w:after="80" w:line="276" w:lineRule="auto"/>
      </w:pPr>
      <w:r>
        <w:rPr>
          <w:b/>
          <w:bCs/>
        </w:rPr>
        <w:t xml:space="preserve">Human Resources </w:t>
      </w:r>
      <w:r>
        <w:t xml:space="preserve">approves first, with the Investigation Outcome. The report moves to </w:t>
      </w:r>
      <w:r>
        <w:rPr>
          <w:b/>
          <w:bCs/>
        </w:rPr>
        <w:t>Pending Employee Relations Approval</w:t>
      </w:r>
      <w:r>
        <w:t>.</w:t>
      </w:r>
    </w:p>
    <w:p w:rsidR="003B3A30" w:rsidRDefault="003A1D15">
      <w:pPr>
        <w:pStyle w:val="ListParagraph"/>
        <w:numPr>
          <w:ilvl w:val="0"/>
          <w:numId w:val="2"/>
        </w:numPr>
        <w:spacing w:after="80" w:line="276" w:lineRule="auto"/>
      </w:pPr>
      <w:r>
        <w:rPr>
          <w:b/>
          <w:bCs/>
        </w:rPr>
        <w:t xml:space="preserve">Employee Relations </w:t>
      </w:r>
      <w:r>
        <w:t>then approves (the report moves to Investigation Approved) or rejects with a reason (Back to Com</w:t>
      </w:r>
      <w:r>
        <w:t>pliance).</w:t>
      </w:r>
    </w:p>
    <w:p w:rsidR="003B3A30" w:rsidRDefault="003B3A30">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B3A30">
        <w:tblPrEx>
          <w:tblCellMar>
            <w:top w:w="0" w:type="dxa"/>
            <w:bottom w:w="0" w:type="dxa"/>
          </w:tblCellMar>
        </w:tblPrEx>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3B3A30" w:rsidRDefault="003A1D15">
            <w:r>
              <w:rPr>
                <w:b/>
                <w:bCs/>
                <w:color w:val="228848"/>
              </w:rPr>
              <w:t xml:space="preserve">Good to know: </w:t>
            </w:r>
            <w:r>
              <w:t>Neither Approve nor Reject can be saved without its required field. Teams cannot change the category, the investigating function, the group or the form; if the category is wrong, reject with "Wrong category"</w:t>
            </w:r>
            <w:r>
              <w:t>. Teams cannot see reports assigned to other teams.</w:t>
            </w:r>
          </w:p>
        </w:tc>
      </w:tr>
    </w:tbl>
    <w:p w:rsidR="003B3A30" w:rsidRDefault="003B3A30">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B3A30">
        <w:tblPrEx>
          <w:tblCellMar>
            <w:top w:w="0" w:type="dxa"/>
            <w:bottom w:w="0" w:type="dxa"/>
          </w:tblCellMar>
        </w:tblPrEx>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3B3A30" w:rsidRDefault="003A1D15">
            <w:r>
              <w:rPr>
                <w:b/>
                <w:bCs/>
                <w:color w:val="228848"/>
              </w:rPr>
              <w:t xml:space="preserve">Screenshot to add: </w:t>
            </w:r>
            <w:r>
              <w:t>the Approve screen with Investigation Outcome, and the Reject screen with Rejection Reason.</w:t>
            </w:r>
          </w:p>
        </w:tc>
      </w:tr>
    </w:tbl>
    <w:p w:rsidR="003B3A30" w:rsidRDefault="003A1D15">
      <w:pPr>
        <w:pStyle w:val="Heading1"/>
        <w:pBdr>
          <w:bottom w:val="single" w:sz="12" w:space="4" w:color="36B78E"/>
        </w:pBdr>
        <w:spacing w:before="360" w:after="160"/>
      </w:pPr>
      <w:bookmarkStart w:id="6" w:name="_Toc243485403"/>
      <w:r>
        <w:t>6. Groups: who sees what and who can do what</w:t>
      </w:r>
      <w:bookmarkEnd w:id="6"/>
    </w:p>
    <w:p w:rsidR="003B3A30" w:rsidRDefault="003A1D15">
      <w:pPr>
        <w:spacing w:after="120" w:line="288" w:lineRule="auto"/>
      </w:pPr>
      <w:r>
        <w:t>Access comes only from group membership; each</w:t>
      </w:r>
      <w:r>
        <w:t xml:space="preserve"> investigation team sees only the reports routed to it.</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650"/>
        <w:gridCol w:w="2400"/>
        <w:gridCol w:w="3588"/>
      </w:tblGrid>
      <w:tr w:rsidR="003B3A30">
        <w:tblPrEx>
          <w:tblCellMar>
            <w:top w:w="0" w:type="dxa"/>
            <w:bottom w:w="0" w:type="dxa"/>
          </w:tblCellMar>
        </w:tblPrEx>
        <w:trPr>
          <w:cantSplit/>
          <w:tblHeader/>
        </w:trPr>
        <w:tc>
          <w:tcPr>
            <w:tcW w:w="20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Group</w:t>
            </w:r>
          </w:p>
        </w:tc>
        <w:tc>
          <w:tcPr>
            <w:tcW w:w="165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Role</w:t>
            </w:r>
          </w:p>
        </w:tc>
        <w:tc>
          <w:tcPr>
            <w:tcW w:w="24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Sees</w:t>
            </w:r>
          </w:p>
        </w:tc>
        <w:tc>
          <w:tcPr>
            <w:tcW w:w="358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Can do</w:t>
            </w:r>
          </w:p>
        </w:tc>
      </w:tr>
      <w:tr w:rsidR="003B3A30">
        <w:tblPrEx>
          <w:tblCellMar>
            <w:top w:w="0" w:type="dxa"/>
            <w:bottom w:w="0" w:type="dxa"/>
          </w:tblCellMar>
        </w:tblPrEx>
        <w:trPr>
          <w:cantSplit/>
        </w:trPr>
        <w:tc>
          <w:tcPr>
            <w:tcW w:w="20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GRC-Compliance</w:t>
            </w:r>
          </w:p>
        </w:tc>
        <w:tc>
          <w:tcPr>
            <w:tcW w:w="165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Compliance Manager</w:t>
            </w:r>
          </w:p>
        </w:tc>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All reports</w:t>
            </w:r>
          </w:p>
        </w:tc>
        <w:tc>
          <w:tcPr>
            <w:tcW w:w="358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Fill and submit the Compliance Approval form, Approve or Reject new reports, receives the new-report email</w:t>
            </w:r>
          </w:p>
        </w:tc>
      </w:tr>
      <w:tr w:rsidR="003B3A30">
        <w:tblPrEx>
          <w:tblCellMar>
            <w:top w:w="0" w:type="dxa"/>
            <w:bottom w:w="0" w:type="dxa"/>
          </w:tblCellMar>
        </w:tblPrEx>
        <w:trPr>
          <w:cantSplit/>
        </w:trPr>
        <w:tc>
          <w:tcPr>
            <w:tcW w:w="20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lastRenderedPageBreak/>
              <w:t>Internal Audit</w:t>
            </w:r>
          </w:p>
        </w:tc>
        <w:tc>
          <w:tcPr>
            <w:tcW w:w="165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Reports routed to Internal Audit</w:t>
            </w:r>
          </w:p>
        </w:tc>
        <w:tc>
          <w:tcPr>
            <w:tcW w:w="358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Approve with an Investigation Outcome, Reject with a reason, receives the assignment email</w:t>
            </w:r>
          </w:p>
        </w:tc>
      </w:tr>
      <w:tr w:rsidR="003B3A30">
        <w:tblPrEx>
          <w:tblCellMar>
            <w:top w:w="0" w:type="dxa"/>
            <w:bottom w:w="0" w:type="dxa"/>
          </w:tblCellMar>
        </w:tblPrEx>
        <w:trPr>
          <w:cantSplit/>
        </w:trPr>
        <w:tc>
          <w:tcPr>
            <w:tcW w:w="20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Human Resources</w:t>
            </w:r>
          </w:p>
        </w:tc>
        <w:tc>
          <w:tcPr>
            <w:tcW w:w="165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Reports routed to HR, including Retaliation</w:t>
            </w:r>
          </w:p>
        </w:tc>
        <w:tc>
          <w:tcPr>
            <w:tcW w:w="358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Same as Internal Audit; first approval on Retaliation</w:t>
            </w:r>
          </w:p>
        </w:tc>
      </w:tr>
      <w:tr w:rsidR="003B3A30">
        <w:tblPrEx>
          <w:tblCellMar>
            <w:top w:w="0" w:type="dxa"/>
            <w:bottom w:w="0" w:type="dxa"/>
          </w:tblCellMar>
        </w:tblPrEx>
        <w:trPr>
          <w:cantSplit/>
        </w:trPr>
        <w:tc>
          <w:tcPr>
            <w:tcW w:w="20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Employee Relations</w:t>
            </w:r>
          </w:p>
        </w:tc>
        <w:tc>
          <w:tcPr>
            <w:tcW w:w="165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Retaliation reports</w:t>
            </w:r>
          </w:p>
        </w:tc>
        <w:tc>
          <w:tcPr>
            <w:tcW w:w="358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Second approval or rejection on Retaliation</w:t>
            </w:r>
          </w:p>
        </w:tc>
      </w:tr>
      <w:tr w:rsidR="003B3A30">
        <w:tblPrEx>
          <w:tblCellMar>
            <w:top w:w="0" w:type="dxa"/>
            <w:bottom w:w="0" w:type="dxa"/>
          </w:tblCellMar>
        </w:tblPrEx>
        <w:trPr>
          <w:cantSplit/>
        </w:trPr>
        <w:tc>
          <w:tcPr>
            <w:tcW w:w="20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Health and Safety Representative</w:t>
            </w:r>
          </w:p>
        </w:tc>
        <w:tc>
          <w:tcPr>
            <w:tcW w:w="165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Reports routed to Health and Safety</w:t>
            </w:r>
          </w:p>
        </w:tc>
        <w:tc>
          <w:tcPr>
            <w:tcW w:w="358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Same as Internal Audit</w:t>
            </w:r>
          </w:p>
        </w:tc>
      </w:tr>
      <w:tr w:rsidR="003B3A30">
        <w:tblPrEx>
          <w:tblCellMar>
            <w:top w:w="0" w:type="dxa"/>
            <w:bottom w:w="0" w:type="dxa"/>
          </w:tblCellMar>
        </w:tblPrEx>
        <w:trPr>
          <w:cantSplit/>
        </w:trPr>
        <w:tc>
          <w:tcPr>
            <w:tcW w:w="20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Information Security</w:t>
            </w:r>
          </w:p>
        </w:tc>
        <w:tc>
          <w:tcPr>
            <w:tcW w:w="165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Reports routed to Information Security</w:t>
            </w:r>
          </w:p>
        </w:tc>
        <w:tc>
          <w:tcPr>
            <w:tcW w:w="358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Same as Internal Audit</w:t>
            </w:r>
          </w:p>
        </w:tc>
      </w:tr>
      <w:tr w:rsidR="003B3A30">
        <w:tblPrEx>
          <w:tblCellMar>
            <w:top w:w="0" w:type="dxa"/>
            <w:bottom w:w="0" w:type="dxa"/>
          </w:tblCellMar>
        </w:tblPrEx>
        <w:trPr>
          <w:cantSplit/>
        </w:trPr>
        <w:tc>
          <w:tcPr>
            <w:tcW w:w="20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HO-Compliance</w:t>
            </w:r>
          </w:p>
        </w:tc>
        <w:tc>
          <w:tcPr>
            <w:tcW w:w="165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Head of Compliance</w:t>
            </w:r>
          </w:p>
        </w:tc>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Escalation emails</w:t>
            </w:r>
          </w:p>
        </w:tc>
        <w:tc>
          <w:tcPr>
            <w:tcW w:w="358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Receives an escalation email when a stage passes its 2-working-day target</w:t>
            </w:r>
          </w:p>
        </w:tc>
      </w:tr>
      <w:tr w:rsidR="003B3A30">
        <w:tblPrEx>
          <w:tblCellMar>
            <w:top w:w="0" w:type="dxa"/>
            <w:bottom w:w="0" w:type="dxa"/>
          </w:tblCellMar>
        </w:tblPrEx>
        <w:trPr>
          <w:cantSplit/>
        </w:trPr>
        <w:tc>
          <w:tcPr>
            <w:tcW w:w="20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FollowUP TKT</w:t>
            </w:r>
          </w:p>
        </w:tc>
        <w:tc>
          <w:tcPr>
            <w:tcW w:w="165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Oversight</w:t>
            </w:r>
          </w:p>
        </w:tc>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All reports</w:t>
            </w:r>
          </w:p>
        </w:tc>
        <w:tc>
          <w:tcPr>
            <w:tcW w:w="358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View and edit; keep this group small</w:t>
            </w:r>
          </w:p>
        </w:tc>
      </w:tr>
    </w:tbl>
    <w:p w:rsidR="003B3A30" w:rsidRDefault="003B3A30">
      <w:pPr>
        <w:spacing w:after="160"/>
      </w:pPr>
    </w:p>
    <w:p w:rsidR="003B3A30" w:rsidRDefault="003A1D15">
      <w:pPr>
        <w:spacing w:after="120" w:line="288" w:lineRule="auto"/>
      </w:pPr>
      <w:r>
        <w:t>Which team investigates is set by the report category:</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0"/>
        <w:gridCol w:w="2600"/>
        <w:gridCol w:w="2738"/>
      </w:tblGrid>
      <w:tr w:rsidR="003B3A30">
        <w:tblPrEx>
          <w:tblCellMar>
            <w:top w:w="0" w:type="dxa"/>
            <w:bottom w:w="0" w:type="dxa"/>
          </w:tblCellMar>
        </w:tblPrEx>
        <w:trPr>
          <w:cantSplit/>
          <w:tblHeader/>
        </w:trPr>
        <w:tc>
          <w:tcPr>
            <w:tcW w:w="43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Report category</w:t>
            </w:r>
          </w:p>
        </w:tc>
        <w:tc>
          <w:tcPr>
            <w:tcW w:w="26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Investigating function</w:t>
            </w:r>
          </w:p>
        </w:tc>
        <w:tc>
          <w:tcPr>
            <w:tcW w:w="273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Group</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Fraud, Theft, Embezzlement or Asset Misappropriation</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Internal Audit</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Internal Audit</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Bribery, Corruption, Kickbacks or Trading in Influence</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Internal Audit</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Internal Audit</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Money Laundering, Terrorist Financing or Sanctions Concerns</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GRC-Compliance Manager</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GRC-Compliance</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Procurement Manipulation, Collusion, Bid Rigging or Conflict of Interest</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Internal Audit</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Internal Audit</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Harassment, Discrimination, Bullying or Abuse of Authority</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Human Resources</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Human Resources</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Health, Safety, Environmental or Heritage-Protection Breach</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Health and Safety representative</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Health and Safety Representative</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Information Security, Data Protection or Systems Misuse</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Information Security</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Information Security</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Other Regulatory or License Compliance Breach</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GRC-Compliance Manager</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GRC-Compliance</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Retaliation Against a Reporter or Witness</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Human Resources</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Human Resources, then Employee Relations</w:t>
            </w:r>
          </w:p>
        </w:tc>
      </w:tr>
      <w:tr w:rsidR="003B3A30">
        <w:tblPrEx>
          <w:tblCellMar>
            <w:top w:w="0" w:type="dxa"/>
            <w:bottom w:w="0" w:type="dxa"/>
          </w:tblCellMar>
        </w:tblPrEx>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Other</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Chosen by the Compliance Manager in the form</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Follows the chosen function</w:t>
            </w:r>
          </w:p>
        </w:tc>
      </w:tr>
    </w:tbl>
    <w:p w:rsidR="003B3A30" w:rsidRDefault="003B3A30">
      <w:pPr>
        <w:spacing w:after="12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B3A30">
        <w:tblPrEx>
          <w:tblCellMar>
            <w:top w:w="0" w:type="dxa"/>
            <w:bottom w:w="0" w:type="dxa"/>
          </w:tblCellMar>
        </w:tblPrEx>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3B3A30" w:rsidRDefault="003A1D15">
            <w:r>
              <w:rPr>
                <w:b/>
                <w:bCs/>
                <w:color w:val="228848"/>
              </w:rPr>
              <w:lastRenderedPageBreak/>
              <w:t xml:space="preserve">For administrators: </w:t>
            </w:r>
            <w:r>
              <w:t xml:space="preserve">every member needs a Jira Service Management agent licence. GRC-Compliance must also be in the Service Desk Team role of the project, or its members cannot edit the form. Do not add investigation groups to that role, and do not put one person in more than </w:t>
            </w:r>
            <w:r>
              <w:t>one investigation group unless intended.</w:t>
            </w:r>
          </w:p>
        </w:tc>
      </w:tr>
    </w:tbl>
    <w:p w:rsidR="003B3A30" w:rsidRDefault="003A1D15">
      <w:pPr>
        <w:pStyle w:val="Heading1"/>
        <w:pBdr>
          <w:bottom w:val="single" w:sz="12" w:space="4" w:color="36B78E"/>
        </w:pBdr>
        <w:spacing w:before="360" w:after="160"/>
      </w:pPr>
      <w:bookmarkStart w:id="7" w:name="_Toc243485404"/>
      <w:r>
        <w:t>7. Service levels and escalation</w:t>
      </w:r>
      <w:bookmarkEnd w:id="7"/>
    </w:p>
    <w:p w:rsidR="003B3A30" w:rsidRDefault="003A1D15">
      <w:pPr>
        <w:spacing w:after="120" w:line="288" w:lineRule="auto"/>
      </w:pPr>
      <w:r>
        <w:t>Each decision stage has 2 working days (16 working hours, Sunday to Thursday, 08:00–16:00 Riyadh time). When a stage passes its target, the Head of Compliance is emailed automatically.</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200"/>
        <w:gridCol w:w="1500"/>
        <w:gridCol w:w="2538"/>
      </w:tblGrid>
      <w:tr w:rsidR="003B3A30">
        <w:tblPrEx>
          <w:tblCellMar>
            <w:top w:w="0" w:type="dxa"/>
            <w:bottom w:w="0" w:type="dxa"/>
          </w:tblCellMar>
        </w:tblPrEx>
        <w:trPr>
          <w:cantSplit/>
          <w:tblHeader/>
        </w:trPr>
        <w:tc>
          <w:tcPr>
            <w:tcW w:w="24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Service level</w:t>
            </w:r>
          </w:p>
        </w:tc>
        <w:tc>
          <w:tcPr>
            <w:tcW w:w="32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Clock runs while the report is</w:t>
            </w:r>
          </w:p>
        </w:tc>
        <w:tc>
          <w:tcPr>
            <w:tcW w:w="15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Target</w:t>
            </w:r>
          </w:p>
        </w:tc>
        <w:tc>
          <w:tcPr>
            <w:tcW w:w="253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3B3A30" w:rsidRDefault="003A1D15">
            <w:r>
              <w:rPr>
                <w:b/>
                <w:bCs/>
                <w:color w:val="FFFFFF"/>
                <w:sz w:val="19"/>
                <w:szCs w:val="19"/>
              </w:rPr>
              <w:t xml:space="preserve">When the target is </w:t>
            </w:r>
            <w:r>
              <w:rPr>
                <w:b/>
                <w:bCs/>
                <w:color w:val="FFFFFF"/>
                <w:sz w:val="19"/>
                <w:szCs w:val="19"/>
              </w:rPr>
              <w:t>missed</w:t>
            </w:r>
          </w:p>
        </w:tc>
      </w:tr>
      <w:tr w:rsidR="003B3A30">
        <w:tblPrEx>
          <w:tblCellMar>
            <w:top w:w="0" w:type="dxa"/>
            <w:bottom w:w="0" w:type="dxa"/>
          </w:tblCellMar>
        </w:tblPrEx>
        <w:trPr>
          <w:cantSplit/>
        </w:trPr>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Time to Compliance Decision</w:t>
            </w:r>
          </w:p>
        </w:tc>
        <w:tc>
          <w:tcPr>
            <w:tcW w:w="32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Open, or Back to Compliance (restarts on each return)</w:t>
            </w:r>
          </w:p>
        </w:tc>
        <w:tc>
          <w:tcPr>
            <w:tcW w:w="15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2 working days</w:t>
            </w:r>
          </w:p>
        </w:tc>
        <w:tc>
          <w:tcPr>
            <w:tcW w:w="25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3B3A30" w:rsidRDefault="003A1D15">
            <w:r>
              <w:rPr>
                <w:sz w:val="19"/>
                <w:szCs w:val="19"/>
              </w:rPr>
              <w:t>Escalation email to HO-Compliance</w:t>
            </w:r>
          </w:p>
        </w:tc>
      </w:tr>
      <w:tr w:rsidR="003B3A30">
        <w:tblPrEx>
          <w:tblCellMar>
            <w:top w:w="0" w:type="dxa"/>
            <w:bottom w:w="0" w:type="dxa"/>
          </w:tblCellMar>
        </w:tblPrEx>
        <w:trPr>
          <w:cantSplit/>
        </w:trPr>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Time to Investigation Decision</w:t>
            </w:r>
          </w:p>
        </w:tc>
        <w:tc>
          <w:tcPr>
            <w:tcW w:w="32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Under Investigation and Pending Employee Relations Approval</w:t>
            </w:r>
          </w:p>
        </w:tc>
        <w:tc>
          <w:tcPr>
            <w:tcW w:w="15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2 working days</w:t>
            </w:r>
          </w:p>
        </w:tc>
        <w:tc>
          <w:tcPr>
            <w:tcW w:w="25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3B3A30" w:rsidRDefault="003A1D15">
            <w:r>
              <w:rPr>
                <w:sz w:val="19"/>
                <w:szCs w:val="19"/>
              </w:rPr>
              <w:t>Escalation email to HO-Compliance</w:t>
            </w:r>
          </w:p>
        </w:tc>
      </w:tr>
    </w:tbl>
    <w:p w:rsidR="003B3A30" w:rsidRDefault="003B3A30">
      <w:pPr>
        <w:spacing w:after="120"/>
      </w:pPr>
    </w:p>
    <w:p w:rsidR="003B3A30" w:rsidRDefault="003A1D15">
      <w:pPr>
        <w:pStyle w:val="ListParagraph"/>
        <w:numPr>
          <w:ilvl w:val="0"/>
          <w:numId w:val="2"/>
        </w:numPr>
        <w:spacing w:after="80" w:line="276" w:lineRule="auto"/>
      </w:pPr>
      <w:r>
        <w:t>Fridays, Saturdays and the hours outside 08:00–16:00 do not count.</w:t>
      </w:r>
    </w:p>
    <w:p w:rsidR="003B3A30" w:rsidRDefault="003A1D15">
      <w:pPr>
        <w:pStyle w:val="ListParagraph"/>
        <w:numPr>
          <w:ilvl w:val="0"/>
          <w:numId w:val="2"/>
        </w:numPr>
        <w:spacing w:after="80" w:line="276" w:lineRule="auto"/>
      </w:pPr>
      <w:r>
        <w:t>Every automatic email (new report, assignment, escalation) shows only the reference number, the status and who it is waiting on, with a link. It never includes the report’s content.</w:t>
      </w:r>
    </w:p>
    <w:p w:rsidR="003B3A30" w:rsidRDefault="003A1D15">
      <w:pPr>
        <w:pStyle w:val="ListParagraph"/>
        <w:numPr>
          <w:ilvl w:val="0"/>
          <w:numId w:val="2"/>
        </w:numPr>
        <w:spacing w:after="80" w:line="276" w:lineRule="auto"/>
      </w:pPr>
      <w:r>
        <w:t>The time remaining for each service level is shown on the report in Jira.</w:t>
      </w:r>
    </w:p>
    <w:sectPr w:rsidR="003B3A30">
      <w:headerReference w:type="default" r:id="rId12"/>
      <w:footerReference w:type="default" r:id="rId13"/>
      <w:headerReference w:type="first" r:id="rId14"/>
      <w:footerReference w:type="first" r:id="rId15"/>
      <w:pgSz w:w="11906" w:h="16838"/>
      <w:pgMar w:top="1300" w:right="1134" w:bottom="1100" w:left="1134" w:header="500" w:footer="5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3A1D15">
      <w:r>
        <w:separator/>
      </w:r>
    </w:p>
  </w:endnote>
  <w:endnote w:type="continuationSeparator" w:id="0">
    <w:p w:rsidR="00000000" w:rsidRDefault="003A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A30" w:rsidRDefault="003A1D15">
    <w:pPr>
      <w:jc w:val="center"/>
    </w:pPr>
    <w:r>
      <w:rPr>
        <w:color w:val="5E716B"/>
        <w:sz w:val="16"/>
        <w:szCs w:val="16"/>
      </w:rPr>
      <w:t xml:space="preserve">Page </w:t>
    </w:r>
    <w:r>
      <w:rPr>
        <w:color w:val="5E716B"/>
        <w:sz w:val="16"/>
        <w:szCs w:val="16"/>
      </w:rPr>
      <w:fldChar w:fldCharType="begin"/>
    </w:r>
    <w:r>
      <w:rPr>
        <w:color w:val="5E716B"/>
        <w:sz w:val="16"/>
        <w:szCs w:val="16"/>
      </w:rPr>
      <w:instrText>PAGE</w:instrText>
    </w:r>
    <w:r>
      <w:rPr>
        <w:color w:val="5E716B"/>
        <w:sz w:val="16"/>
        <w:szCs w:val="16"/>
      </w:rPr>
      <w:fldChar w:fldCharType="separate"/>
    </w:r>
    <w:r>
      <w:rPr>
        <w:noProof/>
        <w:color w:val="5E716B"/>
        <w:sz w:val="16"/>
        <w:szCs w:val="16"/>
      </w:rPr>
      <w:t>8</w:t>
    </w:r>
    <w:r>
      <w:rPr>
        <w:color w:val="5E716B"/>
        <w:sz w:val="16"/>
        <w:szCs w:val="16"/>
      </w:rPr>
      <w:fldChar w:fldCharType="end"/>
    </w:r>
    <w:r>
      <w:rPr>
        <w:color w:val="5E716B"/>
        <w:sz w:val="16"/>
        <w:szCs w:val="16"/>
      </w:rPr>
      <w:t xml:space="preserve"> of </w:t>
    </w:r>
    <w:r>
      <w:rPr>
        <w:color w:val="5E716B"/>
        <w:sz w:val="16"/>
        <w:szCs w:val="16"/>
      </w:rPr>
      <w:fldChar w:fldCharType="begin"/>
    </w:r>
    <w:r>
      <w:rPr>
        <w:color w:val="5E716B"/>
        <w:sz w:val="16"/>
        <w:szCs w:val="16"/>
      </w:rPr>
      <w:instrText>NUMPAGES</w:instrText>
    </w:r>
    <w:r>
      <w:rPr>
        <w:color w:val="5E716B"/>
        <w:sz w:val="16"/>
        <w:szCs w:val="16"/>
      </w:rPr>
      <w:fldChar w:fldCharType="separate"/>
    </w:r>
    <w:r>
      <w:rPr>
        <w:noProof/>
        <w:color w:val="5E716B"/>
        <w:sz w:val="16"/>
        <w:szCs w:val="16"/>
      </w:rPr>
      <w:t>8</w:t>
    </w:r>
    <w:r>
      <w:rPr>
        <w:color w:val="5E716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A30" w:rsidRDefault="003B3A3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3A1D15">
      <w:r>
        <w:separator/>
      </w:r>
    </w:p>
  </w:footnote>
  <w:footnote w:type="continuationSeparator" w:id="0">
    <w:p w:rsidR="00000000" w:rsidRDefault="003A1D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A30" w:rsidRDefault="003A1D15">
    <w:pPr>
      <w:pBdr>
        <w:bottom w:val="single" w:sz="8" w:space="6" w:color="36B78E"/>
      </w:pBdr>
      <w:tabs>
        <w:tab w:val="right" w:pos="9638"/>
      </w:tabs>
    </w:pPr>
    <w:r>
      <w:rPr>
        <w:noProof/>
      </w:rPr>
      <w:drawing>
        <wp:inline distT="0" distB="0" distL="0" distR="0">
          <wp:extent cx="342900" cy="304800"/>
          <wp:effectExtent l="0" t="0" r="0" b="0"/>
          <wp:docPr id="5" name="icon" descr="ERC icon" title="E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42900" cy="304800"/>
                  </a:xfrm>
                  <a:prstGeom prst="rect">
                    <a:avLst/>
                  </a:prstGeom>
                </pic:spPr>
              </pic:pic>
            </a:graphicData>
          </a:graphic>
        </wp:inline>
      </w:drawing>
    </w:r>
    <w:r>
      <w:rPr>
        <w:color w:val="5E716B"/>
        <w:sz w:val="16"/>
        <w:szCs w:val="16"/>
      </w:rPr>
      <w:tab/>
      <w:t xml:space="preserve">Speak Up – User Guide  </w:t>
    </w:r>
    <w:r>
      <w:rPr>
        <w:b/>
        <w:bCs/>
        <w:color w:val="228848"/>
        <w:sz w:val="16"/>
        <w:szCs w:val="16"/>
      </w:rPr>
      <w:t>|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A30" w:rsidRDefault="003B3A3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46856"/>
    <w:multiLevelType w:val="hybridMultilevel"/>
    <w:tmpl w:val="FC423A5C"/>
    <w:lvl w:ilvl="0" w:tplc="69C07628">
      <w:start w:val="1"/>
      <w:numFmt w:val="decimal"/>
      <w:lvlText w:val="%1."/>
      <w:lvlJc w:val="left"/>
      <w:pPr>
        <w:ind w:left="540" w:hanging="360"/>
      </w:pPr>
      <w:rPr>
        <w:b/>
        <w:bCs/>
        <w:color w:val="024638"/>
      </w:rPr>
    </w:lvl>
    <w:lvl w:ilvl="1" w:tplc="618CD332">
      <w:start w:val="1"/>
      <w:numFmt w:val="lowerLetter"/>
      <w:lvlText w:val="%2."/>
      <w:lvlJc w:val="left"/>
      <w:pPr>
        <w:ind w:left="1080" w:hanging="360"/>
      </w:pPr>
    </w:lvl>
    <w:lvl w:ilvl="2" w:tplc="E5DE18E2">
      <w:numFmt w:val="decimal"/>
      <w:lvlText w:val=""/>
      <w:lvlJc w:val="left"/>
    </w:lvl>
    <w:lvl w:ilvl="3" w:tplc="07A6EC02">
      <w:numFmt w:val="decimal"/>
      <w:lvlText w:val=""/>
      <w:lvlJc w:val="left"/>
    </w:lvl>
    <w:lvl w:ilvl="4" w:tplc="CBB0CB2A">
      <w:numFmt w:val="decimal"/>
      <w:lvlText w:val=""/>
      <w:lvlJc w:val="left"/>
    </w:lvl>
    <w:lvl w:ilvl="5" w:tplc="8DDCB920">
      <w:numFmt w:val="decimal"/>
      <w:lvlText w:val=""/>
      <w:lvlJc w:val="left"/>
    </w:lvl>
    <w:lvl w:ilvl="6" w:tplc="719847FC">
      <w:numFmt w:val="decimal"/>
      <w:lvlText w:val=""/>
      <w:lvlJc w:val="left"/>
    </w:lvl>
    <w:lvl w:ilvl="7" w:tplc="E9283A56">
      <w:numFmt w:val="decimal"/>
      <w:lvlText w:val=""/>
      <w:lvlJc w:val="left"/>
    </w:lvl>
    <w:lvl w:ilvl="8" w:tplc="3D7AC122">
      <w:numFmt w:val="decimal"/>
      <w:lvlText w:val=""/>
      <w:lvlJc w:val="left"/>
    </w:lvl>
  </w:abstractNum>
  <w:abstractNum w:abstractNumId="1">
    <w:nsid w:val="0C710400"/>
    <w:multiLevelType w:val="hybridMultilevel"/>
    <w:tmpl w:val="2C482496"/>
    <w:lvl w:ilvl="0" w:tplc="F662C2A8">
      <w:start w:val="1"/>
      <w:numFmt w:val="bullet"/>
      <w:lvlText w:val="●"/>
      <w:lvlJc w:val="left"/>
      <w:pPr>
        <w:ind w:left="720" w:hanging="360"/>
      </w:pPr>
    </w:lvl>
    <w:lvl w:ilvl="1" w:tplc="45C27354">
      <w:start w:val="1"/>
      <w:numFmt w:val="bullet"/>
      <w:lvlText w:val="○"/>
      <w:lvlJc w:val="left"/>
      <w:pPr>
        <w:ind w:left="1440" w:hanging="360"/>
      </w:pPr>
    </w:lvl>
    <w:lvl w:ilvl="2" w:tplc="BA4C9DCA">
      <w:start w:val="1"/>
      <w:numFmt w:val="bullet"/>
      <w:lvlText w:val="■"/>
      <w:lvlJc w:val="left"/>
      <w:pPr>
        <w:ind w:left="2160" w:hanging="360"/>
      </w:pPr>
    </w:lvl>
    <w:lvl w:ilvl="3" w:tplc="EF66CCD4">
      <w:start w:val="1"/>
      <w:numFmt w:val="bullet"/>
      <w:lvlText w:val="●"/>
      <w:lvlJc w:val="left"/>
      <w:pPr>
        <w:ind w:left="2880" w:hanging="360"/>
      </w:pPr>
    </w:lvl>
    <w:lvl w:ilvl="4" w:tplc="6C1037BC">
      <w:start w:val="1"/>
      <w:numFmt w:val="bullet"/>
      <w:lvlText w:val="○"/>
      <w:lvlJc w:val="left"/>
      <w:pPr>
        <w:ind w:left="3600" w:hanging="360"/>
      </w:pPr>
    </w:lvl>
    <w:lvl w:ilvl="5" w:tplc="93E2AF56">
      <w:start w:val="1"/>
      <w:numFmt w:val="bullet"/>
      <w:lvlText w:val="■"/>
      <w:lvlJc w:val="left"/>
      <w:pPr>
        <w:ind w:left="4320" w:hanging="360"/>
      </w:pPr>
    </w:lvl>
    <w:lvl w:ilvl="6" w:tplc="00A2A538">
      <w:start w:val="1"/>
      <w:numFmt w:val="bullet"/>
      <w:lvlText w:val="●"/>
      <w:lvlJc w:val="left"/>
      <w:pPr>
        <w:ind w:left="5040" w:hanging="360"/>
      </w:pPr>
    </w:lvl>
    <w:lvl w:ilvl="7" w:tplc="FA2E5D58">
      <w:start w:val="1"/>
      <w:numFmt w:val="bullet"/>
      <w:lvlText w:val="●"/>
      <w:lvlJc w:val="left"/>
      <w:pPr>
        <w:ind w:left="5760" w:hanging="360"/>
      </w:pPr>
    </w:lvl>
    <w:lvl w:ilvl="8" w:tplc="85C0B0AE">
      <w:start w:val="1"/>
      <w:numFmt w:val="bullet"/>
      <w:lvlText w:val="●"/>
      <w:lvlJc w:val="left"/>
      <w:pPr>
        <w:ind w:left="6480" w:hanging="360"/>
      </w:pPr>
    </w:lvl>
  </w:abstractNum>
  <w:abstractNum w:abstractNumId="2">
    <w:nsid w:val="193667F1"/>
    <w:multiLevelType w:val="hybridMultilevel"/>
    <w:tmpl w:val="912E29A6"/>
    <w:lvl w:ilvl="0" w:tplc="4ED21F04">
      <w:start w:val="1"/>
      <w:numFmt w:val="decimal"/>
      <w:lvlText w:val="%1."/>
      <w:lvlJc w:val="left"/>
      <w:pPr>
        <w:ind w:left="540" w:hanging="360"/>
      </w:pPr>
      <w:rPr>
        <w:b/>
        <w:bCs/>
        <w:color w:val="024638"/>
      </w:rPr>
    </w:lvl>
    <w:lvl w:ilvl="1" w:tplc="3412FFCA">
      <w:start w:val="1"/>
      <w:numFmt w:val="lowerLetter"/>
      <w:lvlText w:val="%2."/>
      <w:lvlJc w:val="left"/>
      <w:pPr>
        <w:ind w:left="1080" w:hanging="360"/>
      </w:pPr>
    </w:lvl>
    <w:lvl w:ilvl="2" w:tplc="96B6726C">
      <w:numFmt w:val="decimal"/>
      <w:lvlText w:val=""/>
      <w:lvlJc w:val="left"/>
    </w:lvl>
    <w:lvl w:ilvl="3" w:tplc="17987122">
      <w:numFmt w:val="decimal"/>
      <w:lvlText w:val=""/>
      <w:lvlJc w:val="left"/>
    </w:lvl>
    <w:lvl w:ilvl="4" w:tplc="7DE42FBA">
      <w:numFmt w:val="decimal"/>
      <w:lvlText w:val=""/>
      <w:lvlJc w:val="left"/>
    </w:lvl>
    <w:lvl w:ilvl="5" w:tplc="76309DC4">
      <w:numFmt w:val="decimal"/>
      <w:lvlText w:val=""/>
      <w:lvlJc w:val="left"/>
    </w:lvl>
    <w:lvl w:ilvl="6" w:tplc="E5766A20">
      <w:numFmt w:val="decimal"/>
      <w:lvlText w:val=""/>
      <w:lvlJc w:val="left"/>
    </w:lvl>
    <w:lvl w:ilvl="7" w:tplc="BBAC5984">
      <w:numFmt w:val="decimal"/>
      <w:lvlText w:val=""/>
      <w:lvlJc w:val="left"/>
    </w:lvl>
    <w:lvl w:ilvl="8" w:tplc="B5D09880">
      <w:numFmt w:val="decimal"/>
      <w:lvlText w:val=""/>
      <w:lvlJc w:val="left"/>
    </w:lvl>
  </w:abstractNum>
  <w:abstractNum w:abstractNumId="3">
    <w:nsid w:val="543D6860"/>
    <w:multiLevelType w:val="hybridMultilevel"/>
    <w:tmpl w:val="FF2E1F8C"/>
    <w:lvl w:ilvl="0" w:tplc="AF223DF6">
      <w:start w:val="1"/>
      <w:numFmt w:val="bullet"/>
      <w:lvlText w:val="•"/>
      <w:lvlJc w:val="left"/>
      <w:pPr>
        <w:ind w:left="540" w:hanging="270"/>
      </w:pPr>
      <w:rPr>
        <w:color w:val="228848"/>
      </w:rPr>
    </w:lvl>
    <w:lvl w:ilvl="1" w:tplc="7D28FF36">
      <w:start w:val="1"/>
      <w:numFmt w:val="bullet"/>
      <w:lvlText w:val="–"/>
      <w:lvlJc w:val="left"/>
      <w:pPr>
        <w:ind w:left="1080" w:hanging="270"/>
      </w:pPr>
    </w:lvl>
    <w:lvl w:ilvl="2" w:tplc="8482F0A2">
      <w:numFmt w:val="decimal"/>
      <w:lvlText w:val=""/>
      <w:lvlJc w:val="left"/>
    </w:lvl>
    <w:lvl w:ilvl="3" w:tplc="3468E556">
      <w:numFmt w:val="decimal"/>
      <w:lvlText w:val=""/>
      <w:lvlJc w:val="left"/>
    </w:lvl>
    <w:lvl w:ilvl="4" w:tplc="CEFE5F08">
      <w:numFmt w:val="decimal"/>
      <w:lvlText w:val=""/>
      <w:lvlJc w:val="left"/>
    </w:lvl>
    <w:lvl w:ilvl="5" w:tplc="1750B06C">
      <w:numFmt w:val="decimal"/>
      <w:lvlText w:val=""/>
      <w:lvlJc w:val="left"/>
    </w:lvl>
    <w:lvl w:ilvl="6" w:tplc="B726E33E">
      <w:numFmt w:val="decimal"/>
      <w:lvlText w:val=""/>
      <w:lvlJc w:val="left"/>
    </w:lvl>
    <w:lvl w:ilvl="7" w:tplc="75641BA8">
      <w:numFmt w:val="decimal"/>
      <w:lvlText w:val=""/>
      <w:lvlJc w:val="left"/>
    </w:lvl>
    <w:lvl w:ilvl="8" w:tplc="4AC6EE9A">
      <w:numFmt w:val="decimal"/>
      <w:lvlText w:val=""/>
      <w:lvlJc w:val="left"/>
    </w:lvl>
  </w:abstractNum>
  <w:abstractNum w:abstractNumId="4">
    <w:nsid w:val="5C0E5093"/>
    <w:multiLevelType w:val="hybridMultilevel"/>
    <w:tmpl w:val="9BF23502"/>
    <w:lvl w:ilvl="0" w:tplc="141CD284">
      <w:start w:val="1"/>
      <w:numFmt w:val="decimal"/>
      <w:lvlText w:val="%1."/>
      <w:lvlJc w:val="left"/>
      <w:pPr>
        <w:ind w:left="540" w:hanging="360"/>
      </w:pPr>
      <w:rPr>
        <w:b/>
        <w:bCs/>
        <w:color w:val="024638"/>
      </w:rPr>
    </w:lvl>
    <w:lvl w:ilvl="1" w:tplc="C886340C">
      <w:start w:val="1"/>
      <w:numFmt w:val="lowerLetter"/>
      <w:lvlText w:val="%2."/>
      <w:lvlJc w:val="left"/>
      <w:pPr>
        <w:ind w:left="1080" w:hanging="360"/>
      </w:pPr>
    </w:lvl>
    <w:lvl w:ilvl="2" w:tplc="29CA9AA8">
      <w:numFmt w:val="decimal"/>
      <w:lvlText w:val=""/>
      <w:lvlJc w:val="left"/>
    </w:lvl>
    <w:lvl w:ilvl="3" w:tplc="C292CBD0">
      <w:numFmt w:val="decimal"/>
      <w:lvlText w:val=""/>
      <w:lvlJc w:val="left"/>
    </w:lvl>
    <w:lvl w:ilvl="4" w:tplc="71425CC6">
      <w:numFmt w:val="decimal"/>
      <w:lvlText w:val=""/>
      <w:lvlJc w:val="left"/>
    </w:lvl>
    <w:lvl w:ilvl="5" w:tplc="B0C64528">
      <w:numFmt w:val="decimal"/>
      <w:lvlText w:val=""/>
      <w:lvlJc w:val="left"/>
    </w:lvl>
    <w:lvl w:ilvl="6" w:tplc="9F40D998">
      <w:numFmt w:val="decimal"/>
      <w:lvlText w:val=""/>
      <w:lvlJc w:val="left"/>
    </w:lvl>
    <w:lvl w:ilvl="7" w:tplc="5E2AD822">
      <w:numFmt w:val="decimal"/>
      <w:lvlText w:val=""/>
      <w:lvlJc w:val="left"/>
    </w:lvl>
    <w:lvl w:ilvl="8" w:tplc="48DA1F9A">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B3A30"/>
    <w:rsid w:val="003A1D15"/>
    <w:rsid w:val="003B3A3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egoe UI" w:eastAsia="Segoe UI" w:hAnsi="Segoe UI" w:cs="Segoe UI"/>
        <w:color w:val="1D2B27"/>
        <w:sz w:val="21"/>
        <w:szCs w:val="21"/>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24638"/>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A1D15"/>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egoe UI" w:eastAsia="Segoe UI" w:hAnsi="Segoe UI" w:cs="Segoe UI"/>
        <w:color w:val="1D2B27"/>
        <w:sz w:val="21"/>
        <w:szCs w:val="21"/>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24638"/>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A1D1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1498</Words>
  <Characters>8543</Characters>
  <Application>Microsoft Office Word</Application>
  <DocSecurity>0</DocSecurity>
  <Lines>71</Lines>
  <Paragraphs>20</Paragraphs>
  <ScaleCrop>false</ScaleCrop>
  <Company>HP</Company>
  <LinksUpToDate>false</LinksUpToDate>
  <CharactersWithSpaces>10021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 Up – User Guide v1.2 (Draft)</dc:title>
  <dc:creator>Doaa Mokhtar</dc:creator>
  <dc:description>Draft user guide based on the sandbox environment</dc:description>
  <cp:lastModifiedBy>hp</cp:lastModifiedBy>
  <cp:revision>2</cp:revision>
  <dcterms:created xsi:type="dcterms:W3CDTF">2026-10-21T11:29:00Z</dcterms:created>
  <dcterms:modified xsi:type="dcterms:W3CDTF">2026-10-21T11:29:00Z</dcterms:modified>
</cp:coreProperties>
</file>