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  <w:r>
        <w:drawing>
          <wp:inline distT="0" distB="0" distL="0" distR="0">
            <wp:extent cx="2667000" cy="1047750"/>
            <wp:effectExtent t="0" r="0" b="0" l="0"/>
            <wp:docPr id="1" name="logo" descr="Expo 2030 Riyadh logo" title="Expo 2030 Riyad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024638" w:sz="0"/>
              <w:left w:val="none" w:color="024638" w:sz="0"/>
              <w:bottom w:val="none" w:color="024638" w:sz="0"/>
              <w:right w:val="none" w:color="024638" w:sz="0"/>
            </w:tcBorders>
            <w:shd w:fill="024638" w:color="auto" w:val="clear"/>
            <w:tcMar>
              <w:top w:type="dxa" w:w="700"/>
              <w:left w:type="dxa" w:w="520"/>
              <w:bottom w:type="dxa" w:w="700"/>
              <w:right w:type="dxa" w:w="520"/>
            </w:tcMar>
          </w:tcPr>
          <w:p>
            <w:pPr>
              <w:spacing w:after="160"/>
            </w:pPr>
            <w:r>
              <w:rPr>
                <w:rFonts w:ascii="Segoe UI" w:cs="Segoe UI" w:eastAsia="Segoe UI" w:hAnsi="Segoe UI"/>
                <w:b/>
                <w:bCs/>
                <w:color w:val="36B78E"/>
                <w:sz w:val="22"/>
                <w:szCs w:val="22"/>
              </w:rPr>
              <w:t xml:space="preserve">●  SERVICE DESK · REQUIREMENTS TEMPLATE</w:t>
            </w:r>
          </w:p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60"/>
                <w:szCs w:val="60"/>
              </w:rPr>
              <w:t xml:space="preserve">Service Level (SLA)</w:t>
            </w:r>
          </w:p>
          <w:p>
            <w:pPr>
              <w:spacing w:after="24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60"/>
                <w:szCs w:val="60"/>
              </w:rPr>
              <w:t xml:space="preserve">Requirements</w:t>
            </w:r>
          </w:p>
          <w:p>
            <w:pPr>
              <w:spacing w:after="320"/>
            </w:pPr>
            <w:r>
              <w:rPr>
                <w:rFonts w:ascii="Segoe UI" w:cs="Segoe UI" w:eastAsia="Segoe UI" w:hAnsi="Segoe UI"/>
                <w:color w:val="CFE3DB"/>
                <w:sz w:val="26"/>
                <w:szCs w:val="26"/>
              </w:rPr>
              <w:t xml:space="preserve">Whistleblowing Reporting Portal – targets, levels and escalation, to be completed by ERC</w:t>
            </w:r>
          </w:p>
          <w:p>
            <w:r>
              <w:rPr>
                <w:rFonts w:ascii="Segoe UI" w:cs="Segoe UI" w:eastAsia="Segoe UI" w:hAnsi="Segoe UI"/>
                <w:b/>
                <w:bCs/>
                <w:color w:val="024638"/>
                <w:sz w:val="20"/>
                <w:szCs w:val="20"/>
                <w:shd w:fill="36B78E" w:color="auto" w:val="clear"/>
              </w:rPr>
              <w:t xml:space="preserve">  TO BE COMPLETED BY THE CUSTOMER  </w:t>
            </w:r>
          </w:p>
        </w:tc>
      </w:tr>
    </w:tbl>
    <w:p>
      <w:pPr>
        <w:spacing w:after="4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0246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6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0246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D2B27"/>
                <w:sz w:val="18"/>
                <w:szCs w:val="18"/>
              </w:rPr>
              <w:t xml:space="preserve">Customer</w:t>
            </w:r>
          </w:p>
        </w:tc>
        <w:tc>
          <w:tcPr>
            <w:tcW w:type="dxa" w:w="66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D2B27"/>
                <w:sz w:val="18"/>
                <w:szCs w:val="18"/>
              </w:rPr>
              <w:t xml:space="preserve">Expo 2030 Riyadh Company (ERC)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6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D2B27"/>
                <w:sz w:val="18"/>
                <w:szCs w:val="18"/>
              </w:rPr>
              <w:t xml:space="preserve">Service</w:t>
            </w:r>
          </w:p>
        </w:tc>
        <w:tc>
          <w:tcPr>
            <w:tcW w:type="dxa" w:w="66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6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D2B27"/>
                <w:sz w:val="18"/>
                <w:szCs w:val="18"/>
              </w:rPr>
              <w:t xml:space="preserve">Whistleblowing Reporting Portal (Jira Service Management)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D2B27"/>
                <w:sz w:val="18"/>
                <w:szCs w:val="18"/>
              </w:rPr>
              <w:t xml:space="preserve">Template version</w:t>
            </w:r>
          </w:p>
        </w:tc>
        <w:tc>
          <w:tcPr>
            <w:tcW w:type="dxa" w:w="66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D2B27"/>
                <w:sz w:val="18"/>
                <w:szCs w:val="18"/>
              </w:rPr>
              <w:t xml:space="preserve">1.0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6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D2B27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66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6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D2B27"/>
                <w:sz w:val="18"/>
                <w:szCs w:val="18"/>
              </w:rPr>
              <w:t xml:space="preserve">Doaa Mokhtar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D2B27"/>
                <w:sz w:val="18"/>
                <w:szCs w:val="18"/>
              </w:rPr>
              <w:t xml:space="preserve">Completed by (name, role)</w:t>
            </w:r>
          </w:p>
        </w:tc>
        <w:tc>
          <w:tcPr>
            <w:tcW w:type="dxa" w:w="66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</w:tr>
      <w:tr>
        <w:trPr>
          <w:cantSplit/>
        </w:trPr>
        <w:tc>
          <w:tcPr>
            <w:tcW w:type="dxa" w:w="30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6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D2B27"/>
                <w:sz w:val="18"/>
                <w:szCs w:val="18"/>
              </w:rPr>
              <w:t xml:space="preserve">Date completed</w:t>
            </w:r>
          </w:p>
        </w:tc>
        <w:tc>
          <w:tcPr>
            <w:tcW w:type="dxa" w:w="66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</w:tr>
      <w:tr>
        <w:trPr>
          <w:cantSplit/>
        </w:trPr>
        <w:tc>
          <w:tcPr>
            <w:tcW w:type="dxa" w:w="30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D2B27"/>
                <w:sz w:val="18"/>
                <w:szCs w:val="18"/>
              </w:rPr>
              <w:t xml:space="preserve">Approved by (name, role)</w:t>
            </w:r>
          </w:p>
        </w:tc>
        <w:tc>
          <w:tcPr>
            <w:tcW w:type="dxa" w:w="66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</w:tr>
    </w:tbl>
    <w:p>
      <w:r>
        <w:br w:type="page"/>
      </w:r>
    </w:p>
    <w:p>
      <w:pPr>
        <w:pStyle w:val="Heading1"/>
        <w:pBdr>
          <w:bottom w:val="single" w:color="36B78E" w:sz="12" w:space="4"/>
        </w:pBdr>
        <w:spacing w:before="360" w:after="160"/>
      </w:pPr>
      <w:r>
        <w:rPr>
          <w:rFonts w:ascii="Segoe UI" w:cs="Segoe UI" w:eastAsia="Segoe UI" w:hAnsi="Segoe UI"/>
        </w:rPr>
        <w:t xml:space="preserve">1. How to fill in this template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b/>
          <w:bCs/>
        </w:rPr>
        <w:t xml:space="preserve">Pale yellow cells </w:t>
      </w:r>
      <w:r>
        <w:rPr>
          <w:rFonts w:ascii="Segoe UI" w:cs="Segoe UI" w:eastAsia="Segoe UI" w:hAnsi="Segoe UI"/>
        </w:rPr>
        <w:t xml:space="preserve">are for you to complete.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b/>
          <w:bCs/>
        </w:rPr>
        <w:t xml:space="preserve">Grey italic values </w:t>
      </w:r>
      <w:r>
        <w:rPr>
          <w:rFonts w:ascii="Segoe UI" w:cs="Segoe UI" w:eastAsia="Segoe UI" w:hAnsi="Segoe UI"/>
        </w:rPr>
        <w:t xml:space="preserve">show what is configured today in the sandbox. Keep them, change them, or delete them.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</w:rPr>
        <w:t xml:space="preserve">Tick </w:t>
      </w:r>
      <w:r>
        <w:rPr>
          <w:rFonts w:ascii="Segoe UI" w:cs="Segoe UI" w:eastAsia="Segoe UI" w:hAnsi="Segoe UI"/>
          <w:b/>
          <w:bCs/>
        </w:rPr>
        <w:t xml:space="preserve">☐</w:t>
      </w:r>
      <w:r>
        <w:rPr>
          <w:rFonts w:ascii="Segoe UI" w:cs="Segoe UI" w:eastAsia="Segoe UI" w:hAnsi="Segoe UI"/>
        </w:rPr>
        <w:t xml:space="preserve"> the options that apply. Add rows wherever you need more levels.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</w:rPr>
        <w:t xml:space="preserve">Targets are measured in </w:t>
      </w:r>
      <w:r>
        <w:rPr>
          <w:rFonts w:ascii="Segoe UI" w:cs="Segoe UI" w:eastAsia="Segoe UI" w:hAnsi="Segoe UI"/>
          <w:b/>
          <w:bCs/>
        </w:rPr>
        <w:t xml:space="preserve">working time</w:t>
      </w:r>
      <w:r>
        <w:rPr>
          <w:rFonts w:ascii="Segoe UI" w:cs="Segoe UI" w:eastAsia="Segoe UI" w:hAnsi="Segoe UI"/>
        </w:rPr>
        <w:t xml:space="preserve"> on the calendar in section 2, unless you state otherwise.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28848" w:sz="24"/>
              <w:bottom w:val="none" w:color="FFFFFF" w:sz="0"/>
              <w:right w:val="none" w:color="FFFFFF" w:sz="0"/>
            </w:tcBorders>
            <w:shd w:fill="EEF7F3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228848"/>
              </w:rPr>
              <w:t xml:space="preserve">Why levels matter: </w:t>
            </w:r>
            <w:r>
              <w:rPr>
                <w:rFonts w:ascii="Segoe UI" w:cs="Segoe UI" w:eastAsia="Segoe UI" w:hAnsi="Segoe UI"/>
                <w:color w:val="1D2B27"/>
              </w:rPr>
              <w:t xml:space="preserve">one target for every report is simple, but most organisations want shorter targets for serious concerns (for example retaliation or fraud) and a staged escalation: a warning before the target, then escalation to a manager, then to a higher level if still unresolved.</w:t>
            </w:r>
          </w:p>
        </w:tc>
      </w:tr>
    </w:tbl>
    <w:p>
      <w:pPr>
        <w:pStyle w:val="Heading1"/>
        <w:pBdr>
          <w:bottom w:val="single" w:color="36B78E" w:sz="12" w:space="4"/>
        </w:pBdr>
        <w:spacing w:before="360" w:after="160"/>
      </w:pPr>
      <w:r>
        <w:rPr>
          <w:rFonts w:ascii="Segoe UI" w:cs="Segoe UI" w:eastAsia="Segoe UI" w:hAnsi="Segoe UI"/>
        </w:rPr>
        <w:t xml:space="preserve">2. Working calendar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3300"/>
        <w:gridCol w:w="3138"/>
      </w:tblGrid>
      <w:tr>
        <w:trPr>
          <w:cantSplit/>
          <w:tblHeader/>
        </w:trPr>
        <w:tc>
          <w:tcPr>
            <w:tcW w:type="dxa" w:w="32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0246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3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0246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Your answer</w:t>
            </w:r>
          </w:p>
        </w:tc>
        <w:tc>
          <w:tcPr>
            <w:tcW w:type="dxa" w:w="31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0246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Today (example)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D2B27"/>
                <w:sz w:val="18"/>
                <w:szCs w:val="18"/>
              </w:rPr>
              <w:t xml:space="preserve">Working days</w:t>
            </w:r>
          </w:p>
        </w:tc>
        <w:tc>
          <w:tcPr>
            <w:tcW w:type="dxa" w:w="33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31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i/>
                <w:iCs/>
                <w:color w:val="5E716B"/>
                <w:sz w:val="18"/>
                <w:szCs w:val="18"/>
              </w:rPr>
              <w:t xml:space="preserve">Sunday – Thursday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6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D2B27"/>
                <w:sz w:val="18"/>
                <w:szCs w:val="18"/>
              </w:rPr>
              <w:t xml:space="preserve">Working hours</w:t>
            </w:r>
          </w:p>
        </w:tc>
        <w:tc>
          <w:tcPr>
            <w:tcW w:type="dxa" w:w="33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31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6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i/>
                <w:iCs/>
                <w:color w:val="5E716B"/>
                <w:sz w:val="18"/>
                <w:szCs w:val="18"/>
              </w:rPr>
              <w:t xml:space="preserve">08:00 – 16:00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D2B27"/>
                <w:sz w:val="18"/>
                <w:szCs w:val="18"/>
              </w:rPr>
              <w:t xml:space="preserve">Time zone</w:t>
            </w:r>
          </w:p>
        </w:tc>
        <w:tc>
          <w:tcPr>
            <w:tcW w:type="dxa" w:w="33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31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i/>
                <w:iCs/>
                <w:color w:val="5E716B"/>
                <w:sz w:val="18"/>
                <w:szCs w:val="18"/>
              </w:rPr>
              <w:t xml:space="preserve">Riyadh (GMT+3)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6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D2B27"/>
                <w:sz w:val="18"/>
                <w:szCs w:val="18"/>
              </w:rPr>
              <w:t xml:space="preserve">Do weekends and holidays count?</w:t>
            </w:r>
          </w:p>
        </w:tc>
        <w:tc>
          <w:tcPr>
            <w:tcW w:type="dxa" w:w="33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31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6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i/>
                <w:iCs/>
                <w:color w:val="5E716B"/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D2B27"/>
                <w:sz w:val="18"/>
                <w:szCs w:val="18"/>
              </w:rPr>
              <w:t xml:space="preserve">Is a 24/7 calendar needed for any level?</w:t>
            </w:r>
          </w:p>
        </w:tc>
        <w:tc>
          <w:tcPr>
            <w:tcW w:type="dxa" w:w="33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31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i/>
                <w:iCs/>
                <w:color w:val="5E716B"/>
                <w:sz w:val="18"/>
                <w:szCs w:val="18"/>
              </w:rPr>
              <w:t xml:space="preserve">No</w:t>
            </w:r>
          </w:p>
        </w:tc>
      </w:tr>
    </w:tbl>
    <w:p>
      <w:pPr>
        <w:spacing w:before="240" w:after="100"/>
      </w:pPr>
      <w:r>
        <w:rPr>
          <w:rFonts w:ascii="Segoe UI" w:cs="Segoe UI" w:eastAsia="Segoe UI" w:hAnsi="Segoe UI"/>
          <w:b/>
          <w:bCs/>
          <w:color w:val="024638"/>
          <w:sz w:val="24"/>
          <w:szCs w:val="24"/>
        </w:rPr>
        <w:t xml:space="preserve">Official holidays to exclude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0"/>
        <w:gridCol w:w="2400"/>
        <w:gridCol w:w="3038"/>
      </w:tblGrid>
      <w:tr>
        <w:trPr>
          <w:cantSplit/>
          <w:tblHeader/>
        </w:trPr>
        <w:tc>
          <w:tcPr>
            <w:tcW w:type="dxa" w:w="42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0246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Holiday</w:t>
            </w:r>
          </w:p>
        </w:tc>
        <w:tc>
          <w:tcPr>
            <w:tcW w:type="dxa" w:w="24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0246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From</w:t>
            </w:r>
          </w:p>
        </w:tc>
        <w:tc>
          <w:tcPr>
            <w:tcW w:type="dxa" w:w="30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0246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To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i/>
                <w:iCs/>
                <w:color w:val="5E716B"/>
                <w:sz w:val="18"/>
                <w:szCs w:val="18"/>
              </w:rPr>
              <w:t xml:space="preserve">Eid al-Fitr</w:t>
            </w:r>
          </w:p>
        </w:tc>
        <w:tc>
          <w:tcPr>
            <w:tcW w:type="dxa" w:w="24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30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</w:tr>
      <w:tr>
        <w:trPr>
          <w:cantSplit/>
        </w:trPr>
        <w:tc>
          <w:tcPr>
            <w:tcW w:type="dxa" w:w="42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6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i/>
                <w:iCs/>
                <w:color w:val="5E716B"/>
                <w:sz w:val="18"/>
                <w:szCs w:val="18"/>
              </w:rPr>
              <w:t xml:space="preserve">Eid al-Adha</w:t>
            </w:r>
          </w:p>
        </w:tc>
        <w:tc>
          <w:tcPr>
            <w:tcW w:type="dxa" w:w="24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30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</w:tr>
      <w:tr>
        <w:trPr>
          <w:cantSplit/>
        </w:trPr>
        <w:tc>
          <w:tcPr>
            <w:tcW w:type="dxa" w:w="42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i/>
                <w:iCs/>
                <w:color w:val="5E716B"/>
                <w:sz w:val="18"/>
                <w:szCs w:val="18"/>
              </w:rPr>
              <w:t xml:space="preserve">Founding Day</w:t>
            </w:r>
          </w:p>
        </w:tc>
        <w:tc>
          <w:tcPr>
            <w:tcW w:type="dxa" w:w="24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30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</w:tr>
      <w:tr>
        <w:trPr>
          <w:cantSplit/>
        </w:trPr>
        <w:tc>
          <w:tcPr>
            <w:tcW w:type="dxa" w:w="42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6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i/>
                <w:iCs/>
                <w:color w:val="5E716B"/>
                <w:sz w:val="18"/>
                <w:szCs w:val="18"/>
              </w:rPr>
              <w:t xml:space="preserve">National Day</w:t>
            </w:r>
          </w:p>
        </w:tc>
        <w:tc>
          <w:tcPr>
            <w:tcW w:type="dxa" w:w="24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30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</w:tr>
      <w:tr>
        <w:trPr>
          <w:cantSplit/>
        </w:trPr>
        <w:tc>
          <w:tcPr>
            <w:tcW w:type="dxa" w:w="42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24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30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</w:tr>
      <w:tr>
        <w:trPr>
          <w:cantSplit/>
        </w:trPr>
        <w:tc>
          <w:tcPr>
            <w:tcW w:type="dxa" w:w="42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24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30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</w:tr>
    </w:tbl>
    <w:p>
      <w:pPr>
        <w:pStyle w:val="Heading1"/>
        <w:pBdr>
          <w:bottom w:val="single" w:color="36B78E" w:sz="12" w:space="4"/>
        </w:pBdr>
        <w:spacing w:before="360" w:after="160"/>
      </w:pPr>
      <w:r>
        <w:rPr>
          <w:rFonts w:ascii="Segoe UI" w:cs="Segoe UI" w:eastAsia="Segoe UI" w:hAnsi="Segoe UI"/>
        </w:rPr>
        <w:t xml:space="preserve">3. What is measured (SLA metrics)</w:t>
      </w:r>
    </w:p>
    <w:p>
      <w:pPr>
        <w:spacing w:after="120" w:line="288"/>
      </w:pPr>
      <w:r>
        <w:rPr>
          <w:rFonts w:ascii="Segoe UI" w:cs="Segoe UI" w:eastAsia="Segoe UI" w:hAnsi="Segoe UI"/>
        </w:rPr>
        <w:t xml:space="preserve">Each row is one clock. Add a row for every additional stage you want measured.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2600"/>
        <w:gridCol w:w="2500"/>
        <w:gridCol w:w="2238"/>
      </w:tblGrid>
      <w:tr>
        <w:trPr>
          <w:cantSplit/>
          <w:tblHeader/>
        </w:trPr>
        <w:tc>
          <w:tcPr>
            <w:tcW w:type="dxa" w:w="23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0246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SLA name</w:t>
            </w:r>
          </w:p>
        </w:tc>
        <w:tc>
          <w:tcPr>
            <w:tcW w:type="dxa" w:w="26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0246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Clock starts when</w:t>
            </w:r>
          </w:p>
        </w:tc>
        <w:tc>
          <w:tcPr>
            <w:tcW w:type="dxa" w:w="25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0246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Clock stops when</w:t>
            </w:r>
          </w:p>
        </w:tc>
        <w:tc>
          <w:tcPr>
            <w:tcW w:type="dxa" w:w="22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0246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Clock pauses when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i/>
                <w:iCs/>
                <w:color w:val="5E716B"/>
                <w:sz w:val="18"/>
                <w:szCs w:val="18"/>
              </w:rPr>
              <w:t xml:space="preserve">Time to Compliance Decision</w:t>
            </w:r>
          </w:p>
        </w:tc>
        <w:tc>
          <w:tcPr>
            <w:tcW w:type="dxa" w:w="26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i/>
                <w:iCs/>
                <w:color w:val="5E716B"/>
                <w:sz w:val="18"/>
                <w:szCs w:val="18"/>
              </w:rPr>
              <w:t xml:space="preserve">Report created, or returned to Back to Compliance</w:t>
            </w:r>
          </w:p>
        </w:tc>
        <w:tc>
          <w:tcPr>
            <w:tcW w:type="dxa" w:w="25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i/>
                <w:iCs/>
                <w:color w:val="5E716B"/>
                <w:sz w:val="18"/>
                <w:szCs w:val="18"/>
              </w:rPr>
              <w:t xml:space="preserve">Under Investigation or Rejected by Compliance</w:t>
            </w:r>
          </w:p>
        </w:tc>
        <w:tc>
          <w:tcPr>
            <w:tcW w:type="dxa" w:w="22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i/>
                <w:iCs/>
                <w:color w:val="5E716B"/>
                <w:sz w:val="18"/>
                <w:szCs w:val="18"/>
              </w:rPr>
              <w:t xml:space="preserve">Never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6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i/>
                <w:iCs/>
                <w:color w:val="5E716B"/>
                <w:sz w:val="18"/>
                <w:szCs w:val="18"/>
              </w:rPr>
              <w:t xml:space="preserve">Time to Investigation Decision</w:t>
            </w:r>
          </w:p>
        </w:tc>
        <w:tc>
          <w:tcPr>
            <w:tcW w:type="dxa" w:w="26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6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i/>
                <w:iCs/>
                <w:color w:val="5E716B"/>
                <w:sz w:val="18"/>
                <w:szCs w:val="18"/>
              </w:rPr>
              <w:t xml:space="preserve">Report enters Under Investigation</w:t>
            </w:r>
          </w:p>
        </w:tc>
        <w:tc>
          <w:tcPr>
            <w:tcW w:type="dxa" w:w="25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6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i/>
                <w:iCs/>
                <w:color w:val="5E716B"/>
                <w:sz w:val="18"/>
                <w:szCs w:val="18"/>
              </w:rPr>
              <w:t xml:space="preserve">Investigation Approved or Back to Compliance</w:t>
            </w:r>
          </w:p>
        </w:tc>
        <w:tc>
          <w:tcPr>
            <w:tcW w:type="dxa" w:w="22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6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i/>
                <w:iCs/>
                <w:color w:val="5E716B"/>
                <w:sz w:val="18"/>
                <w:szCs w:val="18"/>
              </w:rPr>
              <w:t xml:space="preserve">Never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i/>
                <w:iCs/>
                <w:color w:val="5E716B"/>
                <w:sz w:val="18"/>
                <w:szCs w:val="18"/>
              </w:rPr>
              <w:t xml:space="preserve">e.g. Time to first contact with reporter</w:t>
            </w:r>
          </w:p>
        </w:tc>
        <w:tc>
          <w:tcPr>
            <w:tcW w:type="dxa" w:w="26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25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22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</w:tr>
      <w:tr>
        <w:trPr>
          <w:cantSplit/>
        </w:trPr>
        <w:tc>
          <w:tcPr>
            <w:tcW w:type="dxa" w:w="23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6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i/>
                <w:iCs/>
                <w:color w:val="5E716B"/>
                <w:sz w:val="18"/>
                <w:szCs w:val="18"/>
              </w:rPr>
              <w:t xml:space="preserve">e.g. Time to close the case</w:t>
            </w:r>
          </w:p>
        </w:tc>
        <w:tc>
          <w:tcPr>
            <w:tcW w:type="dxa" w:w="26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25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22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</w:tr>
      <w:tr>
        <w:trPr>
          <w:cantSplit/>
        </w:trPr>
        <w:tc>
          <w:tcPr>
            <w:tcW w:type="dxa" w:w="23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26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25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22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</w:tr>
      <w:tr>
        <w:trPr>
          <w:cantSplit/>
        </w:trPr>
        <w:tc>
          <w:tcPr>
            <w:tcW w:type="dxa" w:w="23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26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25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22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</w:tr>
    </w:tbl>
    <w:p>
      <w:pPr>
        <w:spacing w:after="60"/>
      </w:pPr>
    </w:p>
    <w:p>
      <w:pPr>
        <w:spacing w:before="120" w:after="60"/>
      </w:pPr>
      <w:r>
        <w:rPr>
          <w:rFonts w:ascii="Segoe UI" w:cs="Segoe UI" w:eastAsia="Segoe UI" w:hAnsi="Segoe UI"/>
          <w:b/>
          <w:bCs/>
        </w:rPr>
        <w:t xml:space="preserve">Should any clock pause while waiting for the reporter or a third party?</w:t>
      </w:r>
    </w:p>
    <w:p>
      <w:pPr>
        <w:spacing w:after="40"/>
        <w:ind w:left="360"/>
      </w:pPr>
      <w:r>
        <w:rPr>
          <w:rFonts w:ascii="Segoe UI" w:cs="Segoe UI" w:eastAsia="Segoe UI" w:hAnsi="Segoe UI"/>
        </w:rPr>
        <w:t xml:space="preserve">☐ No pause</w:t>
      </w:r>
    </w:p>
    <w:p>
      <w:pPr>
        <w:spacing w:after="40"/>
        <w:ind w:left="360"/>
      </w:pPr>
      <w:r>
        <w:rPr>
          <w:rFonts w:ascii="Segoe UI" w:cs="Segoe UI" w:eastAsia="Segoe UI" w:hAnsi="Segoe UI"/>
        </w:rPr>
        <w:t xml:space="preserve">☐ Pause while waiting for the reporter (requires a "Waiting for reporter" status)</w:t>
      </w:r>
    </w:p>
    <w:p>
      <w:pPr>
        <w:spacing w:after="40"/>
        <w:ind w:left="360"/>
      </w:pPr>
      <w:r>
        <w:rPr>
          <w:rFonts w:ascii="Segoe UI" w:cs="Segoe UI" w:eastAsia="Segoe UI" w:hAnsi="Segoe UI"/>
        </w:rPr>
        <w:t xml:space="preserve">☐ Pause while waiting for a third party</w:t>
      </w:r>
    </w:p>
    <w:p>
      <w:pPr>
        <w:spacing w:after="40"/>
        <w:ind w:left="360"/>
      </w:pPr>
      <w:r>
        <w:rPr>
          <w:rFonts w:ascii="Segoe UI" w:cs="Segoe UI" w:eastAsia="Segoe UI" w:hAnsi="Segoe UI"/>
        </w:rPr>
        <w:t xml:space="preserve">☐ Other: ____________________</w:t>
      </w:r>
    </w:p>
    <w:p>
      <w:pPr>
        <w:pStyle w:val="Heading1"/>
        <w:pBdr>
          <w:bottom w:val="single" w:color="36B78E" w:sz="12" w:space="4"/>
        </w:pBdr>
        <w:spacing w:before="360" w:after="160"/>
      </w:pPr>
      <w:r>
        <w:rPr>
          <w:rFonts w:ascii="Segoe UI" w:cs="Segoe UI" w:eastAsia="Segoe UI" w:hAnsi="Segoe UI"/>
        </w:rPr>
        <w:t xml:space="preserve">4. Targets by level</w:t>
      </w:r>
    </w:p>
    <w:p>
      <w:pPr>
        <w:spacing w:before="120" w:after="60"/>
      </w:pPr>
      <w:r>
        <w:rPr>
          <w:rFonts w:ascii="Segoe UI" w:cs="Segoe UI" w:eastAsia="Segoe UI" w:hAnsi="Segoe UI"/>
          <w:b/>
          <w:bCs/>
        </w:rPr>
        <w:t xml:space="preserve">How should targets differ? (tick one)</w:t>
      </w:r>
    </w:p>
    <w:p>
      <w:pPr>
        <w:spacing w:after="40"/>
        <w:ind w:left="360"/>
      </w:pPr>
      <w:r>
        <w:rPr>
          <w:rFonts w:ascii="Segoe UI" w:cs="Segoe UI" w:eastAsia="Segoe UI" w:hAnsi="Segoe UI"/>
        </w:rPr>
        <w:t xml:space="preserve">☐ One target for all reports (today)</w:t>
      </w:r>
    </w:p>
    <w:p>
      <w:pPr>
        <w:spacing w:after="40"/>
        <w:ind w:left="360"/>
      </w:pPr>
      <w:r>
        <w:rPr>
          <w:rFonts w:ascii="Segoe UI" w:cs="Segoe UI" w:eastAsia="Segoe UI" w:hAnsi="Segoe UI"/>
        </w:rPr>
        <w:t xml:space="preserve">☐ By severity or priority (fill in table 4A)</w:t>
      </w:r>
    </w:p>
    <w:p>
      <w:pPr>
        <w:spacing w:after="40"/>
        <w:ind w:left="360"/>
      </w:pPr>
      <w:r>
        <w:rPr>
          <w:rFonts w:ascii="Segoe UI" w:cs="Segoe UI" w:eastAsia="Segoe UI" w:hAnsi="Segoe UI"/>
        </w:rPr>
        <w:t xml:space="preserve">☐ By report category (fill in table 4B)</w:t>
      </w:r>
    </w:p>
    <w:p>
      <w:pPr>
        <w:spacing w:after="40"/>
        <w:ind w:left="360"/>
      </w:pPr>
      <w:r>
        <w:rPr>
          <w:rFonts w:ascii="Segoe UI" w:cs="Segoe UI" w:eastAsia="Segoe UI" w:hAnsi="Segoe UI"/>
        </w:rPr>
        <w:t xml:space="preserve">☐ By both severity and category</w:t>
      </w:r>
    </w:p>
    <w:p>
      <w:pPr>
        <w:spacing w:before="240" w:after="100"/>
      </w:pPr>
      <w:r>
        <w:rPr>
          <w:rFonts w:ascii="Segoe UI" w:cs="Segoe UI" w:eastAsia="Segoe UI" w:hAnsi="Segoe UI"/>
          <w:b/>
          <w:bCs/>
          <w:color w:val="024638"/>
          <w:sz w:val="24"/>
          <w:szCs w:val="24"/>
        </w:rPr>
        <w:t xml:space="preserve">4A. Targets by severity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0"/>
        <w:gridCol w:w="3400"/>
        <w:gridCol w:w="2300"/>
        <w:gridCol w:w="2338"/>
      </w:tblGrid>
      <w:tr>
        <w:trPr>
          <w:cantSplit/>
          <w:tblHeader/>
        </w:trPr>
        <w:tc>
          <w:tcPr>
            <w:tcW w:type="dxa" w:w="16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0246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34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0246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  <w:tc>
          <w:tcPr>
            <w:tcW w:type="dxa" w:w="23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0246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Compliance Decision target</w:t>
            </w:r>
          </w:p>
        </w:tc>
        <w:tc>
          <w:tcPr>
            <w:tcW w:type="dxa" w:w="23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0246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Investigation Decision target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i/>
                <w:iCs/>
                <w:color w:val="5E716B"/>
                <w:sz w:val="18"/>
                <w:szCs w:val="18"/>
              </w:rPr>
              <w:t xml:space="preserve">Critical</w:t>
            </w:r>
          </w:p>
        </w:tc>
        <w:tc>
          <w:tcPr>
            <w:tcW w:type="dxa" w:w="34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i/>
                <w:iCs/>
                <w:color w:val="5E716B"/>
                <w:sz w:val="18"/>
                <w:szCs w:val="18"/>
              </w:rPr>
              <w:t xml:space="preserve">e.g. immediate risk to people, large fraud</w:t>
            </w:r>
          </w:p>
        </w:tc>
        <w:tc>
          <w:tcPr>
            <w:tcW w:type="dxa" w:w="23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23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</w:tr>
      <w:tr>
        <w:trPr>
          <w:cantSplit/>
        </w:trPr>
        <w:tc>
          <w:tcPr>
            <w:tcW w:type="dxa" w:w="16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6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i/>
                <w:iCs/>
                <w:color w:val="5E716B"/>
                <w:sz w:val="18"/>
                <w:szCs w:val="18"/>
              </w:rPr>
              <w:t xml:space="preserve">High</w:t>
            </w:r>
          </w:p>
        </w:tc>
        <w:tc>
          <w:tcPr>
            <w:tcW w:type="dxa" w:w="34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23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23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</w:tr>
      <w:tr>
        <w:trPr>
          <w:cantSplit/>
        </w:trPr>
        <w:tc>
          <w:tcPr>
            <w:tcW w:type="dxa" w:w="16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i/>
                <w:iCs/>
                <w:color w:val="5E716B"/>
                <w:sz w:val="18"/>
                <w:szCs w:val="18"/>
              </w:rPr>
              <w:t xml:space="preserve">Medium</w:t>
            </w:r>
          </w:p>
        </w:tc>
        <w:tc>
          <w:tcPr>
            <w:tcW w:type="dxa" w:w="34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23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i/>
                <w:iCs/>
                <w:color w:val="5E716B"/>
                <w:sz w:val="18"/>
                <w:szCs w:val="18"/>
              </w:rPr>
              <w:t xml:space="preserve">2 working days</w:t>
            </w:r>
          </w:p>
        </w:tc>
        <w:tc>
          <w:tcPr>
            <w:tcW w:type="dxa" w:w="23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i/>
                <w:iCs/>
                <w:color w:val="5E716B"/>
                <w:sz w:val="18"/>
                <w:szCs w:val="18"/>
              </w:rPr>
              <w:t xml:space="preserve">2 working days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6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i/>
                <w:iCs/>
                <w:color w:val="5E716B"/>
                <w:sz w:val="18"/>
                <w:szCs w:val="18"/>
              </w:rPr>
              <w:t xml:space="preserve">Low</w:t>
            </w:r>
          </w:p>
        </w:tc>
        <w:tc>
          <w:tcPr>
            <w:tcW w:type="dxa" w:w="34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23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23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</w:tr>
    </w:tbl>
    <w:p>
      <w:pPr>
        <w:spacing w:before="240" w:after="100"/>
      </w:pPr>
      <w:r>
        <w:rPr>
          <w:rFonts w:ascii="Segoe UI" w:cs="Segoe UI" w:eastAsia="Segoe UI" w:hAnsi="Segoe UI"/>
          <w:b/>
          <w:bCs/>
          <w:color w:val="024638"/>
          <w:sz w:val="24"/>
          <w:szCs w:val="24"/>
        </w:rPr>
        <w:t xml:space="preserve">4B. Targets by report category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0"/>
        <w:gridCol w:w="2200"/>
        <w:gridCol w:w="2238"/>
      </w:tblGrid>
      <w:tr>
        <w:trPr>
          <w:cantSplit/>
          <w:tblHeader/>
        </w:trPr>
        <w:tc>
          <w:tcPr>
            <w:tcW w:type="dxa" w:w="52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0246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Report category</w:t>
            </w:r>
          </w:p>
        </w:tc>
        <w:tc>
          <w:tcPr>
            <w:tcW w:type="dxa" w:w="22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0246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Compliance Decision target</w:t>
            </w:r>
          </w:p>
        </w:tc>
        <w:tc>
          <w:tcPr>
            <w:tcW w:type="dxa" w:w="22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0246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Investigation Decision target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D2B27"/>
                <w:sz w:val="18"/>
                <w:szCs w:val="18"/>
              </w:rPr>
              <w:t xml:space="preserve">Fraud, Theft, Embezzlement or Asset Misappropriation</w:t>
            </w:r>
          </w:p>
        </w:tc>
        <w:tc>
          <w:tcPr>
            <w:tcW w:type="dxa" w:w="22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22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</w:tr>
      <w:tr>
        <w:trPr>
          <w:cantSplit/>
        </w:trPr>
        <w:tc>
          <w:tcPr>
            <w:tcW w:type="dxa" w:w="52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6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D2B27"/>
                <w:sz w:val="18"/>
                <w:szCs w:val="18"/>
              </w:rPr>
              <w:t xml:space="preserve">Bribery, Corruption, Kickbacks or Trading in Influence</w:t>
            </w:r>
          </w:p>
        </w:tc>
        <w:tc>
          <w:tcPr>
            <w:tcW w:type="dxa" w:w="22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22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</w:tr>
      <w:tr>
        <w:trPr>
          <w:cantSplit/>
        </w:trPr>
        <w:tc>
          <w:tcPr>
            <w:tcW w:type="dxa" w:w="52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D2B27"/>
                <w:sz w:val="18"/>
                <w:szCs w:val="18"/>
              </w:rPr>
              <w:t xml:space="preserve">Money Laundering, Terrorist Financing or Sanctions Concerns</w:t>
            </w:r>
          </w:p>
        </w:tc>
        <w:tc>
          <w:tcPr>
            <w:tcW w:type="dxa" w:w="22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22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</w:tr>
      <w:tr>
        <w:trPr>
          <w:cantSplit/>
        </w:trPr>
        <w:tc>
          <w:tcPr>
            <w:tcW w:type="dxa" w:w="52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6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D2B27"/>
                <w:sz w:val="18"/>
                <w:szCs w:val="18"/>
              </w:rPr>
              <w:t xml:space="preserve">Procurement Manipulation, Collusion, Bid Rigging or Conflict of Interest</w:t>
            </w:r>
          </w:p>
        </w:tc>
        <w:tc>
          <w:tcPr>
            <w:tcW w:type="dxa" w:w="22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22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</w:tr>
      <w:tr>
        <w:trPr>
          <w:cantSplit/>
        </w:trPr>
        <w:tc>
          <w:tcPr>
            <w:tcW w:type="dxa" w:w="52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D2B27"/>
                <w:sz w:val="18"/>
                <w:szCs w:val="18"/>
              </w:rPr>
              <w:t xml:space="preserve">Harassment, Discrimination, Bullying or Abuse of Authority</w:t>
            </w:r>
          </w:p>
        </w:tc>
        <w:tc>
          <w:tcPr>
            <w:tcW w:type="dxa" w:w="22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22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</w:tr>
      <w:tr>
        <w:trPr>
          <w:cantSplit/>
        </w:trPr>
        <w:tc>
          <w:tcPr>
            <w:tcW w:type="dxa" w:w="52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6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D2B27"/>
                <w:sz w:val="18"/>
                <w:szCs w:val="18"/>
              </w:rPr>
              <w:t xml:space="preserve">Health, Safety, Environmental or Heritage-Protection Breach</w:t>
            </w:r>
          </w:p>
        </w:tc>
        <w:tc>
          <w:tcPr>
            <w:tcW w:type="dxa" w:w="22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22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</w:tr>
      <w:tr>
        <w:trPr>
          <w:cantSplit/>
        </w:trPr>
        <w:tc>
          <w:tcPr>
            <w:tcW w:type="dxa" w:w="52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D2B27"/>
                <w:sz w:val="18"/>
                <w:szCs w:val="18"/>
              </w:rPr>
              <w:t xml:space="preserve">Information Security, Data Protection or Systems Misuse</w:t>
            </w:r>
          </w:p>
        </w:tc>
        <w:tc>
          <w:tcPr>
            <w:tcW w:type="dxa" w:w="22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22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</w:tr>
      <w:tr>
        <w:trPr>
          <w:cantSplit/>
        </w:trPr>
        <w:tc>
          <w:tcPr>
            <w:tcW w:type="dxa" w:w="52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6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D2B27"/>
                <w:sz w:val="18"/>
                <w:szCs w:val="18"/>
              </w:rPr>
              <w:t xml:space="preserve">Other Regulatory or License Compliance Breach</w:t>
            </w:r>
          </w:p>
        </w:tc>
        <w:tc>
          <w:tcPr>
            <w:tcW w:type="dxa" w:w="22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22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</w:tr>
      <w:tr>
        <w:trPr>
          <w:cantSplit/>
        </w:trPr>
        <w:tc>
          <w:tcPr>
            <w:tcW w:type="dxa" w:w="52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D2B27"/>
                <w:sz w:val="18"/>
                <w:szCs w:val="18"/>
              </w:rPr>
              <w:t xml:space="preserve">Retaliation Against a Reporter or Witness</w:t>
            </w:r>
          </w:p>
        </w:tc>
        <w:tc>
          <w:tcPr>
            <w:tcW w:type="dxa" w:w="22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22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</w:tr>
      <w:tr>
        <w:trPr>
          <w:cantSplit/>
        </w:trPr>
        <w:tc>
          <w:tcPr>
            <w:tcW w:type="dxa" w:w="52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6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D2B27"/>
                <w:sz w:val="18"/>
                <w:szCs w:val="18"/>
              </w:rPr>
              <w:t xml:space="preserve">Other</w:t>
            </w:r>
          </w:p>
        </w:tc>
        <w:tc>
          <w:tcPr>
            <w:tcW w:type="dxa" w:w="22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22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</w:tr>
    </w:tbl>
    <w:p>
      <w:pPr>
        <w:spacing w:after="60"/>
      </w:pPr>
    </w:p>
    <w:p>
      <w:pPr>
        <w:spacing w:before="120" w:after="60"/>
      </w:pPr>
      <w:r>
        <w:rPr>
          <w:rFonts w:ascii="Segoe UI" w:cs="Segoe UI" w:eastAsia="Segoe UI" w:hAnsi="Segoe UI"/>
          <w:b/>
          <w:bCs/>
        </w:rPr>
        <w:t xml:space="preserve">Who sets the severity of a report?</w:t>
      </w:r>
    </w:p>
    <w:p>
      <w:pPr>
        <w:spacing w:after="40"/>
        <w:ind w:left="360"/>
      </w:pPr>
      <w:r>
        <w:rPr>
          <w:rFonts w:ascii="Segoe UI" w:cs="Segoe UI" w:eastAsia="Segoe UI" w:hAnsi="Segoe UI"/>
        </w:rPr>
        <w:t xml:space="preserve">☐ Compliance Manager, in the Compliance Approval form</w:t>
      </w:r>
    </w:p>
    <w:p>
      <w:pPr>
        <w:spacing w:after="40"/>
        <w:ind w:left="360"/>
      </w:pPr>
      <w:r>
        <w:rPr>
          <w:rFonts w:ascii="Segoe UI" w:cs="Segoe UI" w:eastAsia="Segoe UI" w:hAnsi="Segoe UI"/>
        </w:rPr>
        <w:t xml:space="preserve">☐ Set automatically from the category</w:t>
      </w:r>
    </w:p>
    <w:p>
      <w:pPr>
        <w:spacing w:after="40"/>
        <w:ind w:left="360"/>
      </w:pPr>
      <w:r>
        <w:rPr>
          <w:rFonts w:ascii="Segoe UI" w:cs="Segoe UI" w:eastAsia="Segoe UI" w:hAnsi="Segoe UI"/>
        </w:rPr>
        <w:t xml:space="preserve">☐ Other: ____________________</w:t>
      </w:r>
    </w:p>
    <w:p>
      <w:pPr>
        <w:pStyle w:val="Heading1"/>
        <w:pBdr>
          <w:bottom w:val="single" w:color="36B78E" w:sz="12" w:space="4"/>
        </w:pBdr>
        <w:spacing w:before="360" w:after="160"/>
      </w:pPr>
      <w:r>
        <w:rPr>
          <w:rFonts w:ascii="Segoe UI" w:cs="Segoe UI" w:eastAsia="Segoe UI" w:hAnsi="Segoe UI"/>
        </w:rPr>
        <w:t xml:space="preserve">5. Warnings and escalation levels</w:t>
      </w:r>
    </w:p>
    <w:p>
      <w:pPr>
        <w:spacing w:after="120" w:line="288"/>
      </w:pPr>
      <w:r>
        <w:rPr>
          <w:rFonts w:ascii="Segoe UI" w:cs="Segoe UI" w:eastAsia="Segoe UI" w:hAnsi="Segoe UI"/>
        </w:rPr>
        <w:t xml:space="preserve">Fill in one table per SLA. Each row is one level. Today a single level exists: an email to HO-Compliance when the target is missed.</w:t>
      </w:r>
    </w:p>
    <w:p>
      <w:pPr>
        <w:spacing w:before="240" w:after="100"/>
      </w:pPr>
      <w:r>
        <w:rPr>
          <w:rFonts w:ascii="Segoe UI" w:cs="Segoe UI" w:eastAsia="Segoe UI" w:hAnsi="Segoe UI"/>
          <w:b/>
          <w:bCs/>
          <w:color w:val="024638"/>
          <w:sz w:val="24"/>
          <w:szCs w:val="24"/>
        </w:rPr>
        <w:t xml:space="preserve">5A. Time to Compliance Decision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00"/>
        <w:gridCol w:w="2100"/>
        <w:gridCol w:w="2700"/>
        <w:gridCol w:w="1200"/>
        <w:gridCol w:w="2438"/>
      </w:tblGrid>
      <w:tr>
        <w:trPr>
          <w:cantSplit/>
          <w:tblHeader/>
        </w:trPr>
        <w:tc>
          <w:tcPr>
            <w:tcW w:type="dxa" w:w="12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0246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21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0246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  <w:tc>
          <w:tcPr>
            <w:tcW w:type="dxa" w:w="27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0246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Notify (role / group / email)</w:t>
            </w:r>
          </w:p>
        </w:tc>
        <w:tc>
          <w:tcPr>
            <w:tcW w:type="dxa" w:w="12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0246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24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0246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Action expected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i/>
                <w:iCs/>
                <w:color w:val="5E716B"/>
                <w:sz w:val="18"/>
                <w:szCs w:val="18"/>
              </w:rPr>
              <w:t xml:space="preserve">Warning</w:t>
            </w:r>
          </w:p>
        </w:tc>
        <w:tc>
          <w:tcPr>
            <w:tcW w:type="dxa" w:w="21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i/>
                <w:iCs/>
                <w:color w:val="5E716B"/>
                <w:sz w:val="18"/>
                <w:szCs w:val="18"/>
              </w:rPr>
              <w:t xml:space="preserve">e.g. 75% of target used</w:t>
            </w:r>
          </w:p>
        </w:tc>
        <w:tc>
          <w:tcPr>
            <w:tcW w:type="dxa" w:w="27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i/>
                <w:iCs/>
                <w:color w:val="5E716B"/>
                <w:sz w:val="18"/>
                <w:szCs w:val="18"/>
              </w:rPr>
              <w:t xml:space="preserve">e.g. the assigned group</w:t>
            </w:r>
          </w:p>
        </w:tc>
        <w:tc>
          <w:tcPr>
            <w:tcW w:type="dxa" w:w="12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i/>
                <w:iCs/>
                <w:color w:val="5E716B"/>
                <w:sz w:val="18"/>
                <w:szCs w:val="18"/>
              </w:rPr>
              <w:t xml:space="preserve">Email</w:t>
            </w:r>
          </w:p>
        </w:tc>
        <w:tc>
          <w:tcPr>
            <w:tcW w:type="dxa" w:w="24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i/>
                <w:iCs/>
                <w:color w:val="5E716B"/>
                <w:sz w:val="18"/>
                <w:szCs w:val="18"/>
              </w:rPr>
              <w:t xml:space="preserve">Act before breach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6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i/>
                <w:iCs/>
                <w:color w:val="5E716B"/>
                <w:sz w:val="18"/>
                <w:szCs w:val="18"/>
              </w:rPr>
              <w:t xml:space="preserve">Level 1</w:t>
            </w:r>
          </w:p>
        </w:tc>
        <w:tc>
          <w:tcPr>
            <w:tcW w:type="dxa" w:w="21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6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i/>
                <w:iCs/>
                <w:color w:val="5E716B"/>
                <w:sz w:val="18"/>
                <w:szCs w:val="18"/>
              </w:rPr>
              <w:t xml:space="preserve">On breach</w:t>
            </w:r>
          </w:p>
        </w:tc>
        <w:tc>
          <w:tcPr>
            <w:tcW w:type="dxa" w:w="27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6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i/>
                <w:iCs/>
                <w:color w:val="5E716B"/>
                <w:sz w:val="18"/>
                <w:szCs w:val="18"/>
              </w:rPr>
              <w:t xml:space="preserve">HO-Compliance (today: Doaa Mokhtar)</w:t>
            </w:r>
          </w:p>
        </w:tc>
        <w:tc>
          <w:tcPr>
            <w:tcW w:type="dxa" w:w="12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6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i/>
                <w:iCs/>
                <w:color w:val="5E716B"/>
                <w:sz w:val="18"/>
                <w:szCs w:val="18"/>
              </w:rPr>
              <w:t xml:space="preserve">Email</w:t>
            </w:r>
          </w:p>
        </w:tc>
        <w:tc>
          <w:tcPr>
            <w:tcW w:type="dxa" w:w="24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6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i/>
                <w:iCs/>
                <w:color w:val="5E716B"/>
                <w:sz w:val="18"/>
                <w:szCs w:val="18"/>
              </w:rPr>
              <w:t xml:space="preserve">Follow up with the owner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i/>
                <w:iCs/>
                <w:color w:val="5E716B"/>
                <w:sz w:val="18"/>
                <w:szCs w:val="18"/>
              </w:rPr>
              <w:t xml:space="preserve">Level 2</w:t>
            </w:r>
          </w:p>
        </w:tc>
        <w:tc>
          <w:tcPr>
            <w:tcW w:type="dxa" w:w="21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i/>
                <w:iCs/>
                <w:color w:val="5E716B"/>
                <w:sz w:val="18"/>
                <w:szCs w:val="18"/>
              </w:rPr>
              <w:t xml:space="preserve">e.g. 1 working day after breach</w:t>
            </w:r>
          </w:p>
        </w:tc>
        <w:tc>
          <w:tcPr>
            <w:tcW w:type="dxa" w:w="27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12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24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</w:tr>
      <w:tr>
        <w:trPr>
          <w:cantSplit/>
        </w:trPr>
        <w:tc>
          <w:tcPr>
            <w:tcW w:type="dxa" w:w="12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6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i/>
                <w:iCs/>
                <w:color w:val="5E716B"/>
                <w:sz w:val="18"/>
                <w:szCs w:val="18"/>
              </w:rPr>
              <w:t xml:space="preserve">Level 3</w:t>
            </w:r>
          </w:p>
        </w:tc>
        <w:tc>
          <w:tcPr>
            <w:tcW w:type="dxa" w:w="21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6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i/>
                <w:iCs/>
                <w:color w:val="5E716B"/>
                <w:sz w:val="18"/>
                <w:szCs w:val="18"/>
              </w:rPr>
              <w:t xml:space="preserve">e.g. 3 working days after breach</w:t>
            </w:r>
          </w:p>
        </w:tc>
        <w:tc>
          <w:tcPr>
            <w:tcW w:type="dxa" w:w="27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12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24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</w:tr>
      <w:tr>
        <w:trPr>
          <w:cantSplit/>
        </w:trPr>
        <w:tc>
          <w:tcPr>
            <w:tcW w:type="dxa" w:w="12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21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27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12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24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</w:tr>
    </w:tbl>
    <w:p>
      <w:pPr>
        <w:spacing w:before="240" w:after="100"/>
      </w:pPr>
      <w:r>
        <w:rPr>
          <w:rFonts w:ascii="Segoe UI" w:cs="Segoe UI" w:eastAsia="Segoe UI" w:hAnsi="Segoe UI"/>
          <w:b/>
          <w:bCs/>
          <w:color w:val="024638"/>
          <w:sz w:val="24"/>
          <w:szCs w:val="24"/>
        </w:rPr>
        <w:t xml:space="preserve">5B. Time to Investigation Decision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00"/>
        <w:gridCol w:w="2100"/>
        <w:gridCol w:w="2700"/>
        <w:gridCol w:w="1200"/>
        <w:gridCol w:w="2438"/>
      </w:tblGrid>
      <w:tr>
        <w:trPr>
          <w:cantSplit/>
          <w:tblHeader/>
        </w:trPr>
        <w:tc>
          <w:tcPr>
            <w:tcW w:type="dxa" w:w="12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0246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21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0246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  <w:tc>
          <w:tcPr>
            <w:tcW w:type="dxa" w:w="27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0246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Notify (role / group / email)</w:t>
            </w:r>
          </w:p>
        </w:tc>
        <w:tc>
          <w:tcPr>
            <w:tcW w:type="dxa" w:w="12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0246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24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0246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Action expected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i/>
                <w:iCs/>
                <w:color w:val="5E716B"/>
                <w:sz w:val="18"/>
                <w:szCs w:val="18"/>
              </w:rPr>
              <w:t xml:space="preserve">Warning</w:t>
            </w:r>
          </w:p>
        </w:tc>
        <w:tc>
          <w:tcPr>
            <w:tcW w:type="dxa" w:w="21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i/>
                <w:iCs/>
                <w:color w:val="5E716B"/>
                <w:sz w:val="18"/>
                <w:szCs w:val="18"/>
              </w:rPr>
              <w:t xml:space="preserve">e.g. 75% of target used</w:t>
            </w:r>
          </w:p>
        </w:tc>
        <w:tc>
          <w:tcPr>
            <w:tcW w:type="dxa" w:w="27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i/>
                <w:iCs/>
                <w:color w:val="5E716B"/>
                <w:sz w:val="18"/>
                <w:szCs w:val="18"/>
              </w:rPr>
              <w:t xml:space="preserve">e.g. the assigned group</w:t>
            </w:r>
          </w:p>
        </w:tc>
        <w:tc>
          <w:tcPr>
            <w:tcW w:type="dxa" w:w="12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i/>
                <w:iCs/>
                <w:color w:val="5E716B"/>
                <w:sz w:val="18"/>
                <w:szCs w:val="18"/>
              </w:rPr>
              <w:t xml:space="preserve">Email</w:t>
            </w:r>
          </w:p>
        </w:tc>
        <w:tc>
          <w:tcPr>
            <w:tcW w:type="dxa" w:w="24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i/>
                <w:iCs/>
                <w:color w:val="5E716B"/>
                <w:sz w:val="18"/>
                <w:szCs w:val="18"/>
              </w:rPr>
              <w:t xml:space="preserve">Act before breach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6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i/>
                <w:iCs/>
                <w:color w:val="5E716B"/>
                <w:sz w:val="18"/>
                <w:szCs w:val="18"/>
              </w:rPr>
              <w:t xml:space="preserve">Level 1</w:t>
            </w:r>
          </w:p>
        </w:tc>
        <w:tc>
          <w:tcPr>
            <w:tcW w:type="dxa" w:w="21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6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i/>
                <w:iCs/>
                <w:color w:val="5E716B"/>
                <w:sz w:val="18"/>
                <w:szCs w:val="18"/>
              </w:rPr>
              <w:t xml:space="preserve">On breach</w:t>
            </w:r>
          </w:p>
        </w:tc>
        <w:tc>
          <w:tcPr>
            <w:tcW w:type="dxa" w:w="27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6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i/>
                <w:iCs/>
                <w:color w:val="5E716B"/>
                <w:sz w:val="18"/>
                <w:szCs w:val="18"/>
              </w:rPr>
              <w:t xml:space="preserve">HO-Compliance (today: Doaa Mokhtar)</w:t>
            </w:r>
          </w:p>
        </w:tc>
        <w:tc>
          <w:tcPr>
            <w:tcW w:type="dxa" w:w="12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6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i/>
                <w:iCs/>
                <w:color w:val="5E716B"/>
                <w:sz w:val="18"/>
                <w:szCs w:val="18"/>
              </w:rPr>
              <w:t xml:space="preserve">Email</w:t>
            </w:r>
          </w:p>
        </w:tc>
        <w:tc>
          <w:tcPr>
            <w:tcW w:type="dxa" w:w="24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6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i/>
                <w:iCs/>
                <w:color w:val="5E716B"/>
                <w:sz w:val="18"/>
                <w:szCs w:val="18"/>
              </w:rPr>
              <w:t xml:space="preserve">Follow up with the owner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i/>
                <w:iCs/>
                <w:color w:val="5E716B"/>
                <w:sz w:val="18"/>
                <w:szCs w:val="18"/>
              </w:rPr>
              <w:t xml:space="preserve">Level 2</w:t>
            </w:r>
          </w:p>
        </w:tc>
        <w:tc>
          <w:tcPr>
            <w:tcW w:type="dxa" w:w="21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i/>
                <w:iCs/>
                <w:color w:val="5E716B"/>
                <w:sz w:val="18"/>
                <w:szCs w:val="18"/>
              </w:rPr>
              <w:t xml:space="preserve">e.g. 1 working day after breach</w:t>
            </w:r>
          </w:p>
        </w:tc>
        <w:tc>
          <w:tcPr>
            <w:tcW w:type="dxa" w:w="27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12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24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</w:tr>
      <w:tr>
        <w:trPr>
          <w:cantSplit/>
        </w:trPr>
        <w:tc>
          <w:tcPr>
            <w:tcW w:type="dxa" w:w="12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6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i/>
                <w:iCs/>
                <w:color w:val="5E716B"/>
                <w:sz w:val="18"/>
                <w:szCs w:val="18"/>
              </w:rPr>
              <w:t xml:space="preserve">Level 3</w:t>
            </w:r>
          </w:p>
        </w:tc>
        <w:tc>
          <w:tcPr>
            <w:tcW w:type="dxa" w:w="21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6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i/>
                <w:iCs/>
                <w:color w:val="5E716B"/>
                <w:sz w:val="18"/>
                <w:szCs w:val="18"/>
              </w:rPr>
              <w:t xml:space="preserve">e.g. 3 working days after breach</w:t>
            </w:r>
          </w:p>
        </w:tc>
        <w:tc>
          <w:tcPr>
            <w:tcW w:type="dxa" w:w="27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12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24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</w:tr>
      <w:tr>
        <w:trPr>
          <w:cantSplit/>
        </w:trPr>
        <w:tc>
          <w:tcPr>
            <w:tcW w:type="dxa" w:w="12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21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27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12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24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28848" w:sz="24"/>
              <w:bottom w:val="none" w:color="FFFFFF" w:sz="0"/>
              <w:right w:val="none" w:color="FFFFFF" w:sz="0"/>
            </w:tcBorders>
            <w:shd w:fill="EEF7F3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228848"/>
              </w:rPr>
              <w:t xml:space="preserve">Confidentiality: </w:t>
            </w:r>
            <w:r>
              <w:rPr>
                <w:rFonts w:ascii="Segoe UI" w:cs="Segoe UI" w:eastAsia="Segoe UI" w:hAnsi="Segoe UI"/>
                <w:color w:val="1D2B27"/>
              </w:rPr>
              <w:t xml:space="preserve">escalation emails carry only the reference number, status, owner and a link. Please confirm below if any recipient outside Jira (for example a board member) must receive them, as they would need Jira access to open the report.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2000"/>
        <w:gridCol w:w="2600"/>
        <w:gridCol w:w="2238"/>
      </w:tblGrid>
      <w:tr>
        <w:trPr>
          <w:cantSplit/>
          <w:tblHeader/>
        </w:trPr>
        <w:tc>
          <w:tcPr>
            <w:tcW w:type="dxa" w:w="28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0246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Recipient outside the Compliance team</w:t>
            </w:r>
          </w:p>
        </w:tc>
        <w:tc>
          <w:tcPr>
            <w:tcW w:type="dxa" w:w="20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0246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6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0246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Email</w:t>
            </w:r>
          </w:p>
        </w:tc>
        <w:tc>
          <w:tcPr>
            <w:tcW w:type="dxa" w:w="22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0246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Needs Jira access? (Y/N)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20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26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22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</w:tr>
      <w:tr>
        <w:trPr>
          <w:cantSplit/>
        </w:trPr>
        <w:tc>
          <w:tcPr>
            <w:tcW w:type="dxa" w:w="28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20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26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22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</w:tr>
      <w:tr>
        <w:trPr>
          <w:cantSplit/>
        </w:trPr>
        <w:tc>
          <w:tcPr>
            <w:tcW w:type="dxa" w:w="28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20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26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22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</w:tr>
    </w:tbl>
    <w:p>
      <w:pPr>
        <w:pStyle w:val="Heading1"/>
        <w:pBdr>
          <w:bottom w:val="single" w:color="36B78E" w:sz="12" w:space="4"/>
        </w:pBdr>
        <w:spacing w:before="360" w:after="160"/>
      </w:pPr>
      <w:r>
        <w:rPr>
          <w:rFonts w:ascii="Segoe UI" w:cs="Segoe UI" w:eastAsia="Segoe UI" w:hAnsi="Segoe UI"/>
        </w:rPr>
        <w:t xml:space="preserve">6. Reporting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3300"/>
        <w:gridCol w:w="3138"/>
      </w:tblGrid>
      <w:tr>
        <w:trPr>
          <w:cantSplit/>
          <w:tblHeader/>
        </w:trPr>
        <w:tc>
          <w:tcPr>
            <w:tcW w:type="dxa" w:w="32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0246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3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0246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Your answer</w:t>
            </w:r>
          </w:p>
        </w:tc>
        <w:tc>
          <w:tcPr>
            <w:tcW w:type="dxa" w:w="31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0246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Today (example)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D2B27"/>
                <w:sz w:val="18"/>
                <w:szCs w:val="18"/>
              </w:rPr>
              <w:t xml:space="preserve">SLA report needed?</w:t>
            </w:r>
          </w:p>
        </w:tc>
        <w:tc>
          <w:tcPr>
            <w:tcW w:type="dxa" w:w="33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31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i/>
                <w:iCs/>
                <w:color w:val="5E716B"/>
                <w:sz w:val="18"/>
                <w:szCs w:val="18"/>
              </w:rPr>
              <w:t xml:space="preserve">Not configured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6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D2B27"/>
                <w:sz w:val="18"/>
                <w:szCs w:val="18"/>
              </w:rPr>
              <w:t xml:space="preserve">Frequency</w:t>
            </w:r>
          </w:p>
        </w:tc>
        <w:tc>
          <w:tcPr>
            <w:tcW w:type="dxa" w:w="33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31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6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i/>
                <w:iCs/>
                <w:color w:val="5E716B"/>
                <w:sz w:val="18"/>
                <w:szCs w:val="18"/>
              </w:rPr>
              <w:t xml:space="preserve">e.g. monthly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D2B27"/>
                <w:sz w:val="18"/>
                <w:szCs w:val="18"/>
              </w:rPr>
              <w:t xml:space="preserve">Recipients</w:t>
            </w:r>
          </w:p>
        </w:tc>
        <w:tc>
          <w:tcPr>
            <w:tcW w:type="dxa" w:w="33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31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</w:tr>
      <w:tr>
        <w:trPr>
          <w:cantSplit/>
        </w:trPr>
        <w:tc>
          <w:tcPr>
            <w:tcW w:type="dxa" w:w="32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6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D2B27"/>
                <w:sz w:val="18"/>
                <w:szCs w:val="18"/>
              </w:rPr>
              <w:t xml:space="preserve">Content</w:t>
            </w:r>
          </w:p>
        </w:tc>
        <w:tc>
          <w:tcPr>
            <w:tcW w:type="dxa" w:w="33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31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6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i/>
                <w:iCs/>
                <w:color w:val="5E716B"/>
                <w:sz w:val="18"/>
                <w:szCs w:val="18"/>
              </w:rPr>
              <w:t xml:space="preserve">e.g. % within target per SLA, breaches by category and group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D2B27"/>
                <w:sz w:val="18"/>
                <w:szCs w:val="18"/>
              </w:rPr>
              <w:t xml:space="preserve">Format</w:t>
            </w:r>
          </w:p>
        </w:tc>
        <w:tc>
          <w:tcPr>
            <w:tcW w:type="dxa" w:w="33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31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i/>
                <w:iCs/>
                <w:color w:val="5E716B"/>
                <w:sz w:val="18"/>
                <w:szCs w:val="18"/>
              </w:rPr>
              <w:t xml:space="preserve">e.g. Jira dashboard / emailed PDF</w:t>
            </w:r>
          </w:p>
        </w:tc>
      </w:tr>
    </w:tbl>
    <w:p>
      <w:pPr>
        <w:pStyle w:val="Heading1"/>
        <w:pBdr>
          <w:bottom w:val="single" w:color="36B78E" w:sz="12" w:space="4"/>
        </w:pBdr>
        <w:spacing w:before="360" w:after="160"/>
      </w:pPr>
      <w:r>
        <w:rPr>
          <w:rFonts w:ascii="Segoe UI" w:cs="Segoe UI" w:eastAsia="Segoe UI" w:hAnsi="Segoe UI"/>
        </w:rPr>
        <w:t xml:space="preserve">7. Other requirements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8938"/>
      </w:tblGrid>
      <w:tr>
        <w:trPr>
          <w:cantSplit/>
          <w:tblHeader/>
        </w:trPr>
        <w:tc>
          <w:tcPr>
            <w:tcW w:type="dxa" w:w="7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0246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9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0246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89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</w:tr>
      <w:tr>
        <w:trPr>
          <w:cantSplit/>
        </w:trPr>
        <w:tc>
          <w:tcPr>
            <w:tcW w:type="dxa" w:w="7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89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</w:tr>
      <w:tr>
        <w:trPr>
          <w:cantSplit/>
        </w:trPr>
        <w:tc>
          <w:tcPr>
            <w:tcW w:type="dxa" w:w="7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89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</w:tr>
      <w:tr>
        <w:trPr>
          <w:cantSplit/>
        </w:trPr>
        <w:tc>
          <w:tcPr>
            <w:tcW w:type="dxa" w:w="7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89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</w:tr>
    </w:tbl>
    <w:p>
      <w:pPr>
        <w:pStyle w:val="Heading1"/>
        <w:pBdr>
          <w:bottom w:val="single" w:color="36B78E" w:sz="12" w:space="4"/>
        </w:pBdr>
        <w:spacing w:before="360" w:after="160"/>
      </w:pPr>
      <w:r>
        <w:rPr>
          <w:rFonts w:ascii="Segoe UI" w:cs="Segoe UI" w:eastAsia="Segoe UI" w:hAnsi="Segoe UI"/>
        </w:rPr>
        <w:t xml:space="preserve">8. Sign-off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2400"/>
        <w:gridCol w:w="2000"/>
        <w:gridCol w:w="1638"/>
      </w:tblGrid>
      <w:tr>
        <w:trPr>
          <w:cantSplit/>
          <w:tblHeader/>
        </w:trPr>
        <w:tc>
          <w:tcPr>
            <w:tcW w:type="dxa" w:w="36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0246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0246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0246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16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02463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D2B27"/>
                <w:sz w:val="18"/>
                <w:szCs w:val="18"/>
              </w:rPr>
              <w:t xml:space="preserve">Customer (ERC) – Head of Compliance</w:t>
            </w:r>
          </w:p>
        </w:tc>
        <w:tc>
          <w:tcPr>
            <w:tcW w:type="dxa" w:w="24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20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16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</w:tr>
      <w:tr>
        <w:trPr>
          <w:cantSplit/>
        </w:trPr>
        <w:tc>
          <w:tcPr>
            <w:tcW w:type="dxa" w:w="36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6FA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D2B27"/>
                <w:sz w:val="18"/>
                <w:szCs w:val="18"/>
              </w:rPr>
              <w:t xml:space="preserve">Customer (ERC) – IT / Service owner</w:t>
            </w:r>
          </w:p>
        </w:tc>
        <w:tc>
          <w:tcPr>
            <w:tcW w:type="dxa" w:w="24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20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16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</w:tr>
      <w:tr>
        <w:trPr>
          <w:cantSplit/>
        </w:trPr>
        <w:tc>
          <w:tcPr>
            <w:tcW w:type="dxa" w:w="36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color w:val="1D2B27"/>
                <w:sz w:val="18"/>
                <w:szCs w:val="18"/>
              </w:rPr>
              <w:t xml:space="preserve">Ejada – Implementation</w:t>
            </w:r>
          </w:p>
        </w:tc>
        <w:tc>
          <w:tcPr>
            <w:tcW w:type="dxa" w:w="24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UI" w:cs="Segoe UI" w:eastAsia="Segoe UI" w:hAnsi="Segoe UI"/>
                <w:i/>
                <w:iCs/>
                <w:color w:val="5E716B"/>
                <w:sz w:val="18"/>
                <w:szCs w:val="18"/>
              </w:rPr>
              <w:t xml:space="preserve">Doaa Mokhtar</w:t>
            </w:r>
          </w:p>
        </w:tc>
        <w:tc>
          <w:tcPr>
            <w:tcW w:type="dxa" w:w="2000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1638"/>
            <w:tcBorders>
              <w:top w:val="single" w:color="D6E6DF" w:sz="4"/>
              <w:left w:val="single" w:color="D6E6DF" w:sz="4"/>
              <w:bottom w:val="single" w:color="D6E6DF" w:sz="4"/>
              <w:right w:val="single" w:color="D6E6DF" w:sz="4"/>
            </w:tcBorders>
            <w:shd w:fill="FFF8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</w:tr>
    </w:tbl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300" w:right="1134" w:bottom="1100" w:left="1134" w:header="500" w:footer="5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egoe UI" w:cs="Segoe UI" w:eastAsia="Segoe UI" w:hAnsi="Segoe UI"/>
        <w:color w:val="5E716B"/>
        <w:sz w:val="16"/>
        <w:szCs w:val="16"/>
      </w:rPr>
      <w:t xml:space="preserve">Page </w:t>
    </w:r>
    <w:r>
      <w:rPr>
        <w:rFonts w:ascii="Segoe UI" w:cs="Segoe UI" w:eastAsia="Segoe UI" w:hAnsi="Segoe UI"/>
        <w:color w:val="5E716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egoe UI" w:cs="Segoe UI" w:eastAsia="Segoe UI" w:hAnsi="Segoe UI"/>
        <w:color w:val="5E716B"/>
        <w:sz w:val="16"/>
        <w:szCs w:val="16"/>
      </w:rPr>
      <w:t xml:space="preserve"> of </w:t>
    </w:r>
    <w:r>
      <w:rPr>
        <w:rFonts w:ascii="Segoe UI" w:cs="Segoe UI" w:eastAsia="Segoe UI" w:hAnsi="Segoe UI"/>
        <w:color w:val="5E716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6B78E" w:sz="8" w:space="6"/>
      </w:pBdr>
      <w:tabs>
        <w:tab w:val="right" w:pos="9638"/>
      </w:tabs>
    </w:pPr>
    <w:r>
      <w:drawing>
        <wp:inline distT="0" distB="0" distL="0" distR="0">
          <wp:extent cx="342900" cy="304800"/>
          <wp:effectExtent t="0" r="0" b="0" l="0"/>
          <wp:docPr id="1" name="icon" descr="ERC icon" title="ER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2900" cy="304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egoe UI" w:cs="Segoe UI" w:eastAsia="Segoe UI" w:hAnsi="Segoe UI"/>
        <w:color w:val="5E716B"/>
        <w:sz w:val="16"/>
        <w:szCs w:val="16"/>
      </w:rPr>
      <w:t xml:space="preserve">	Whistleblowing Reporting Portal – SLA Requirements Template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  <w:rPr>
        <w:color w:val="22884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1D2B2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Segoe UI" w:cs="Segoe UI" w:eastAsia="Segoe UI" w:hAnsi="Segoe UI"/>
      <w:b/>
      <w:bCs/>
      <w:color w:val="024638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image" Target="media/475a1c18e0a58b65db45166228d9d6a40b7e4e93.png"/><Relationship Id="rId1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303b470e73f85e34e72891e1ccaf60b10fdda2.png"/></Relationships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Whistleblowing Reporting Portal – SLA Requirements Template</dc:title>
  <dc:creator>Doaa Mokhtar</dc:creator>
  <cp:lastModifiedBy>Un-named</cp:lastModifiedBy>
  <cp:revision>1</cp:revision>
  <dcterms:created xsi:type="dcterms:W3CDTF">2026-10-19T18:17:27.090Z</dcterms:created>
  <dcterms:modified xsi:type="dcterms:W3CDTF">2026-10-19T18:17:27.092Z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