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2667000" cy="1047750"/>
            <wp:effectExtent t="0" r="0" b="0" l="0"/>
            <wp:docPr id="1" name="logo" descr="Expo 2030 Riyadh logo" title="Expo 2030 Riyad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024638" w:sz="0"/>
              <w:left w:val="none" w:color="024638" w:sz="0"/>
              <w:bottom w:val="none" w:color="024638" w:sz="0"/>
              <w:right w:val="none" w:color="024638" w:sz="0"/>
            </w:tcBorders>
            <w:shd w:fill="024638" w:color="auto" w:val="clear"/>
            <w:tcMar>
              <w:top w:type="dxa" w:w="700"/>
              <w:left w:type="dxa" w:w="520"/>
              <w:bottom w:type="dxa" w:w="700"/>
              <w:right w:type="dxa" w:w="520"/>
            </w:tcMar>
          </w:tcPr>
          <w:p>
            <w:pPr>
              <w:spacing w:after="160"/>
            </w:pPr>
            <w:r>
              <w:rPr>
                <w:rFonts w:ascii="Segoe UI" w:cs="Segoe UI" w:eastAsia="Segoe UI" w:hAnsi="Segoe UI"/>
                <w:b/>
                <w:bCs/>
                <w:color w:val="36B78E"/>
                <w:sz w:val="22"/>
                <w:szCs w:val="22"/>
              </w:rPr>
              <w:t xml:space="preserve">●  SERVICE DESK · REQUIREMENTS TEMPLATE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0"/>
                <w:szCs w:val="60"/>
              </w:rPr>
              <w:t xml:space="preserve">Service Level (SLA)</w:t>
            </w:r>
          </w:p>
          <w:p>
            <w:pPr>
              <w:spacing w:after="2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0"/>
                <w:szCs w:val="60"/>
              </w:rPr>
              <w:t xml:space="preserve">Requirements</w:t>
            </w:r>
          </w:p>
          <w:p>
            <w:pPr>
              <w:spacing w:after="320"/>
            </w:pPr>
            <w:r>
              <w:rPr>
                <w:rFonts w:ascii="Segoe UI" w:cs="Segoe UI" w:eastAsia="Segoe UI" w:hAnsi="Segoe UI"/>
                <w:color w:val="CFE3DB"/>
                <w:sz w:val="26"/>
                <w:szCs w:val="26"/>
              </w:rPr>
              <w:t xml:space="preserve">Whistleblowing Reporting Portal – targets, levels and escalation, to be completed by ERC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24638"/>
                <w:sz w:val="20"/>
                <w:szCs w:val="20"/>
                <w:shd w:fill="36B78E" w:color="auto" w:val="clear"/>
              </w:rPr>
              <w:t xml:space="preserve">  TO BE COMPLETED BY THE CUSTOMER  </w:t>
            </w:r>
          </w:p>
        </w:tc>
      </w:tr>
    </w:tbl>
    <w:p>
      <w:pPr>
        <w:spacing w:after="4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Expo 2030 Riyadh Company (ERC)</w:t>
            </w:r>
          </w:p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Service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Whistleblowing Reporting Portal (Jira Service Management)</w:t>
            </w:r>
          </w:p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Template version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Doaa Mokhtar</w:t>
            </w:r>
          </w:p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Completed by (name, role)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Approved by (name, role)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1. How to fill in this template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b/>
          <w:bCs/>
        </w:rPr>
        <w:t xml:space="preserve">Pale yellow cells </w:t>
      </w:r>
      <w:r>
        <w:rPr>
          <w:rFonts w:ascii="Segoe UI" w:cs="Segoe UI" w:eastAsia="Segoe UI" w:hAnsi="Segoe UI"/>
        </w:rPr>
        <w:t xml:space="preserve">are for you to complete.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b/>
          <w:bCs/>
        </w:rPr>
        <w:t xml:space="preserve">Grey italic values </w:t>
      </w:r>
      <w:r>
        <w:rPr>
          <w:rFonts w:ascii="Segoe UI" w:cs="Segoe UI" w:eastAsia="Segoe UI" w:hAnsi="Segoe UI"/>
        </w:rPr>
        <w:t xml:space="preserve">show what is configured today in the sandbox. Keep them, change them, or delete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</w:rPr>
        <w:t xml:space="preserve">Tick </w:t>
      </w:r>
      <w:r>
        <w:rPr>
          <w:rFonts w:ascii="Segoe UI" w:cs="Segoe UI" w:eastAsia="Segoe UI" w:hAnsi="Segoe UI"/>
          <w:b/>
          <w:bCs/>
        </w:rPr>
        <w:t xml:space="preserve">☐</w:t>
      </w:r>
      <w:r>
        <w:rPr>
          <w:rFonts w:ascii="Segoe UI" w:cs="Segoe UI" w:eastAsia="Segoe UI" w:hAnsi="Segoe UI"/>
        </w:rPr>
        <w:t xml:space="preserve"> the options that apply. Add rows wherever you need more levels.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</w:rPr>
        <w:t xml:space="preserve">Targets are measured in </w:t>
      </w:r>
      <w:r>
        <w:rPr>
          <w:rFonts w:ascii="Segoe UI" w:cs="Segoe UI" w:eastAsia="Segoe UI" w:hAnsi="Segoe UI"/>
          <w:b/>
          <w:bCs/>
        </w:rPr>
        <w:t xml:space="preserve">working time</w:t>
      </w:r>
      <w:r>
        <w:rPr>
          <w:rFonts w:ascii="Segoe UI" w:cs="Segoe UI" w:eastAsia="Segoe UI" w:hAnsi="Segoe UI"/>
        </w:rPr>
        <w:t xml:space="preserve"> on the calendar in section 2, unless you state otherwise.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28848" w:sz="24"/>
              <w:bottom w:val="none" w:color="FFFFFF" w:sz="0"/>
              <w:right w:val="none" w:color="FFFFFF" w:sz="0"/>
            </w:tcBorders>
            <w:shd w:fill="EEF7F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28848"/>
              </w:rPr>
              <w:t xml:space="preserve">Why levels matter: </w:t>
            </w:r>
            <w:r>
              <w:rPr>
                <w:rFonts w:ascii="Segoe UI" w:cs="Segoe UI" w:eastAsia="Segoe UI" w:hAnsi="Segoe UI"/>
                <w:color w:val="1D2B27"/>
              </w:rPr>
              <w:t xml:space="preserve">one target for every report is simple, but most organisations want shorter targets for serious concerns (for example retaliation or fraud) and a staged escalation: a warning before the target, then escalation to a manager, then to a higher level if still unresolved.</w:t>
            </w:r>
          </w:p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2. Working calendar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300"/>
        <w:gridCol w:w="3138"/>
      </w:tblGrid>
      <w:tr>
        <w:trPr>
          <w:tblHeader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Today (example)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Working days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Sunday – Thursday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08:00 – 16:00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Time zone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Riyadh (GMT+3)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Do weekends and holidays count?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Is a 24/7 calendar needed for any level?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Official holidays to exclude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400"/>
        <w:gridCol w:w="3038"/>
      </w:tblGrid>
      <w:tr>
        <w:trPr>
          <w:tblHeader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Holiday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Eid al-Fitr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Eid al-Adha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Founding 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National 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3. What is measured (SLA metrics)</w:t>
      </w:r>
    </w:p>
    <w:p>
      <w:pPr>
        <w:spacing w:after="120" w:line="288"/>
      </w:pPr>
      <w:r>
        <w:rPr>
          <w:rFonts w:ascii="Segoe UI" w:cs="Segoe UI" w:eastAsia="Segoe UI" w:hAnsi="Segoe UI"/>
        </w:rPr>
        <w:t xml:space="preserve">Each row is one clock. Add a row for every additional stage you want measured.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600"/>
        <w:gridCol w:w="2500"/>
        <w:gridCol w:w="2238"/>
      </w:tblGrid>
      <w:tr>
        <w:trPr>
          <w:tblHeader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SLA name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starts when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stops when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pauses when</w:t>
            </w:r>
          </w:p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Time to Compliance Decision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Report created, or returned to Back to Compliance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Under Investigation or Rejected by Compliance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Time to Investigation Decision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Report enters Under Investigation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Investigation Approved or Back to Compliance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Time to first contact with reporter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Time to close the case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Should any clock pause while waiting for the reporter or a third party?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No pause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Pause while waiting for the reporter (requires a "Waiting for reporter" status)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Pause while waiting for a third party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Other: ____________________</w:t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4. Targets by level</w:t>
      </w: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How should targets differ? (tick one)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One target for all reports (today)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severity or priority (fill in table 4A)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report category (fill in table 4B)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both severity and category</w:t>
      </w:r>
    </w:p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4A. Targets by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400"/>
        <w:gridCol w:w="2300"/>
        <w:gridCol w:w="2338"/>
      </w:tblGrid>
      <w:tr>
        <w:trPr>
          <w:tblHeader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Compliance Decision target</w:t>
            </w:r>
          </w:p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Investigation Decision target</w:t>
            </w:r>
          </w:p>
        </w:tc>
      </w:tr>
      <w:t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immediate risk to people, large fraud</w:t>
            </w:r>
          </w:p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2 working days</w:t>
            </w:r>
          </w:p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2 working days</w:t>
            </w:r>
          </w:p>
        </w:tc>
      </w:tr>
      <w:t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4B. Targets by report category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2200"/>
        <w:gridCol w:w="2238"/>
      </w:tblGrid>
      <w:tr>
        <w:trPr>
          <w:tblHeader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Report category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Compliance Decision target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Investigation Decision target</w:t>
            </w:r>
          </w:p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Fraud, Theft, Embezzlement or Asset Misappropriation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Bribery, Corruption, Kickbacks or Trading in Influence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Money Laundering, Terrorist Financing or Sanctions Concerns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Procurement Manipulation, Collusion, Bid Rigging or Conflict of Interest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Harassment, Discrimination, Bullying or Abuse of Authority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Health, Safety, Environmental or Heritage-Protection Breach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Information Security, Data Protection or Systems Misuse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Other Regulatory or License Compliance Breach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Retaliation Against a Reporter or Witness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Who sets the severity of a report?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Compliance Manager, in the Compliance Approval form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Set automatically from the category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Other: ____________________</w:t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5. Warnings and escalation levels</w:t>
      </w:r>
    </w:p>
    <w:p>
      <w:pPr>
        <w:spacing w:after="120" w:line="288"/>
      </w:pPr>
      <w:r>
        <w:rPr>
          <w:rFonts w:ascii="Segoe UI" w:cs="Segoe UI" w:eastAsia="Segoe UI" w:hAnsi="Segoe UI"/>
        </w:rPr>
        <w:t xml:space="preserve">Fill in one table per SLA. Each row is one level. Today a single level exists: an email to HO-Compliance when the target is missed.</w:t>
      </w:r>
    </w:p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5A. Time to Compliance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100"/>
        <w:gridCol w:w="2700"/>
        <w:gridCol w:w="12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Notify (role / group / email)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expected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Warning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75% of target used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the assigned group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Act before breach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1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On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HO-Compliance (today: Doaa Mokhtar)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Follow up with the owner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2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1 working day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3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3 working days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5B. Time to Investigation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100"/>
        <w:gridCol w:w="2700"/>
        <w:gridCol w:w="1200"/>
        <w:gridCol w:w="2438"/>
      </w:tblGrid>
      <w:tr>
        <w:trPr>
          <w:tblHeader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Notify (role / group / email)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expected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Warning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75% of target used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the assigned group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Act before breach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1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On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HO-Compliance (today: Doaa Mokhtar)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Follow up with the owner</w:t>
            </w:r>
          </w:p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2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1 working day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3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3 working days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28848" w:sz="24"/>
              <w:bottom w:val="none" w:color="FFFFFF" w:sz="0"/>
              <w:right w:val="none" w:color="FFFFFF" w:sz="0"/>
            </w:tcBorders>
            <w:shd w:fill="EEF7F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28848"/>
              </w:rPr>
              <w:t xml:space="preserve">Confidentiality: </w:t>
            </w:r>
            <w:r>
              <w:rPr>
                <w:rFonts w:ascii="Segoe UI" w:cs="Segoe UI" w:eastAsia="Segoe UI" w:hAnsi="Segoe UI"/>
                <w:color w:val="1D2B27"/>
              </w:rPr>
              <w:t xml:space="preserve">escalation emails carry only the reference number, status, owner and a link. Please confirm below if any recipient outside Jira (for example a board member) must receive them, as they would need Jira access to open the report.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000"/>
        <w:gridCol w:w="26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Recipient outside the Compliance team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Needs Jira access? (Y/N)</w:t>
            </w:r>
          </w:p>
        </w:tc>
      </w:tr>
      <w:t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6. Reporting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300"/>
        <w:gridCol w:w="3138"/>
      </w:tblGrid>
      <w:tr>
        <w:trPr>
          <w:tblHeader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Today (example)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SLA report needed?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Not configured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Frequency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monthly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Recipients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Content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% within target per SLA, breaches by category and group</w:t>
            </w:r>
          </w:p>
        </w:tc>
      </w:tr>
      <w:t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Format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Jira dashboard / emailed PDF</w:t>
            </w:r>
          </w:p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7. Other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8.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400"/>
        <w:gridCol w:w="2000"/>
        <w:gridCol w:w="1638"/>
      </w:tblGrid>
      <w:tr>
        <w:trPr>
          <w:tblHeader/>
        </w:trP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 (ERC) – Head of Compliance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 (ERC) – IT / Service owner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Ejada – Implementation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Doaa Mokhtar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00" w:left="1134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E716B"/>
        <w:sz w:val="16"/>
        <w:szCs w:val="16"/>
      </w:rPr>
      <w:t xml:space="preserve">Page </w:t>
    </w:r>
    <w:r>
      <w:rPr>
        <w:rFonts w:ascii="Segoe UI" w:cs="Segoe UI" w:eastAsia="Segoe UI" w:hAnsi="Segoe UI"/>
        <w:color w:val="5E71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E716B"/>
        <w:sz w:val="16"/>
        <w:szCs w:val="16"/>
      </w:rPr>
      <w:t xml:space="preserve"> of </w:t>
    </w:r>
    <w:r>
      <w:rPr>
        <w:rFonts w:ascii="Segoe UI" w:cs="Segoe UI" w:eastAsia="Segoe UI" w:hAnsi="Segoe UI"/>
        <w:color w:val="5E71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6B78E" w:sz="8" w:space="6"/>
      </w:pBdr>
      <w:tabs>
        <w:tab w:val="right" w:pos="9638"/>
      </w:tabs>
    </w:pPr>
    <w:r>
      <w:drawing>
        <wp:inline distT="0" distB="0" distL="0" distR="0">
          <wp:extent cx="342900" cy="304800"/>
          <wp:effectExtent t="0" r="0" b="0" l="0"/>
          <wp:docPr id="1" name="icon" descr="ERC icon" title="E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egoe UI" w:cs="Segoe UI" w:eastAsia="Segoe UI" w:hAnsi="Segoe UI"/>
        <w:color w:val="5E716B"/>
        <w:sz w:val="16"/>
        <w:szCs w:val="16"/>
      </w:rPr>
      <w:t xml:space="preserve">	Whistleblowing Reporting Portal – SLA Requirements Template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2884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D2B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color w:val="02463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75a1c18e0a58b65db45166228d9d6a40b7e4e93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303b470e73f85e34e72891e1ccaf60b10fdda2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Whistleblowing Reporting Portal – SLA Requirements Template</dc:title>
  <dc:creator>Doaa Mokhtar</dc:creator>
  <cp:lastModifiedBy>Un-named</cp:lastModifiedBy>
  <cp:revision>1</cp:revision>
  <dcterms:created xsi:type="dcterms:W3CDTF">2026-10-19T18:01:02.484Z</dcterms:created>
  <dcterms:modified xsi:type="dcterms:W3CDTF">2026-10-19T18:01:02.486Z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