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5548" w:rsidRDefault="001619D9">
      <w:pPr>
        <w:spacing w:after="600"/>
      </w:pPr>
      <w:bookmarkStart w:id="0" w:name="_GoBack"/>
      <w:bookmarkEnd w:id="0"/>
      <w:r>
        <w:rPr>
          <w:noProof/>
        </w:rPr>
        <w:drawing>
          <wp:inline distT="0" distB="0" distL="0" distR="0">
            <wp:extent cx="1619250" cy="704850"/>
            <wp:effectExtent l="0" t="0" r="0" b="0"/>
            <wp:docPr id="1" name="logo" descr="ejada logo" title="ej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704850"/>
                    </a:xfrm>
                    <a:prstGeom prst="rect">
                      <a:avLst/>
                    </a:prstGeom>
                  </pic:spPr>
                </pic:pic>
              </a:graphicData>
            </a:graphic>
          </wp:inline>
        </w:drawing>
      </w:r>
    </w:p>
    <w:tbl>
      <w:tblPr>
        <w:tblW w:w="9638" w:type="dxa"/>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A5548">
        <w:tblPrEx>
          <w:tblCellMar>
            <w:top w:w="0" w:type="dxa"/>
            <w:bottom w:w="0" w:type="dxa"/>
          </w:tblCellMar>
        </w:tblPrEx>
        <w:tc>
          <w:tcPr>
            <w:tcW w:w="9638" w:type="dxa"/>
            <w:tcBorders>
              <w:top w:val="none" w:sz="0" w:space="0" w:color="0A1A8F"/>
              <w:left w:val="none" w:sz="0" w:space="0" w:color="0A1A8F"/>
              <w:bottom w:val="none" w:sz="0" w:space="0" w:color="0A1A8F"/>
              <w:right w:val="none" w:sz="0" w:space="0" w:color="0A1A8F"/>
            </w:tcBorders>
            <w:shd w:val="clear" w:color="auto" w:fill="0A1A8F"/>
            <w:tcMar>
              <w:top w:w="700" w:type="dxa"/>
              <w:left w:w="520" w:type="dxa"/>
              <w:bottom w:w="700" w:type="dxa"/>
              <w:right w:w="520" w:type="dxa"/>
            </w:tcMar>
          </w:tcPr>
          <w:p w:rsidR="000A5548" w:rsidRDefault="001619D9">
            <w:pPr>
              <w:spacing w:after="160"/>
            </w:pPr>
            <w:r>
              <w:rPr>
                <w:b/>
                <w:bCs/>
                <w:color w:val="2EE096"/>
                <w:sz w:val="22"/>
                <w:szCs w:val="22"/>
              </w:rPr>
              <w:t>●  SERVICE DESK · USER GUIDE</w:t>
            </w:r>
          </w:p>
          <w:p w:rsidR="000A5548" w:rsidRDefault="001619D9">
            <w:pPr>
              <w:spacing w:after="80"/>
            </w:pPr>
            <w:r>
              <w:rPr>
                <w:b/>
                <w:bCs/>
                <w:color w:val="FFFFFF"/>
                <w:sz w:val="64"/>
                <w:szCs w:val="64"/>
              </w:rPr>
              <w:t>Whistleblowing</w:t>
            </w:r>
          </w:p>
          <w:p w:rsidR="000A5548" w:rsidRDefault="001619D9">
            <w:pPr>
              <w:spacing w:after="240"/>
            </w:pPr>
            <w:r>
              <w:rPr>
                <w:b/>
                <w:bCs/>
                <w:color w:val="FFFFFF"/>
                <w:sz w:val="64"/>
                <w:szCs w:val="64"/>
              </w:rPr>
              <w:t>Reporting Portal</w:t>
            </w:r>
          </w:p>
          <w:p w:rsidR="000A5548" w:rsidRDefault="001619D9">
            <w:pPr>
              <w:spacing w:after="320"/>
            </w:pPr>
            <w:r>
              <w:rPr>
                <w:color w:val="D6DCFF"/>
                <w:sz w:val="26"/>
                <w:szCs w:val="26"/>
              </w:rPr>
              <w:t>How to submit, review and investigate reports in Jira Service Management</w:t>
            </w:r>
          </w:p>
          <w:p w:rsidR="000A5548" w:rsidRDefault="001619D9">
            <w:r>
              <w:rPr>
                <w:b/>
                <w:bCs/>
                <w:color w:val="0A1A8F"/>
                <w:sz w:val="20"/>
                <w:szCs w:val="20"/>
                <w:shd w:val="clear" w:color="auto" w:fill="2EE096"/>
              </w:rPr>
              <w:t xml:space="preserve">  DRAFT · SANDBOX  </w:t>
            </w:r>
          </w:p>
        </w:tc>
      </w:tr>
    </w:tbl>
    <w:p w:rsidR="000A5548" w:rsidRDefault="000A5548">
      <w:pPr>
        <w:spacing w:after="480"/>
      </w:pP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038"/>
      </w:tblGrid>
      <w:tr w:rsidR="000A5548">
        <w:tblPrEx>
          <w:tblCellMar>
            <w:top w:w="0" w:type="dxa"/>
            <w:bottom w:w="0" w:type="dxa"/>
          </w:tblCellMar>
        </w:tblPrEx>
        <w:trPr>
          <w:tblHeader/>
        </w:trPr>
        <w:tc>
          <w:tcPr>
            <w:tcW w:w="2600" w:type="dxa"/>
            <w:tcBorders>
              <w:top w:val="single" w:sz="4" w:space="0" w:color="D5DAEA"/>
              <w:left w:val="single" w:sz="4" w:space="0" w:color="D5DAEA"/>
              <w:bottom w:val="single" w:sz="4" w:space="0" w:color="D5DAEA"/>
              <w:right w:val="single" w:sz="4" w:space="0" w:color="D5DAEA"/>
            </w:tcBorders>
            <w:shd w:val="clear" w:color="auto" w:fill="0A1A8F"/>
            <w:tcMar>
              <w:top w:w="80" w:type="dxa"/>
              <w:left w:w="110" w:type="dxa"/>
              <w:bottom w:w="80" w:type="dxa"/>
              <w:right w:w="110" w:type="dxa"/>
            </w:tcMar>
            <w:vAlign w:val="center"/>
          </w:tcPr>
          <w:p w:rsidR="000A5548" w:rsidRDefault="001619D9">
            <w:r>
              <w:rPr>
                <w:b/>
                <w:bCs/>
                <w:color w:val="FFFFFF"/>
                <w:sz w:val="19"/>
                <w:szCs w:val="19"/>
              </w:rPr>
              <w:t>Item</w:t>
            </w:r>
          </w:p>
        </w:tc>
        <w:tc>
          <w:tcPr>
            <w:tcW w:w="7038" w:type="dxa"/>
            <w:tcBorders>
              <w:top w:val="single" w:sz="4" w:space="0" w:color="D5DAEA"/>
              <w:left w:val="single" w:sz="4" w:space="0" w:color="D5DAEA"/>
              <w:bottom w:val="single" w:sz="4" w:space="0" w:color="D5DAEA"/>
              <w:right w:val="single" w:sz="4" w:space="0" w:color="D5DAEA"/>
            </w:tcBorders>
            <w:shd w:val="clear" w:color="auto" w:fill="0A1A8F"/>
            <w:tcMar>
              <w:top w:w="80" w:type="dxa"/>
              <w:left w:w="110" w:type="dxa"/>
              <w:bottom w:w="80" w:type="dxa"/>
              <w:right w:w="110" w:type="dxa"/>
            </w:tcMar>
            <w:vAlign w:val="center"/>
          </w:tcPr>
          <w:p w:rsidR="000A5548" w:rsidRDefault="001619D9">
            <w:r>
              <w:rPr>
                <w:b/>
                <w:bCs/>
                <w:color w:val="FFFFFF"/>
                <w:sz w:val="19"/>
                <w:szCs w:val="19"/>
              </w:rPr>
              <w:t>Detail</w:t>
            </w:r>
          </w:p>
        </w:tc>
      </w:tr>
      <w:tr w:rsidR="000A5548">
        <w:tblPrEx>
          <w:tblCellMar>
            <w:top w:w="0" w:type="dxa"/>
            <w:bottom w:w="0" w:type="dxa"/>
          </w:tblCellMar>
        </w:tblPrEx>
        <w:tc>
          <w:tcPr>
            <w:tcW w:w="26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Document</w:t>
            </w:r>
          </w:p>
        </w:tc>
        <w:tc>
          <w:tcPr>
            <w:tcW w:w="7038"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Whistleblowing Reporting Portal – User Guide</w:t>
            </w:r>
          </w:p>
        </w:tc>
      </w:tr>
      <w:tr w:rsidR="000A5548">
        <w:tblPrEx>
          <w:tblCellMar>
            <w:top w:w="0" w:type="dxa"/>
            <w:bottom w:w="0" w:type="dxa"/>
          </w:tblCellMar>
        </w:tblPrEx>
        <w:tc>
          <w:tcPr>
            <w:tcW w:w="26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Version</w:t>
            </w:r>
          </w:p>
        </w:tc>
        <w:tc>
          <w:tcPr>
            <w:tcW w:w="7038"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1.0 (draft)</w:t>
            </w:r>
          </w:p>
        </w:tc>
      </w:tr>
      <w:tr w:rsidR="000A5548">
        <w:tblPrEx>
          <w:tblCellMar>
            <w:top w:w="0" w:type="dxa"/>
            <w:bottom w:w="0" w:type="dxa"/>
          </w:tblCellMar>
        </w:tblPrEx>
        <w:tc>
          <w:tcPr>
            <w:tcW w:w="26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Date</w:t>
            </w:r>
          </w:p>
        </w:tc>
        <w:tc>
          <w:tcPr>
            <w:tcW w:w="7038"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19 October 2026</w:t>
            </w:r>
          </w:p>
        </w:tc>
      </w:tr>
      <w:tr w:rsidR="000A5548">
        <w:tblPrEx>
          <w:tblCellMar>
            <w:top w:w="0" w:type="dxa"/>
            <w:bottom w:w="0" w:type="dxa"/>
          </w:tblCellMar>
        </w:tblPrEx>
        <w:tc>
          <w:tcPr>
            <w:tcW w:w="26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Prepared by</w:t>
            </w:r>
          </w:p>
        </w:tc>
        <w:tc>
          <w:tcPr>
            <w:tcW w:w="7038"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Doaa Mokhtar</w:t>
            </w:r>
          </w:p>
        </w:tc>
      </w:tr>
      <w:tr w:rsidR="000A5548">
        <w:tblPrEx>
          <w:tblCellMar>
            <w:top w:w="0" w:type="dxa"/>
            <w:bottom w:w="0" w:type="dxa"/>
          </w:tblCellMar>
        </w:tblPrEx>
        <w:tc>
          <w:tcPr>
            <w:tcW w:w="26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Client</w:t>
            </w:r>
          </w:p>
        </w:tc>
        <w:tc>
          <w:tcPr>
            <w:tcW w:w="7038"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ERC</w:t>
            </w:r>
          </w:p>
        </w:tc>
      </w:tr>
      <w:tr w:rsidR="000A5548">
        <w:tblPrEx>
          <w:tblCellMar>
            <w:top w:w="0" w:type="dxa"/>
            <w:bottom w:w="0" w:type="dxa"/>
          </w:tblCellMar>
        </w:tblPrEx>
        <w:tc>
          <w:tcPr>
            <w:tcW w:w="26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Environment</w:t>
            </w:r>
          </w:p>
        </w:tc>
        <w:tc>
          <w:tcPr>
            <w:tcW w:w="7038"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Sandbox (erc-sd-sandbox.atlassian.net)</w:t>
            </w:r>
          </w:p>
        </w:tc>
      </w:tr>
      <w:tr w:rsidR="000A5548">
        <w:tblPrEx>
          <w:tblCellMar>
            <w:top w:w="0" w:type="dxa"/>
            <w:bottom w:w="0" w:type="dxa"/>
          </w:tblCellMar>
        </w:tblPrEx>
        <w:tc>
          <w:tcPr>
            <w:tcW w:w="26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Status</w:t>
            </w:r>
          </w:p>
        </w:tc>
        <w:tc>
          <w:tcPr>
            <w:tcW w:w="7038"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Draft – to be updated with live ERC data before release</w:t>
            </w:r>
          </w:p>
        </w:tc>
      </w:tr>
    </w:tbl>
    <w:p w:rsidR="000A5548" w:rsidRDefault="001619D9">
      <w:r>
        <w:br w:type="page"/>
      </w:r>
    </w:p>
    <w:p w:rsidR="000A5548" w:rsidRDefault="001619D9">
      <w:pPr>
        <w:spacing w:after="160"/>
      </w:pPr>
      <w:r>
        <w:rPr>
          <w:b/>
          <w:bCs/>
          <w:color w:val="0A1A8F"/>
          <w:sz w:val="32"/>
          <w:szCs w:val="32"/>
        </w:rPr>
        <w:lastRenderedPageBreak/>
        <w:t>Contents</w:t>
      </w:r>
    </w:p>
    <w:sdt>
      <w:sdtPr>
        <w:alias w:val="Contents"/>
        <w:id w:val="-23636377"/>
      </w:sdtPr>
      <w:sdtEndPr/>
      <w:sdtContent>
        <w:p w:rsidR="001619D9" w:rsidRDefault="001619D9">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"1-1"</w:instrText>
          </w:r>
          <w:r>
            <w:fldChar w:fldCharType="separate"/>
          </w:r>
          <w:hyperlink w:anchor="_Toc243263634" w:history="1">
            <w:r w:rsidRPr="00EA6AFA">
              <w:rPr>
                <w:rStyle w:val="Hyperlink"/>
                <w:noProof/>
              </w:rPr>
              <w:t>1. About the portal</w:t>
            </w:r>
            <w:r>
              <w:rPr>
                <w:noProof/>
              </w:rPr>
              <w:tab/>
            </w:r>
            <w:r>
              <w:rPr>
                <w:noProof/>
              </w:rPr>
              <w:fldChar w:fldCharType="begin"/>
            </w:r>
            <w:r>
              <w:rPr>
                <w:noProof/>
              </w:rPr>
              <w:instrText xml:space="preserve"> PAGEREF _Toc243263634 \h </w:instrText>
            </w:r>
            <w:r>
              <w:rPr>
                <w:noProof/>
              </w:rPr>
            </w:r>
            <w:r>
              <w:rPr>
                <w:noProof/>
              </w:rPr>
              <w:fldChar w:fldCharType="separate"/>
            </w:r>
            <w:r>
              <w:rPr>
                <w:noProof/>
              </w:rPr>
              <w:t>3</w:t>
            </w:r>
            <w:r>
              <w:rPr>
                <w:noProof/>
              </w:rPr>
              <w:fldChar w:fldCharType="end"/>
            </w:r>
          </w:hyperlink>
        </w:p>
        <w:p w:rsidR="001619D9" w:rsidRDefault="001619D9">
          <w:pPr>
            <w:pStyle w:val="TOC1"/>
            <w:tabs>
              <w:tab w:val="right" w:leader="dot" w:pos="9628"/>
            </w:tabs>
            <w:rPr>
              <w:rFonts w:asciiTheme="minorHAnsi" w:eastAsiaTheme="minorEastAsia" w:hAnsiTheme="minorHAnsi" w:cstheme="minorBidi"/>
              <w:noProof/>
              <w:color w:val="auto"/>
              <w:sz w:val="22"/>
              <w:szCs w:val="22"/>
            </w:rPr>
          </w:pPr>
          <w:hyperlink w:anchor="_Toc243263635" w:history="1">
            <w:r w:rsidRPr="00EA6AFA">
              <w:rPr>
                <w:rStyle w:val="Hyperlink"/>
                <w:noProof/>
              </w:rPr>
              <w:t>2. How to submit a report</w:t>
            </w:r>
            <w:r>
              <w:rPr>
                <w:noProof/>
              </w:rPr>
              <w:tab/>
            </w:r>
            <w:r>
              <w:rPr>
                <w:noProof/>
              </w:rPr>
              <w:fldChar w:fldCharType="begin"/>
            </w:r>
            <w:r>
              <w:rPr>
                <w:noProof/>
              </w:rPr>
              <w:instrText xml:space="preserve"> PAGEREF _Toc243263635 \h </w:instrText>
            </w:r>
            <w:r>
              <w:rPr>
                <w:noProof/>
              </w:rPr>
            </w:r>
            <w:r>
              <w:rPr>
                <w:noProof/>
              </w:rPr>
              <w:fldChar w:fldCharType="separate"/>
            </w:r>
            <w:r>
              <w:rPr>
                <w:noProof/>
              </w:rPr>
              <w:t>3</w:t>
            </w:r>
            <w:r>
              <w:rPr>
                <w:noProof/>
              </w:rPr>
              <w:fldChar w:fldCharType="end"/>
            </w:r>
          </w:hyperlink>
        </w:p>
        <w:p w:rsidR="001619D9" w:rsidRDefault="001619D9">
          <w:pPr>
            <w:pStyle w:val="TOC1"/>
            <w:tabs>
              <w:tab w:val="right" w:leader="dot" w:pos="9628"/>
            </w:tabs>
            <w:rPr>
              <w:rFonts w:asciiTheme="minorHAnsi" w:eastAsiaTheme="minorEastAsia" w:hAnsiTheme="minorHAnsi" w:cstheme="minorBidi"/>
              <w:noProof/>
              <w:color w:val="auto"/>
              <w:sz w:val="22"/>
              <w:szCs w:val="22"/>
            </w:rPr>
          </w:pPr>
          <w:hyperlink w:anchor="_Toc243263636" w:history="1">
            <w:r w:rsidRPr="00EA6AFA">
              <w:rPr>
                <w:rStyle w:val="Hyperlink"/>
                <w:noProof/>
              </w:rPr>
              <w:t>3. What happens after you submit</w:t>
            </w:r>
            <w:r>
              <w:rPr>
                <w:noProof/>
              </w:rPr>
              <w:tab/>
            </w:r>
            <w:r>
              <w:rPr>
                <w:noProof/>
              </w:rPr>
              <w:fldChar w:fldCharType="begin"/>
            </w:r>
            <w:r>
              <w:rPr>
                <w:noProof/>
              </w:rPr>
              <w:instrText xml:space="preserve"> PAGEREF _Toc243263636 \h </w:instrText>
            </w:r>
            <w:r>
              <w:rPr>
                <w:noProof/>
              </w:rPr>
            </w:r>
            <w:r>
              <w:rPr>
                <w:noProof/>
              </w:rPr>
              <w:fldChar w:fldCharType="separate"/>
            </w:r>
            <w:r>
              <w:rPr>
                <w:noProof/>
              </w:rPr>
              <w:t>4</w:t>
            </w:r>
            <w:r>
              <w:rPr>
                <w:noProof/>
              </w:rPr>
              <w:fldChar w:fldCharType="end"/>
            </w:r>
          </w:hyperlink>
        </w:p>
        <w:p w:rsidR="001619D9" w:rsidRDefault="001619D9">
          <w:pPr>
            <w:pStyle w:val="TOC1"/>
            <w:tabs>
              <w:tab w:val="right" w:leader="dot" w:pos="9628"/>
            </w:tabs>
            <w:rPr>
              <w:rFonts w:asciiTheme="minorHAnsi" w:eastAsiaTheme="minorEastAsia" w:hAnsiTheme="minorHAnsi" w:cstheme="minorBidi"/>
              <w:noProof/>
              <w:color w:val="auto"/>
              <w:sz w:val="22"/>
              <w:szCs w:val="22"/>
            </w:rPr>
          </w:pPr>
          <w:hyperlink w:anchor="_Toc243263637" w:history="1">
            <w:r w:rsidRPr="00EA6AFA">
              <w:rPr>
                <w:rStyle w:val="Hyperlink"/>
                <w:noProof/>
              </w:rPr>
              <w:t>4. For the Compliance Manager</w:t>
            </w:r>
            <w:r>
              <w:rPr>
                <w:noProof/>
              </w:rPr>
              <w:tab/>
            </w:r>
            <w:r>
              <w:rPr>
                <w:noProof/>
              </w:rPr>
              <w:fldChar w:fldCharType="begin"/>
            </w:r>
            <w:r>
              <w:rPr>
                <w:noProof/>
              </w:rPr>
              <w:instrText xml:space="preserve"> PAGEREF _Toc243263637 \h </w:instrText>
            </w:r>
            <w:r>
              <w:rPr>
                <w:noProof/>
              </w:rPr>
            </w:r>
            <w:r>
              <w:rPr>
                <w:noProof/>
              </w:rPr>
              <w:fldChar w:fldCharType="separate"/>
            </w:r>
            <w:r>
              <w:rPr>
                <w:noProof/>
              </w:rPr>
              <w:t>4</w:t>
            </w:r>
            <w:r>
              <w:rPr>
                <w:noProof/>
              </w:rPr>
              <w:fldChar w:fldCharType="end"/>
            </w:r>
          </w:hyperlink>
        </w:p>
        <w:p w:rsidR="001619D9" w:rsidRDefault="001619D9">
          <w:pPr>
            <w:pStyle w:val="TOC1"/>
            <w:tabs>
              <w:tab w:val="right" w:leader="dot" w:pos="9628"/>
            </w:tabs>
            <w:rPr>
              <w:rFonts w:asciiTheme="minorHAnsi" w:eastAsiaTheme="minorEastAsia" w:hAnsiTheme="minorHAnsi" w:cstheme="minorBidi"/>
              <w:noProof/>
              <w:color w:val="auto"/>
              <w:sz w:val="22"/>
              <w:szCs w:val="22"/>
            </w:rPr>
          </w:pPr>
          <w:hyperlink w:anchor="_Toc243263638" w:history="1">
            <w:r w:rsidRPr="00EA6AFA">
              <w:rPr>
                <w:rStyle w:val="Hyperlink"/>
                <w:noProof/>
              </w:rPr>
              <w:t>5. For investigation teams</w:t>
            </w:r>
            <w:r>
              <w:rPr>
                <w:noProof/>
              </w:rPr>
              <w:tab/>
            </w:r>
            <w:r>
              <w:rPr>
                <w:noProof/>
              </w:rPr>
              <w:fldChar w:fldCharType="begin"/>
            </w:r>
            <w:r>
              <w:rPr>
                <w:noProof/>
              </w:rPr>
              <w:instrText xml:space="preserve"> PAGEREF _Toc243263638 \h </w:instrText>
            </w:r>
            <w:r>
              <w:rPr>
                <w:noProof/>
              </w:rPr>
            </w:r>
            <w:r>
              <w:rPr>
                <w:noProof/>
              </w:rPr>
              <w:fldChar w:fldCharType="separate"/>
            </w:r>
            <w:r>
              <w:rPr>
                <w:noProof/>
              </w:rPr>
              <w:t>5</w:t>
            </w:r>
            <w:r>
              <w:rPr>
                <w:noProof/>
              </w:rPr>
              <w:fldChar w:fldCharType="end"/>
            </w:r>
          </w:hyperlink>
        </w:p>
        <w:p w:rsidR="001619D9" w:rsidRDefault="001619D9">
          <w:pPr>
            <w:pStyle w:val="TOC1"/>
            <w:tabs>
              <w:tab w:val="right" w:leader="dot" w:pos="9628"/>
            </w:tabs>
            <w:rPr>
              <w:rFonts w:asciiTheme="minorHAnsi" w:eastAsiaTheme="minorEastAsia" w:hAnsiTheme="minorHAnsi" w:cstheme="minorBidi"/>
              <w:noProof/>
              <w:color w:val="auto"/>
              <w:sz w:val="22"/>
              <w:szCs w:val="22"/>
            </w:rPr>
          </w:pPr>
          <w:hyperlink w:anchor="_Toc243263639" w:history="1">
            <w:r w:rsidRPr="00EA6AFA">
              <w:rPr>
                <w:rStyle w:val="Hyperlink"/>
                <w:noProof/>
              </w:rPr>
              <w:t>6. Groups: who sees what and who can do what</w:t>
            </w:r>
            <w:r>
              <w:rPr>
                <w:noProof/>
              </w:rPr>
              <w:tab/>
            </w:r>
            <w:r>
              <w:rPr>
                <w:noProof/>
              </w:rPr>
              <w:fldChar w:fldCharType="begin"/>
            </w:r>
            <w:r>
              <w:rPr>
                <w:noProof/>
              </w:rPr>
              <w:instrText xml:space="preserve"> PAGEREF _Toc243263639 \h </w:instrText>
            </w:r>
            <w:r>
              <w:rPr>
                <w:noProof/>
              </w:rPr>
            </w:r>
            <w:r>
              <w:rPr>
                <w:noProof/>
              </w:rPr>
              <w:fldChar w:fldCharType="separate"/>
            </w:r>
            <w:r>
              <w:rPr>
                <w:noProof/>
              </w:rPr>
              <w:t>6</w:t>
            </w:r>
            <w:r>
              <w:rPr>
                <w:noProof/>
              </w:rPr>
              <w:fldChar w:fldCharType="end"/>
            </w:r>
          </w:hyperlink>
        </w:p>
        <w:p w:rsidR="001619D9" w:rsidRDefault="001619D9">
          <w:pPr>
            <w:pStyle w:val="TOC1"/>
            <w:tabs>
              <w:tab w:val="right" w:leader="dot" w:pos="9628"/>
            </w:tabs>
            <w:rPr>
              <w:rFonts w:asciiTheme="minorHAnsi" w:eastAsiaTheme="minorEastAsia" w:hAnsiTheme="minorHAnsi" w:cstheme="minorBidi"/>
              <w:noProof/>
              <w:color w:val="auto"/>
              <w:sz w:val="22"/>
              <w:szCs w:val="22"/>
            </w:rPr>
          </w:pPr>
          <w:hyperlink w:anchor="_Toc243263640" w:history="1">
            <w:r w:rsidRPr="00EA6AFA">
              <w:rPr>
                <w:rStyle w:val="Hyperlink"/>
                <w:noProof/>
              </w:rPr>
              <w:t>7. Service levels and escalation</w:t>
            </w:r>
            <w:r>
              <w:rPr>
                <w:noProof/>
              </w:rPr>
              <w:tab/>
            </w:r>
            <w:r>
              <w:rPr>
                <w:noProof/>
              </w:rPr>
              <w:fldChar w:fldCharType="begin"/>
            </w:r>
            <w:r>
              <w:rPr>
                <w:noProof/>
              </w:rPr>
              <w:instrText xml:space="preserve"> PAGEREF _Toc243263640 \h </w:instrText>
            </w:r>
            <w:r>
              <w:rPr>
                <w:noProof/>
              </w:rPr>
            </w:r>
            <w:r>
              <w:rPr>
                <w:noProof/>
              </w:rPr>
              <w:fldChar w:fldCharType="separate"/>
            </w:r>
            <w:r>
              <w:rPr>
                <w:noProof/>
              </w:rPr>
              <w:t>7</w:t>
            </w:r>
            <w:r>
              <w:rPr>
                <w:noProof/>
              </w:rPr>
              <w:fldChar w:fldCharType="end"/>
            </w:r>
          </w:hyperlink>
        </w:p>
        <w:p w:rsidR="000A5548" w:rsidRDefault="001619D9">
          <w:r>
            <w:fldChar w:fldCharType="end"/>
          </w:r>
        </w:p>
      </w:sdtContent>
    </w:sdt>
    <w:p w:rsidR="000A5548" w:rsidRDefault="001619D9">
      <w:pPr>
        <w:spacing w:after="120" w:line="288" w:lineRule="auto"/>
      </w:pPr>
      <w:r>
        <w:rPr>
          <w:i/>
          <w:iCs/>
          <w:color w:val="6B7385"/>
          <w:sz w:val="18"/>
          <w:szCs w:val="18"/>
        </w:rPr>
        <w:t>Right-click the list and choose Update Field if page numbers are missing.</w:t>
      </w: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A5548">
        <w:tblPrEx>
          <w:tblCellMar>
            <w:top w:w="0" w:type="dxa"/>
            <w:bottom w:w="0" w:type="dxa"/>
          </w:tblCellMar>
        </w:tblPrEx>
        <w:tc>
          <w:tcPr>
            <w:tcW w:w="9638" w:type="dxa"/>
            <w:tcBorders>
              <w:top w:val="none" w:sz="0" w:space="0" w:color="FFFFFF"/>
              <w:left w:val="single" w:sz="24" w:space="0" w:color="0E9F6E"/>
              <w:bottom w:val="none" w:sz="0" w:space="0" w:color="FFFFFF"/>
              <w:right w:val="none" w:sz="0" w:space="0" w:color="FFFFFF"/>
            </w:tcBorders>
            <w:shd w:val="clear" w:color="auto" w:fill="EAFBF3"/>
            <w:tcMar>
              <w:top w:w="120" w:type="dxa"/>
              <w:left w:w="200" w:type="dxa"/>
              <w:bottom w:w="120" w:type="dxa"/>
              <w:right w:w="160" w:type="dxa"/>
            </w:tcMar>
          </w:tcPr>
          <w:p w:rsidR="000A5548" w:rsidRDefault="001619D9">
            <w:r>
              <w:rPr>
                <w:b/>
                <w:bCs/>
                <w:color w:val="0E9F6E"/>
              </w:rPr>
              <w:t xml:space="preserve">DRAFT. </w:t>
            </w:r>
            <w:r>
              <w:t>This guide is based on the sandbox environment (erc-sd-sandbox). Links, groups and screenshots will be updated with the live ERC data before release.</w:t>
            </w:r>
          </w:p>
        </w:tc>
      </w:tr>
    </w:tbl>
    <w:p w:rsidR="000A5548" w:rsidRDefault="001619D9">
      <w:r>
        <w:br w:type="page"/>
      </w:r>
    </w:p>
    <w:p w:rsidR="000A5548" w:rsidRDefault="001619D9">
      <w:pPr>
        <w:pStyle w:val="Heading1"/>
        <w:pBdr>
          <w:bottom w:val="single" w:sz="12" w:space="4" w:color="2EE096"/>
        </w:pBdr>
        <w:spacing w:before="360" w:after="160"/>
      </w:pPr>
      <w:bookmarkStart w:id="1" w:name="_Toc243263634"/>
      <w:r>
        <w:lastRenderedPageBreak/>
        <w:t>1. About the portal</w:t>
      </w:r>
      <w:bookmarkEnd w:id="1"/>
    </w:p>
    <w:p w:rsidR="000A5548" w:rsidRDefault="001619D9">
      <w:pPr>
        <w:spacing w:after="120" w:line="288" w:lineRule="auto"/>
      </w:pPr>
      <w:r>
        <w:t>Th</w:t>
      </w:r>
      <w:r>
        <w:t>e Whistleblowing Reporting Portal lets anyone report misconduct at ERC without signing in and without giving their name. Every report is reviewed first by the Compliance Manager, then investigated by the team responsible for that type of concern.</w:t>
      </w:r>
    </w:p>
    <w:p w:rsidR="000A5548" w:rsidRDefault="001619D9">
      <w:pPr>
        <w:pStyle w:val="ListParagraph"/>
        <w:numPr>
          <w:ilvl w:val="0"/>
          <w:numId w:val="2"/>
        </w:numPr>
        <w:spacing w:after="80" w:line="276" w:lineRule="auto"/>
      </w:pPr>
      <w:r>
        <w:rPr>
          <w:b/>
          <w:bCs/>
        </w:rPr>
        <w:t>Anonymous</w:t>
      </w:r>
      <w:r>
        <w:rPr>
          <w:b/>
          <w:bCs/>
        </w:rPr>
        <w:t xml:space="preserve"> by default. </w:t>
      </w:r>
      <w:r>
        <w:t>The email field is pre-filled with Anonymous@Anonymous.com. Leave it as it is to stay anonymous.</w:t>
      </w:r>
    </w:p>
    <w:p w:rsidR="000A5548" w:rsidRDefault="001619D9">
      <w:pPr>
        <w:pStyle w:val="ListParagraph"/>
        <w:numPr>
          <w:ilvl w:val="0"/>
          <w:numId w:val="2"/>
        </w:numPr>
        <w:spacing w:after="80" w:line="276" w:lineRule="auto"/>
      </w:pPr>
      <w:r>
        <w:rPr>
          <w:b/>
          <w:bCs/>
        </w:rPr>
        <w:t xml:space="preserve">Confidential. </w:t>
      </w:r>
      <w:r>
        <w:t>Only the Compliance team and the one team assigned to investigate can see a report. Other staff, and other investigation teams, cannot.</w:t>
      </w:r>
    </w:p>
    <w:p w:rsidR="000A5548" w:rsidRDefault="001619D9">
      <w:pPr>
        <w:pStyle w:val="ListParagraph"/>
        <w:numPr>
          <w:ilvl w:val="0"/>
          <w:numId w:val="2"/>
        </w:numPr>
        <w:spacing w:after="80" w:line="276" w:lineRule="auto"/>
      </w:pPr>
      <w:r>
        <w:rPr>
          <w:b/>
          <w:bCs/>
        </w:rPr>
        <w:t xml:space="preserve">Optional contact. </w:t>
      </w:r>
      <w:r>
        <w:t>A reporter who wants to be contacted can leave a phone number; nothing else identifies them.</w:t>
      </w:r>
    </w:p>
    <w:p w:rsidR="000A5548" w:rsidRDefault="000A5548">
      <w:pPr>
        <w:spacing w:after="60"/>
      </w:pP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00"/>
        <w:gridCol w:w="5238"/>
      </w:tblGrid>
      <w:tr w:rsidR="000A5548">
        <w:tblPrEx>
          <w:tblCellMar>
            <w:top w:w="0" w:type="dxa"/>
            <w:bottom w:w="0" w:type="dxa"/>
          </w:tblCellMar>
        </w:tblPrEx>
        <w:trPr>
          <w:tblHeader/>
        </w:trPr>
        <w:tc>
          <w:tcPr>
            <w:tcW w:w="4400" w:type="dxa"/>
            <w:tcBorders>
              <w:top w:val="single" w:sz="4" w:space="0" w:color="D5DAEA"/>
              <w:left w:val="single" w:sz="4" w:space="0" w:color="D5DAEA"/>
              <w:bottom w:val="single" w:sz="4" w:space="0" w:color="D5DAEA"/>
              <w:right w:val="single" w:sz="4" w:space="0" w:color="D5DAEA"/>
            </w:tcBorders>
            <w:shd w:val="clear" w:color="auto" w:fill="0A1A8F"/>
            <w:tcMar>
              <w:top w:w="80" w:type="dxa"/>
              <w:left w:w="110" w:type="dxa"/>
              <w:bottom w:w="80" w:type="dxa"/>
              <w:right w:w="110" w:type="dxa"/>
            </w:tcMar>
            <w:vAlign w:val="center"/>
          </w:tcPr>
          <w:p w:rsidR="000A5548" w:rsidRDefault="001619D9">
            <w:r>
              <w:rPr>
                <w:b/>
                <w:bCs/>
                <w:color w:val="FFFFFF"/>
                <w:sz w:val="19"/>
                <w:szCs w:val="19"/>
              </w:rPr>
              <w:t>Who</w:t>
            </w:r>
          </w:p>
        </w:tc>
        <w:tc>
          <w:tcPr>
            <w:tcW w:w="5238" w:type="dxa"/>
            <w:tcBorders>
              <w:top w:val="single" w:sz="4" w:space="0" w:color="D5DAEA"/>
              <w:left w:val="single" w:sz="4" w:space="0" w:color="D5DAEA"/>
              <w:bottom w:val="single" w:sz="4" w:space="0" w:color="D5DAEA"/>
              <w:right w:val="single" w:sz="4" w:space="0" w:color="D5DAEA"/>
            </w:tcBorders>
            <w:shd w:val="clear" w:color="auto" w:fill="0A1A8F"/>
            <w:tcMar>
              <w:top w:w="80" w:type="dxa"/>
              <w:left w:w="110" w:type="dxa"/>
              <w:bottom w:w="80" w:type="dxa"/>
              <w:right w:w="110" w:type="dxa"/>
            </w:tcMar>
            <w:vAlign w:val="center"/>
          </w:tcPr>
          <w:p w:rsidR="000A5548" w:rsidRDefault="001619D9">
            <w:r>
              <w:rPr>
                <w:b/>
                <w:bCs/>
                <w:color w:val="FFFFFF"/>
                <w:sz w:val="19"/>
                <w:szCs w:val="19"/>
              </w:rPr>
              <w:t>Sect</w:t>
            </w:r>
            <w:r>
              <w:rPr>
                <w:b/>
                <w:bCs/>
                <w:color w:val="FFFFFF"/>
                <w:sz w:val="19"/>
                <w:szCs w:val="19"/>
              </w:rPr>
              <w:t>ion to read</w:t>
            </w:r>
          </w:p>
        </w:tc>
      </w:tr>
      <w:tr w:rsidR="000A5548">
        <w:tblPrEx>
          <w:tblCellMar>
            <w:top w:w="0" w:type="dxa"/>
            <w:bottom w:w="0" w:type="dxa"/>
          </w:tblCellMar>
        </w:tblPrEx>
        <w:tc>
          <w:tcPr>
            <w:tcW w:w="44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Anyone reporting a concern</w:t>
            </w:r>
          </w:p>
        </w:tc>
        <w:tc>
          <w:tcPr>
            <w:tcW w:w="5238"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2. How to submit a report</w:t>
            </w:r>
          </w:p>
        </w:tc>
      </w:tr>
      <w:tr w:rsidR="000A5548">
        <w:tblPrEx>
          <w:tblCellMar>
            <w:top w:w="0" w:type="dxa"/>
            <w:bottom w:w="0" w:type="dxa"/>
          </w:tblCellMar>
        </w:tblPrEx>
        <w:tc>
          <w:tcPr>
            <w:tcW w:w="44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Compliance Manager (GRC-Compliance)</w:t>
            </w:r>
          </w:p>
        </w:tc>
        <w:tc>
          <w:tcPr>
            <w:tcW w:w="5238"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4. For the Compliance Manager</w:t>
            </w:r>
          </w:p>
        </w:tc>
      </w:tr>
      <w:tr w:rsidR="000A5548">
        <w:tblPrEx>
          <w:tblCellMar>
            <w:top w:w="0" w:type="dxa"/>
            <w:bottom w:w="0" w:type="dxa"/>
          </w:tblCellMar>
        </w:tblPrEx>
        <w:tc>
          <w:tcPr>
            <w:tcW w:w="44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Investigation teams</w:t>
            </w:r>
          </w:p>
        </w:tc>
        <w:tc>
          <w:tcPr>
            <w:tcW w:w="5238"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5. For investigation teams</w:t>
            </w:r>
          </w:p>
        </w:tc>
      </w:tr>
      <w:tr w:rsidR="000A5548">
        <w:tblPrEx>
          <w:tblCellMar>
            <w:top w:w="0" w:type="dxa"/>
            <w:bottom w:w="0" w:type="dxa"/>
          </w:tblCellMar>
        </w:tblPrEx>
        <w:tc>
          <w:tcPr>
            <w:tcW w:w="44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Head of Compliance (HO-Compliance)</w:t>
            </w:r>
          </w:p>
        </w:tc>
        <w:tc>
          <w:tcPr>
            <w:tcW w:w="5238"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7. Service levels and escalation</w:t>
            </w:r>
          </w:p>
        </w:tc>
      </w:tr>
    </w:tbl>
    <w:p w:rsidR="000A5548" w:rsidRDefault="001619D9">
      <w:pPr>
        <w:pStyle w:val="Heading1"/>
        <w:pBdr>
          <w:bottom w:val="single" w:sz="12" w:space="4" w:color="2EE096"/>
        </w:pBdr>
        <w:spacing w:before="360" w:after="160"/>
      </w:pPr>
      <w:bookmarkStart w:id="2" w:name="_Toc243263635"/>
      <w:r>
        <w:t>2. How to submit a report</w:t>
      </w:r>
      <w:bookmarkEnd w:id="2"/>
    </w:p>
    <w:p w:rsidR="000A5548" w:rsidRDefault="001619D9">
      <w:pPr>
        <w:spacing w:after="120" w:line="288" w:lineRule="auto"/>
      </w:pPr>
      <w:r>
        <w:t>Anyone can submit a report in about two minutes, with no account and no sign-in.</w:t>
      </w:r>
    </w:p>
    <w:p w:rsidR="000A5548" w:rsidRDefault="001619D9">
      <w:pPr>
        <w:pStyle w:val="ListParagraph"/>
        <w:numPr>
          <w:ilvl w:val="0"/>
          <w:numId w:val="3"/>
        </w:numPr>
        <w:spacing w:after="80" w:line="276" w:lineRule="auto"/>
      </w:pPr>
      <w:r>
        <w:t xml:space="preserve">Open the reporting form: </w:t>
      </w:r>
      <w:r>
        <w:rPr>
          <w:color w:val="0A1A8F"/>
          <w:u w:val="single"/>
        </w:rPr>
        <w:t>https://erc-sd-sandbox.atlassian.net/helpcenter/WhistleblowingReporting/portal/169/group/274/create/474?email=Anonymous%40An</w:t>
      </w:r>
      <w:r>
        <w:rPr>
          <w:color w:val="0A1A8F"/>
          <w:u w:val="single"/>
        </w:rPr>
        <w:t>onymous.com</w:t>
      </w:r>
    </w:p>
    <w:p w:rsidR="000A5548" w:rsidRDefault="001619D9">
      <w:pPr>
        <w:pStyle w:val="ListParagraph"/>
        <w:numPr>
          <w:ilvl w:val="1"/>
          <w:numId w:val="3"/>
        </w:numPr>
        <w:spacing w:after="80" w:line="276" w:lineRule="auto"/>
      </w:pPr>
      <w:r>
        <w:t>Use this exact link. Opening the portal from its home page leaves the email field empty.</w:t>
      </w:r>
    </w:p>
    <w:p w:rsidR="000A5548" w:rsidRDefault="001619D9">
      <w:pPr>
        <w:pStyle w:val="ListParagraph"/>
        <w:numPr>
          <w:ilvl w:val="0"/>
          <w:numId w:val="3"/>
        </w:numPr>
        <w:spacing w:after="80" w:line="276" w:lineRule="auto"/>
      </w:pPr>
      <w:r>
        <w:rPr>
          <w:b/>
          <w:bCs/>
        </w:rPr>
        <w:t xml:space="preserve">Email confirmation to </w:t>
      </w:r>
      <w:r>
        <w:t>is already filled with Anonymous@Anonymous.com. Leave it as it is to stay anonymous, or replace it with your own email.</w:t>
      </w:r>
    </w:p>
    <w:p w:rsidR="000A5548" w:rsidRDefault="001619D9">
      <w:pPr>
        <w:pStyle w:val="ListParagraph"/>
        <w:numPr>
          <w:ilvl w:val="0"/>
          <w:numId w:val="3"/>
        </w:numPr>
        <w:spacing w:after="80" w:line="276" w:lineRule="auto"/>
      </w:pPr>
      <w:r>
        <w:rPr>
          <w:b/>
          <w:bCs/>
        </w:rPr>
        <w:t xml:space="preserve">Summary | </w:t>
      </w:r>
      <w:r>
        <w:rPr>
          <w:b/>
          <w:bCs/>
          <w:rtl/>
        </w:rPr>
        <w:t>الم</w:t>
      </w:r>
      <w:r>
        <w:rPr>
          <w:b/>
          <w:bCs/>
          <w:rtl/>
        </w:rPr>
        <w:t>وضوع</w:t>
      </w:r>
      <w:r>
        <w:rPr>
          <w:b/>
          <w:bCs/>
        </w:rPr>
        <w:t xml:space="preserve">: </w:t>
      </w:r>
      <w:r>
        <w:t>a short title, for example "Supplier invoice inflated".</w:t>
      </w:r>
    </w:p>
    <w:p w:rsidR="000A5548" w:rsidRDefault="001619D9">
      <w:pPr>
        <w:pStyle w:val="ListParagraph"/>
        <w:numPr>
          <w:ilvl w:val="0"/>
          <w:numId w:val="3"/>
        </w:numPr>
        <w:spacing w:after="80" w:line="276" w:lineRule="auto"/>
      </w:pPr>
      <w:r>
        <w:rPr>
          <w:b/>
          <w:bCs/>
        </w:rPr>
        <w:t xml:space="preserve">Phone number | </w:t>
      </w:r>
      <w:r>
        <w:rPr>
          <w:b/>
          <w:bCs/>
          <w:rtl/>
        </w:rPr>
        <w:t>رقم</w:t>
      </w:r>
      <w:r>
        <w:rPr>
          <w:b/>
          <w:bCs/>
        </w:rPr>
        <w:t xml:space="preserve"> </w:t>
      </w:r>
      <w:r>
        <w:rPr>
          <w:b/>
          <w:bCs/>
          <w:rtl/>
        </w:rPr>
        <w:t>الجوال</w:t>
      </w:r>
      <w:r>
        <w:rPr>
          <w:b/>
          <w:bCs/>
        </w:rPr>
        <w:t xml:space="preserve"> </w:t>
      </w:r>
      <w:r>
        <w:t>(optional): fill it in only if you want the Compliance team to be able to contact you.</w:t>
      </w:r>
    </w:p>
    <w:p w:rsidR="000A5548" w:rsidRDefault="001619D9">
      <w:pPr>
        <w:pStyle w:val="ListParagraph"/>
        <w:numPr>
          <w:ilvl w:val="0"/>
          <w:numId w:val="3"/>
        </w:numPr>
        <w:spacing w:after="80" w:line="276" w:lineRule="auto"/>
      </w:pPr>
      <w:r>
        <w:rPr>
          <w:b/>
          <w:bCs/>
        </w:rPr>
        <w:t xml:space="preserve">What are the details of your request? </w:t>
      </w:r>
      <w:r>
        <w:t>What happened, when, where and who was invo</w:t>
      </w:r>
      <w:r>
        <w:t>lved. Write as much as you know.</w:t>
      </w:r>
    </w:p>
    <w:p w:rsidR="000A5548" w:rsidRDefault="001619D9">
      <w:pPr>
        <w:pStyle w:val="ListParagraph"/>
        <w:numPr>
          <w:ilvl w:val="0"/>
          <w:numId w:val="3"/>
        </w:numPr>
        <w:spacing w:after="80" w:line="276" w:lineRule="auto"/>
      </w:pPr>
      <w:r>
        <w:rPr>
          <w:b/>
          <w:bCs/>
        </w:rPr>
        <w:t xml:space="preserve">Attachments </w:t>
      </w:r>
      <w:r>
        <w:t>(optional): add documents or photos that support the report.</w:t>
      </w:r>
    </w:p>
    <w:p w:rsidR="000A5548" w:rsidRDefault="001619D9">
      <w:pPr>
        <w:pStyle w:val="ListParagraph"/>
        <w:numPr>
          <w:ilvl w:val="0"/>
          <w:numId w:val="3"/>
        </w:numPr>
        <w:spacing w:after="80" w:line="276" w:lineRule="auto"/>
      </w:pPr>
      <w:r>
        <w:t xml:space="preserve">Click </w:t>
      </w:r>
      <w:r>
        <w:rPr>
          <w:b/>
          <w:bCs/>
        </w:rPr>
        <w:t>Send</w:t>
      </w:r>
      <w:r>
        <w:t>. A reference number such as WB-30 is shown. Keep it if you want to refer to your report later.</w:t>
      </w:r>
    </w:p>
    <w:p w:rsidR="000A5548" w:rsidRDefault="000A5548">
      <w:pPr>
        <w:spacing w:after="60"/>
      </w:pP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A5548">
        <w:tblPrEx>
          <w:tblCellMar>
            <w:top w:w="0" w:type="dxa"/>
            <w:bottom w:w="0" w:type="dxa"/>
          </w:tblCellMar>
        </w:tblPrEx>
        <w:tc>
          <w:tcPr>
            <w:tcW w:w="9638" w:type="dxa"/>
            <w:tcBorders>
              <w:top w:val="none" w:sz="0" w:space="0" w:color="FFFFFF"/>
              <w:left w:val="single" w:sz="24" w:space="0" w:color="0E9F6E"/>
              <w:bottom w:val="none" w:sz="0" w:space="0" w:color="FFFFFF"/>
              <w:right w:val="none" w:sz="0" w:space="0" w:color="FFFFFF"/>
            </w:tcBorders>
            <w:shd w:val="clear" w:color="auto" w:fill="EAFBF3"/>
            <w:tcMar>
              <w:top w:w="120" w:type="dxa"/>
              <w:left w:w="200" w:type="dxa"/>
              <w:bottom w:w="120" w:type="dxa"/>
              <w:right w:w="160" w:type="dxa"/>
            </w:tcMar>
          </w:tcPr>
          <w:p w:rsidR="000A5548" w:rsidRDefault="001619D9">
            <w:r>
              <w:rPr>
                <w:b/>
                <w:bCs/>
                <w:color w:val="0E9F6E"/>
              </w:rPr>
              <w:t xml:space="preserve">Screenshot to add: </w:t>
            </w:r>
            <w:r>
              <w:t>the reporting form with the email pre-filled, and the confirmation screen after Send.</w:t>
            </w:r>
          </w:p>
        </w:tc>
      </w:tr>
    </w:tbl>
    <w:p w:rsidR="000A5548" w:rsidRDefault="001619D9">
      <w:pPr>
        <w:pStyle w:val="Heading1"/>
        <w:pBdr>
          <w:bottom w:val="single" w:sz="12" w:space="4" w:color="2EE096"/>
        </w:pBdr>
        <w:spacing w:before="360" w:after="160"/>
      </w:pPr>
      <w:bookmarkStart w:id="3" w:name="_Toc243263636"/>
      <w:r>
        <w:lastRenderedPageBreak/>
        <w:t>3. What happens after you submit</w:t>
      </w:r>
      <w:bookmarkEnd w:id="3"/>
    </w:p>
    <w:p w:rsidR="000A5548" w:rsidRDefault="001619D9">
      <w:pPr>
        <w:spacing w:after="120" w:line="288" w:lineRule="auto"/>
      </w:pPr>
      <w:r>
        <w:t>Your report is reviewed twice: first by the Compliance Manager, then by the team that investigates that type of concern.</w:t>
      </w:r>
    </w:p>
    <w:p w:rsidR="000A5548" w:rsidRDefault="001619D9">
      <w:pPr>
        <w:spacing w:before="120" w:after="60"/>
        <w:jc w:val="center"/>
      </w:pPr>
      <w:r>
        <w:rPr>
          <w:noProof/>
        </w:rPr>
        <w:drawing>
          <wp:inline distT="0" distB="0" distL="0" distR="0">
            <wp:extent cx="5905500" cy="2352675"/>
            <wp:effectExtent l="0" t="0" r="0" b="0"/>
            <wp:docPr id="2" name="workflow.png" descr="workflow.png" tit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352675"/>
                    </a:xfrm>
                    <a:prstGeom prst="rect">
                      <a:avLst/>
                    </a:prstGeom>
                  </pic:spPr>
                </pic:pic>
              </a:graphicData>
            </a:graphic>
          </wp:inline>
        </w:drawing>
      </w:r>
    </w:p>
    <w:p w:rsidR="000A5548" w:rsidRDefault="001619D9">
      <w:pPr>
        <w:spacing w:after="200"/>
        <w:jc w:val="center"/>
      </w:pPr>
      <w:r>
        <w:rPr>
          <w:i/>
          <w:iCs/>
          <w:color w:val="6B7385"/>
          <w:sz w:val="18"/>
          <w:szCs w:val="18"/>
        </w:rPr>
        <w:t>Figure 2 – Re</w:t>
      </w:r>
      <w:r>
        <w:rPr>
          <w:i/>
          <w:iCs/>
          <w:color w:val="6B7385"/>
          <w:sz w:val="18"/>
          <w:szCs w:val="18"/>
        </w:rPr>
        <w:t>port workflow: two decisions, one return path</w:t>
      </w:r>
    </w:p>
    <w:p w:rsidR="000A5548" w:rsidRDefault="001619D9">
      <w:pPr>
        <w:spacing w:after="120" w:line="288" w:lineRule="auto"/>
      </w:pPr>
      <w:r>
        <w:t>If the investigating team rejects the report, it goes back to the Compliance Manager with a reason, who can correct the classification and approve it again or close it. Each review has 2 working days before the</w:t>
      </w:r>
      <w:r>
        <w:t xml:space="preserve"> Head of Compliance is alerted.</w:t>
      </w:r>
    </w:p>
    <w:p w:rsidR="000A5548" w:rsidRDefault="001619D9">
      <w:pPr>
        <w:pStyle w:val="Heading1"/>
        <w:pBdr>
          <w:bottom w:val="single" w:sz="12" w:space="4" w:color="2EE096"/>
        </w:pBdr>
        <w:spacing w:before="360" w:after="160"/>
      </w:pPr>
      <w:bookmarkStart w:id="4" w:name="_Toc243263637"/>
      <w:r>
        <w:t>4. For the Compliance Manager</w:t>
      </w:r>
      <w:bookmarkEnd w:id="4"/>
    </w:p>
    <w:p w:rsidR="000A5548" w:rsidRDefault="001619D9">
      <w:pPr>
        <w:spacing w:after="120" w:line="288" w:lineRule="auto"/>
      </w:pPr>
      <w:r>
        <w:t>The Compliance Manager classifies every new report and decides whether it goes to investigation. You have 2 working days to decide.</w:t>
      </w:r>
    </w:p>
    <w:p w:rsidR="000A5548" w:rsidRDefault="001619D9">
      <w:pPr>
        <w:pStyle w:val="ListParagraph"/>
        <w:numPr>
          <w:ilvl w:val="0"/>
          <w:numId w:val="4"/>
        </w:numPr>
        <w:spacing w:after="80" w:line="276" w:lineRule="auto"/>
      </w:pPr>
      <w:r>
        <w:t xml:space="preserve">Open the queue and open a report with status </w:t>
      </w:r>
      <w:r>
        <w:rPr>
          <w:b/>
          <w:bCs/>
        </w:rPr>
        <w:t>Open</w:t>
      </w:r>
      <w:r>
        <w:t xml:space="preserve"> (or </w:t>
      </w:r>
      <w:r>
        <w:rPr>
          <w:b/>
          <w:bCs/>
        </w:rPr>
        <w:t xml:space="preserve">Back to </w:t>
      </w:r>
      <w:r>
        <w:rPr>
          <w:b/>
          <w:bCs/>
        </w:rPr>
        <w:t>Compliance</w:t>
      </w:r>
      <w:r>
        <w:t>).</w:t>
      </w:r>
    </w:p>
    <w:p w:rsidR="000A5548" w:rsidRDefault="001619D9">
      <w:pPr>
        <w:pStyle w:val="ListParagraph"/>
        <w:numPr>
          <w:ilvl w:val="0"/>
          <w:numId w:val="4"/>
        </w:numPr>
        <w:spacing w:after="80" w:line="276" w:lineRule="auto"/>
      </w:pPr>
      <w:r>
        <w:t xml:space="preserve">Under </w:t>
      </w:r>
      <w:r>
        <w:rPr>
          <w:b/>
          <w:bCs/>
        </w:rPr>
        <w:t>Attached forms</w:t>
      </w:r>
      <w:r>
        <w:t xml:space="preserve">, open the </w:t>
      </w:r>
      <w:r>
        <w:rPr>
          <w:b/>
          <w:bCs/>
        </w:rPr>
        <w:t>Compliance Approval</w:t>
      </w:r>
      <w:r>
        <w:t xml:space="preserve"> form. It is internal: the reporter never sees it.</w:t>
      </w:r>
    </w:p>
    <w:p w:rsidR="000A5548" w:rsidRDefault="001619D9">
      <w:pPr>
        <w:spacing w:before="120" w:after="60"/>
        <w:jc w:val="center"/>
      </w:pPr>
      <w:r>
        <w:rPr>
          <w:noProof/>
        </w:rPr>
        <w:drawing>
          <wp:inline distT="0" distB="0" distL="0" distR="0">
            <wp:extent cx="5334000" cy="2886075"/>
            <wp:effectExtent l="0" t="0" r="0" b="0"/>
            <wp:docPr id="3" name="form-attached.png" descr="form-attached.png" title="form-attach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86075"/>
                    </a:xfrm>
                    <a:prstGeom prst="rect">
                      <a:avLst/>
                    </a:prstGeom>
                  </pic:spPr>
                </pic:pic>
              </a:graphicData>
            </a:graphic>
          </wp:inline>
        </w:drawing>
      </w:r>
    </w:p>
    <w:p w:rsidR="000A5548" w:rsidRDefault="001619D9">
      <w:pPr>
        <w:spacing w:after="200"/>
        <w:jc w:val="center"/>
      </w:pPr>
      <w:r>
        <w:rPr>
          <w:i/>
          <w:iCs/>
          <w:color w:val="6B7385"/>
          <w:sz w:val="18"/>
          <w:szCs w:val="18"/>
        </w:rPr>
        <w:lastRenderedPageBreak/>
        <w:t>Figure 3 – The Compliance Approval form on a new report, not yet submitted</w:t>
      </w:r>
    </w:p>
    <w:p w:rsidR="000A5548" w:rsidRDefault="001619D9">
      <w:pPr>
        <w:pStyle w:val="ListParagraph"/>
        <w:numPr>
          <w:ilvl w:val="0"/>
          <w:numId w:val="4"/>
        </w:numPr>
        <w:spacing w:after="80" w:line="276" w:lineRule="auto"/>
      </w:pPr>
      <w:r>
        <w:t xml:space="preserve">Choose </w:t>
      </w:r>
      <w:r>
        <w:rPr>
          <w:b/>
          <w:bCs/>
        </w:rPr>
        <w:t>Report Category</w:t>
      </w:r>
      <w:r>
        <w:t>.</w:t>
      </w:r>
    </w:p>
    <w:p w:rsidR="000A5548" w:rsidRDefault="001619D9">
      <w:pPr>
        <w:pStyle w:val="ListParagraph"/>
        <w:numPr>
          <w:ilvl w:val="1"/>
          <w:numId w:val="4"/>
        </w:numPr>
        <w:spacing w:after="80" w:line="276" w:lineRule="auto"/>
      </w:pPr>
      <w:r>
        <w:t xml:space="preserve">If you choose </w:t>
      </w:r>
      <w:r>
        <w:rPr>
          <w:b/>
          <w:bCs/>
        </w:rPr>
        <w:t>Other</w:t>
      </w:r>
      <w:r>
        <w:t xml:space="preserve">, a second question appears: </w:t>
      </w:r>
      <w:r>
        <w:rPr>
          <w:b/>
          <w:bCs/>
        </w:rPr>
        <w:t>Investigating Function</w:t>
      </w:r>
      <w:r>
        <w:t>. Choose which team investigates. The form will not submit without it.</w:t>
      </w:r>
    </w:p>
    <w:p w:rsidR="000A5548" w:rsidRDefault="001619D9">
      <w:pPr>
        <w:pStyle w:val="ListParagraph"/>
        <w:numPr>
          <w:ilvl w:val="0"/>
          <w:numId w:val="4"/>
        </w:numPr>
        <w:spacing w:after="80" w:line="276" w:lineRule="auto"/>
      </w:pPr>
      <w:r>
        <w:t xml:space="preserve">Click </w:t>
      </w:r>
      <w:r>
        <w:rPr>
          <w:b/>
          <w:bCs/>
        </w:rPr>
        <w:t>Submit</w:t>
      </w:r>
      <w:r>
        <w:t xml:space="preserve"> on the form. Within a few seconds, Investigating Function is filled in on the report from the agreed table.</w:t>
      </w:r>
    </w:p>
    <w:p w:rsidR="000A5548" w:rsidRDefault="001619D9">
      <w:pPr>
        <w:spacing w:before="120" w:after="60"/>
        <w:jc w:val="center"/>
      </w:pPr>
      <w:r>
        <w:rPr>
          <w:noProof/>
        </w:rPr>
        <w:drawing>
          <wp:inline distT="0" distB="0" distL="0" distR="0">
            <wp:extent cx="5334000" cy="3276600"/>
            <wp:effectExtent l="0" t="0" r="0" b="0"/>
            <wp:docPr id="4" name="form-submitted.png" descr="form-submitted.png" title="form-submit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276600"/>
                    </a:xfrm>
                    <a:prstGeom prst="rect">
                      <a:avLst/>
                    </a:prstGeom>
                  </pic:spPr>
                </pic:pic>
              </a:graphicData>
            </a:graphic>
          </wp:inline>
        </w:drawing>
      </w:r>
    </w:p>
    <w:p w:rsidR="000A5548" w:rsidRDefault="001619D9">
      <w:pPr>
        <w:spacing w:after="200"/>
        <w:jc w:val="center"/>
      </w:pPr>
      <w:r>
        <w:rPr>
          <w:i/>
          <w:iCs/>
          <w:color w:val="6B7385"/>
          <w:sz w:val="18"/>
          <w:szCs w:val="18"/>
        </w:rPr>
        <w:t xml:space="preserve">Figure 4 – </w:t>
      </w:r>
      <w:r>
        <w:rPr>
          <w:i/>
          <w:iCs/>
          <w:color w:val="6B7385"/>
          <w:sz w:val="18"/>
          <w:szCs w:val="18"/>
        </w:rPr>
        <w:t>The form after submission: Report Category recorded</w:t>
      </w:r>
    </w:p>
    <w:p w:rsidR="000A5548" w:rsidRDefault="001619D9">
      <w:pPr>
        <w:pStyle w:val="ListParagraph"/>
        <w:numPr>
          <w:ilvl w:val="0"/>
          <w:numId w:val="4"/>
        </w:numPr>
        <w:spacing w:after="80" w:line="276" w:lineRule="auto"/>
      </w:pPr>
      <w:r>
        <w:rPr>
          <w:b/>
          <w:bCs/>
        </w:rPr>
        <w:t>Approve</w:t>
      </w:r>
      <w:r>
        <w:t>: the report moves to Under Investigation, is routed to the right team, and that team gets an email.</w:t>
      </w:r>
    </w:p>
    <w:p w:rsidR="000A5548" w:rsidRDefault="001619D9">
      <w:pPr>
        <w:pStyle w:val="ListParagraph"/>
        <w:numPr>
          <w:ilvl w:val="0"/>
          <w:numId w:val="4"/>
        </w:numPr>
        <w:spacing w:after="80" w:line="276" w:lineRule="auto"/>
      </w:pPr>
      <w:r>
        <w:rPr>
          <w:b/>
          <w:bCs/>
        </w:rPr>
        <w:t>Reject</w:t>
      </w:r>
      <w:r>
        <w:t>: choose a Rejection Reason and add a comment; the report closes as Rejected by Compliance</w:t>
      </w:r>
      <w:r>
        <w:t>.</w:t>
      </w:r>
    </w:p>
    <w:p w:rsidR="000A5548" w:rsidRDefault="000A5548">
      <w:pPr>
        <w:spacing w:after="60"/>
      </w:pP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A5548">
        <w:tblPrEx>
          <w:tblCellMar>
            <w:top w:w="0" w:type="dxa"/>
            <w:bottom w:w="0" w:type="dxa"/>
          </w:tblCellMar>
        </w:tblPrEx>
        <w:tc>
          <w:tcPr>
            <w:tcW w:w="9638" w:type="dxa"/>
            <w:tcBorders>
              <w:top w:val="none" w:sz="0" w:space="0" w:color="FFFFFF"/>
              <w:left w:val="single" w:sz="24" w:space="0" w:color="0E9F6E"/>
              <w:bottom w:val="none" w:sz="0" w:space="0" w:color="FFFFFF"/>
              <w:right w:val="none" w:sz="0" w:space="0" w:color="FFFFFF"/>
            </w:tcBorders>
            <w:shd w:val="clear" w:color="auto" w:fill="EAFBF3"/>
            <w:tcMar>
              <w:top w:w="120" w:type="dxa"/>
              <w:left w:w="200" w:type="dxa"/>
              <w:bottom w:w="120" w:type="dxa"/>
              <w:right w:w="160" w:type="dxa"/>
            </w:tcMar>
          </w:tcPr>
          <w:p w:rsidR="000A5548" w:rsidRDefault="001619D9">
            <w:r>
              <w:rPr>
                <w:b/>
                <w:bCs/>
                <w:color w:val="0E9F6E"/>
              </w:rPr>
              <w:t xml:space="preserve">Good to know: </w:t>
            </w:r>
            <w:r>
              <w:t>Approve is blocked until the form is submitted. Investigating Function and Investigation Group cannot be edited directly; they change only through the form and the automatic routing. While a report is Under Investigation, the decision belo</w:t>
            </w:r>
            <w:r>
              <w:t>ngs to the investigating team.</w:t>
            </w:r>
          </w:p>
        </w:tc>
      </w:tr>
    </w:tbl>
    <w:p w:rsidR="000A5548" w:rsidRDefault="001619D9">
      <w:pPr>
        <w:pStyle w:val="Heading1"/>
        <w:pBdr>
          <w:bottom w:val="single" w:sz="12" w:space="4" w:color="2EE096"/>
        </w:pBdr>
        <w:spacing w:before="360" w:after="160"/>
      </w:pPr>
      <w:bookmarkStart w:id="5" w:name="_Toc243263638"/>
      <w:r>
        <w:t>5. For investigation teams</w:t>
      </w:r>
      <w:bookmarkEnd w:id="5"/>
    </w:p>
    <w:p w:rsidR="000A5548" w:rsidRDefault="001619D9">
      <w:pPr>
        <w:spacing w:after="120" w:line="288" w:lineRule="auto"/>
      </w:pPr>
      <w:r>
        <w:t>An investigation team sees a report only after the Compliance Manager approves it and routes it to them. You have 2 working days to approve or reject.</w:t>
      </w:r>
    </w:p>
    <w:p w:rsidR="000A5548" w:rsidRDefault="001619D9">
      <w:pPr>
        <w:pStyle w:val="ListParagraph"/>
        <w:numPr>
          <w:ilvl w:val="0"/>
          <w:numId w:val="5"/>
        </w:numPr>
        <w:spacing w:after="80" w:line="276" w:lineRule="auto"/>
      </w:pPr>
      <w:r>
        <w:t xml:space="preserve">You receive an email: </w:t>
      </w:r>
      <w:r>
        <w:rPr>
          <w:b/>
          <w:bCs/>
        </w:rPr>
        <w:t>Report WB-xx assigned to your team</w:t>
      </w:r>
      <w:r>
        <w:t>. Click Open the report, or find it in the queue.</w:t>
      </w:r>
    </w:p>
    <w:p w:rsidR="000A5548" w:rsidRDefault="001619D9">
      <w:pPr>
        <w:pStyle w:val="ListParagraph"/>
        <w:numPr>
          <w:ilvl w:val="0"/>
          <w:numId w:val="5"/>
        </w:numPr>
        <w:spacing w:after="80" w:line="276" w:lineRule="auto"/>
      </w:pPr>
      <w:r>
        <w:t>Read the report and its attachments.</w:t>
      </w:r>
    </w:p>
    <w:p w:rsidR="000A5548" w:rsidRDefault="001619D9">
      <w:pPr>
        <w:pStyle w:val="ListParagraph"/>
        <w:numPr>
          <w:ilvl w:val="0"/>
          <w:numId w:val="5"/>
        </w:numPr>
        <w:spacing w:after="80" w:line="276" w:lineRule="auto"/>
      </w:pPr>
      <w:r>
        <w:rPr>
          <w:b/>
          <w:bCs/>
        </w:rPr>
        <w:lastRenderedPageBreak/>
        <w:t>Approve</w:t>
      </w:r>
      <w:r>
        <w:t>: in the approval panel on the report, click Approve. For a Retaliation report, both Human Resources and Employee Relations must</w:t>
      </w:r>
      <w:r>
        <w:t xml:space="preserve"> approve.</w:t>
      </w:r>
    </w:p>
    <w:p w:rsidR="000A5548" w:rsidRDefault="001619D9">
      <w:pPr>
        <w:pStyle w:val="ListParagraph"/>
        <w:numPr>
          <w:ilvl w:val="0"/>
          <w:numId w:val="5"/>
        </w:numPr>
        <w:spacing w:after="80" w:line="276" w:lineRule="auto"/>
      </w:pPr>
      <w:r>
        <w:rPr>
          <w:b/>
          <w:bCs/>
        </w:rPr>
        <w:t>Reject</w:t>
      </w:r>
      <w:r>
        <w:t>: click Reject, choose a Rejection Reason (insufficient information, duplicate, out of scope, or Wrong category), add a comment, and confirm. The report returns to the Compliance Manager as Back to Compliance.</w:t>
      </w:r>
    </w:p>
    <w:p w:rsidR="000A5548" w:rsidRDefault="001619D9">
      <w:pPr>
        <w:pStyle w:val="ListParagraph"/>
        <w:numPr>
          <w:ilvl w:val="0"/>
          <w:numId w:val="5"/>
        </w:numPr>
        <w:spacing w:after="80" w:line="276" w:lineRule="auto"/>
      </w:pPr>
      <w:r>
        <w:t>When all assigned teams approv</w:t>
      </w:r>
      <w:r>
        <w:t xml:space="preserve">e, the report moves to </w:t>
      </w:r>
      <w:r>
        <w:rPr>
          <w:b/>
          <w:bCs/>
        </w:rPr>
        <w:t>Investigation Approved</w:t>
      </w:r>
      <w:r>
        <w:t>.</w:t>
      </w:r>
    </w:p>
    <w:p w:rsidR="000A5548" w:rsidRDefault="000A5548">
      <w:pPr>
        <w:spacing w:after="60"/>
      </w:pP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A5548">
        <w:tblPrEx>
          <w:tblCellMar>
            <w:top w:w="0" w:type="dxa"/>
            <w:bottom w:w="0" w:type="dxa"/>
          </w:tblCellMar>
        </w:tblPrEx>
        <w:tc>
          <w:tcPr>
            <w:tcW w:w="9638" w:type="dxa"/>
            <w:tcBorders>
              <w:top w:val="none" w:sz="0" w:space="0" w:color="FFFFFF"/>
              <w:left w:val="single" w:sz="24" w:space="0" w:color="0E9F6E"/>
              <w:bottom w:val="none" w:sz="0" w:space="0" w:color="FFFFFF"/>
              <w:right w:val="none" w:sz="0" w:space="0" w:color="FFFFFF"/>
            </w:tcBorders>
            <w:shd w:val="clear" w:color="auto" w:fill="EAFBF3"/>
            <w:tcMar>
              <w:top w:w="120" w:type="dxa"/>
              <w:left w:w="200" w:type="dxa"/>
              <w:bottom w:w="120" w:type="dxa"/>
              <w:right w:w="160" w:type="dxa"/>
            </w:tcMar>
          </w:tcPr>
          <w:p w:rsidR="000A5548" w:rsidRDefault="001619D9">
            <w:r>
              <w:rPr>
                <w:b/>
                <w:bCs/>
                <w:color w:val="0E9F6E"/>
              </w:rPr>
              <w:t xml:space="preserve">Good to know: </w:t>
            </w:r>
            <w:r>
              <w:t>Reject cannot be saved without a reason. Teams cannot change the category, the investigating function, the group or the form; if the category is wrong, reject with "Wrong category". Teams cannot</w:t>
            </w:r>
            <w:r>
              <w:t xml:space="preserve"> see reports assigned to other teams.</w:t>
            </w:r>
          </w:p>
        </w:tc>
      </w:tr>
    </w:tbl>
    <w:p w:rsidR="000A5548" w:rsidRDefault="000A5548">
      <w:pPr>
        <w:spacing w:after="60"/>
      </w:pP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A5548">
        <w:tblPrEx>
          <w:tblCellMar>
            <w:top w:w="0" w:type="dxa"/>
            <w:bottom w:w="0" w:type="dxa"/>
          </w:tblCellMar>
        </w:tblPrEx>
        <w:tc>
          <w:tcPr>
            <w:tcW w:w="9638" w:type="dxa"/>
            <w:tcBorders>
              <w:top w:val="none" w:sz="0" w:space="0" w:color="FFFFFF"/>
              <w:left w:val="single" w:sz="24" w:space="0" w:color="0E9F6E"/>
              <w:bottom w:val="none" w:sz="0" w:space="0" w:color="FFFFFF"/>
              <w:right w:val="none" w:sz="0" w:space="0" w:color="FFFFFF"/>
            </w:tcBorders>
            <w:shd w:val="clear" w:color="auto" w:fill="EAFBF3"/>
            <w:tcMar>
              <w:top w:w="120" w:type="dxa"/>
              <w:left w:w="200" w:type="dxa"/>
              <w:bottom w:w="120" w:type="dxa"/>
              <w:right w:w="160" w:type="dxa"/>
            </w:tcMar>
          </w:tcPr>
          <w:p w:rsidR="000A5548" w:rsidRDefault="001619D9">
            <w:r>
              <w:rPr>
                <w:b/>
                <w:bCs/>
                <w:color w:val="0E9F6E"/>
              </w:rPr>
              <w:t xml:space="preserve">Screenshot to add: </w:t>
            </w:r>
            <w:r>
              <w:t>the approval panel on a report, and the Reject screen with Rejection Reason.</w:t>
            </w:r>
          </w:p>
        </w:tc>
      </w:tr>
    </w:tbl>
    <w:p w:rsidR="000A5548" w:rsidRDefault="001619D9">
      <w:pPr>
        <w:pStyle w:val="Heading1"/>
        <w:pBdr>
          <w:bottom w:val="single" w:sz="12" w:space="4" w:color="2EE096"/>
        </w:pBdr>
        <w:spacing w:before="360" w:after="160"/>
      </w:pPr>
      <w:bookmarkStart w:id="6" w:name="_Toc243263639"/>
      <w:r>
        <w:t>6. Groups: who sees what and who can do what</w:t>
      </w:r>
      <w:bookmarkEnd w:id="6"/>
    </w:p>
    <w:p w:rsidR="000A5548" w:rsidRDefault="001619D9">
      <w:pPr>
        <w:spacing w:after="120" w:line="288" w:lineRule="auto"/>
      </w:pPr>
      <w:r>
        <w:t>Access comes only from group membership; each investigation team sees only the reports routed to it.</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650"/>
        <w:gridCol w:w="2400"/>
        <w:gridCol w:w="3588"/>
      </w:tblGrid>
      <w:tr w:rsidR="000A5548">
        <w:tblPrEx>
          <w:tblCellMar>
            <w:top w:w="0" w:type="dxa"/>
            <w:bottom w:w="0" w:type="dxa"/>
          </w:tblCellMar>
        </w:tblPrEx>
        <w:trPr>
          <w:tblHeader/>
        </w:trPr>
        <w:tc>
          <w:tcPr>
            <w:tcW w:w="2000" w:type="dxa"/>
            <w:tcBorders>
              <w:top w:val="single" w:sz="4" w:space="0" w:color="D5DAEA"/>
              <w:left w:val="single" w:sz="4" w:space="0" w:color="D5DAEA"/>
              <w:bottom w:val="single" w:sz="4" w:space="0" w:color="D5DAEA"/>
              <w:right w:val="single" w:sz="4" w:space="0" w:color="D5DAEA"/>
            </w:tcBorders>
            <w:shd w:val="clear" w:color="auto" w:fill="0A1A8F"/>
            <w:tcMar>
              <w:top w:w="80" w:type="dxa"/>
              <w:left w:w="110" w:type="dxa"/>
              <w:bottom w:w="80" w:type="dxa"/>
              <w:right w:w="110" w:type="dxa"/>
            </w:tcMar>
            <w:vAlign w:val="center"/>
          </w:tcPr>
          <w:p w:rsidR="000A5548" w:rsidRDefault="001619D9">
            <w:r>
              <w:rPr>
                <w:b/>
                <w:bCs/>
                <w:color w:val="FFFFFF"/>
                <w:sz w:val="19"/>
                <w:szCs w:val="19"/>
              </w:rPr>
              <w:t>Group</w:t>
            </w:r>
          </w:p>
        </w:tc>
        <w:tc>
          <w:tcPr>
            <w:tcW w:w="1650" w:type="dxa"/>
            <w:tcBorders>
              <w:top w:val="single" w:sz="4" w:space="0" w:color="D5DAEA"/>
              <w:left w:val="single" w:sz="4" w:space="0" w:color="D5DAEA"/>
              <w:bottom w:val="single" w:sz="4" w:space="0" w:color="D5DAEA"/>
              <w:right w:val="single" w:sz="4" w:space="0" w:color="D5DAEA"/>
            </w:tcBorders>
            <w:shd w:val="clear" w:color="auto" w:fill="0A1A8F"/>
            <w:tcMar>
              <w:top w:w="80" w:type="dxa"/>
              <w:left w:w="110" w:type="dxa"/>
              <w:bottom w:w="80" w:type="dxa"/>
              <w:right w:w="110" w:type="dxa"/>
            </w:tcMar>
            <w:vAlign w:val="center"/>
          </w:tcPr>
          <w:p w:rsidR="000A5548" w:rsidRDefault="001619D9">
            <w:r>
              <w:rPr>
                <w:b/>
                <w:bCs/>
                <w:color w:val="FFFFFF"/>
                <w:sz w:val="19"/>
                <w:szCs w:val="19"/>
              </w:rPr>
              <w:t>Role</w:t>
            </w:r>
          </w:p>
        </w:tc>
        <w:tc>
          <w:tcPr>
            <w:tcW w:w="2400" w:type="dxa"/>
            <w:tcBorders>
              <w:top w:val="single" w:sz="4" w:space="0" w:color="D5DAEA"/>
              <w:left w:val="single" w:sz="4" w:space="0" w:color="D5DAEA"/>
              <w:bottom w:val="single" w:sz="4" w:space="0" w:color="D5DAEA"/>
              <w:right w:val="single" w:sz="4" w:space="0" w:color="D5DAEA"/>
            </w:tcBorders>
            <w:shd w:val="clear" w:color="auto" w:fill="0A1A8F"/>
            <w:tcMar>
              <w:top w:w="80" w:type="dxa"/>
              <w:left w:w="110" w:type="dxa"/>
              <w:bottom w:w="80" w:type="dxa"/>
              <w:right w:w="110" w:type="dxa"/>
            </w:tcMar>
            <w:vAlign w:val="center"/>
          </w:tcPr>
          <w:p w:rsidR="000A5548" w:rsidRDefault="001619D9">
            <w:r>
              <w:rPr>
                <w:b/>
                <w:bCs/>
                <w:color w:val="FFFFFF"/>
                <w:sz w:val="19"/>
                <w:szCs w:val="19"/>
              </w:rPr>
              <w:t>Sees</w:t>
            </w:r>
          </w:p>
        </w:tc>
        <w:tc>
          <w:tcPr>
            <w:tcW w:w="3588" w:type="dxa"/>
            <w:tcBorders>
              <w:top w:val="single" w:sz="4" w:space="0" w:color="D5DAEA"/>
              <w:left w:val="single" w:sz="4" w:space="0" w:color="D5DAEA"/>
              <w:bottom w:val="single" w:sz="4" w:space="0" w:color="D5DAEA"/>
              <w:right w:val="single" w:sz="4" w:space="0" w:color="D5DAEA"/>
            </w:tcBorders>
            <w:shd w:val="clear" w:color="auto" w:fill="0A1A8F"/>
            <w:tcMar>
              <w:top w:w="80" w:type="dxa"/>
              <w:left w:w="110" w:type="dxa"/>
              <w:bottom w:w="80" w:type="dxa"/>
              <w:right w:w="110" w:type="dxa"/>
            </w:tcMar>
            <w:vAlign w:val="center"/>
          </w:tcPr>
          <w:p w:rsidR="000A5548" w:rsidRDefault="001619D9">
            <w:r>
              <w:rPr>
                <w:b/>
                <w:bCs/>
                <w:color w:val="FFFFFF"/>
                <w:sz w:val="19"/>
                <w:szCs w:val="19"/>
              </w:rPr>
              <w:t>Can do</w:t>
            </w:r>
          </w:p>
        </w:tc>
      </w:tr>
      <w:tr w:rsidR="000A5548">
        <w:tblPrEx>
          <w:tblCellMar>
            <w:top w:w="0" w:type="dxa"/>
            <w:bottom w:w="0" w:type="dxa"/>
          </w:tblCellMar>
        </w:tblPrEx>
        <w:tc>
          <w:tcPr>
            <w:tcW w:w="20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GRC-Compliance</w:t>
            </w:r>
          </w:p>
        </w:tc>
        <w:tc>
          <w:tcPr>
            <w:tcW w:w="165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Compliance Manager</w:t>
            </w:r>
          </w:p>
        </w:tc>
        <w:tc>
          <w:tcPr>
            <w:tcW w:w="24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All reports</w:t>
            </w:r>
          </w:p>
        </w:tc>
        <w:tc>
          <w:tcPr>
            <w:tcW w:w="3588"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Fill the Compliance Approval form, Approve or Reject new reports, be assignee, receives the new-report email</w:t>
            </w:r>
          </w:p>
        </w:tc>
      </w:tr>
      <w:tr w:rsidR="000A5548">
        <w:tblPrEx>
          <w:tblCellMar>
            <w:top w:w="0" w:type="dxa"/>
            <w:bottom w:w="0" w:type="dxa"/>
          </w:tblCellMar>
        </w:tblPrEx>
        <w:tc>
          <w:tcPr>
            <w:tcW w:w="20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Internal Audit</w:t>
            </w:r>
          </w:p>
        </w:tc>
        <w:tc>
          <w:tcPr>
            <w:tcW w:w="165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Investigation team</w:t>
            </w:r>
          </w:p>
        </w:tc>
        <w:tc>
          <w:tcPr>
            <w:tcW w:w="24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Reports routed to Internal Audit</w:t>
            </w:r>
          </w:p>
        </w:tc>
        <w:tc>
          <w:tcPr>
            <w:tcW w:w="3588"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Approve in the approval panel, Reject with a reason, be assignee, receives the assignment email</w:t>
            </w:r>
          </w:p>
        </w:tc>
      </w:tr>
      <w:tr w:rsidR="000A5548">
        <w:tblPrEx>
          <w:tblCellMar>
            <w:top w:w="0" w:type="dxa"/>
            <w:bottom w:w="0" w:type="dxa"/>
          </w:tblCellMar>
        </w:tblPrEx>
        <w:tc>
          <w:tcPr>
            <w:tcW w:w="20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Human Resources</w:t>
            </w:r>
          </w:p>
        </w:tc>
        <w:tc>
          <w:tcPr>
            <w:tcW w:w="165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Investigation team</w:t>
            </w:r>
          </w:p>
        </w:tc>
        <w:tc>
          <w:tcPr>
            <w:tcW w:w="24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Reports routed to HR, including Retaliation</w:t>
            </w:r>
          </w:p>
        </w:tc>
        <w:tc>
          <w:tcPr>
            <w:tcW w:w="3588"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Same as Internal Audit</w:t>
            </w:r>
          </w:p>
        </w:tc>
      </w:tr>
      <w:tr w:rsidR="000A5548">
        <w:tblPrEx>
          <w:tblCellMar>
            <w:top w:w="0" w:type="dxa"/>
            <w:bottom w:w="0" w:type="dxa"/>
          </w:tblCellMar>
        </w:tblPrEx>
        <w:tc>
          <w:tcPr>
            <w:tcW w:w="20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Employee Relations</w:t>
            </w:r>
          </w:p>
        </w:tc>
        <w:tc>
          <w:tcPr>
            <w:tcW w:w="165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Investigation team</w:t>
            </w:r>
          </w:p>
        </w:tc>
        <w:tc>
          <w:tcPr>
            <w:tcW w:w="24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Retaliation reports only</w:t>
            </w:r>
          </w:p>
        </w:tc>
        <w:tc>
          <w:tcPr>
            <w:tcW w:w="3588"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Same as Internal Audit; both HR and Employee Relations must approve Retaliation</w:t>
            </w:r>
          </w:p>
        </w:tc>
      </w:tr>
      <w:tr w:rsidR="000A5548">
        <w:tblPrEx>
          <w:tblCellMar>
            <w:top w:w="0" w:type="dxa"/>
            <w:bottom w:w="0" w:type="dxa"/>
          </w:tblCellMar>
        </w:tblPrEx>
        <w:tc>
          <w:tcPr>
            <w:tcW w:w="20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Health and Safety Representative</w:t>
            </w:r>
          </w:p>
        </w:tc>
        <w:tc>
          <w:tcPr>
            <w:tcW w:w="165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Investigation team</w:t>
            </w:r>
          </w:p>
        </w:tc>
        <w:tc>
          <w:tcPr>
            <w:tcW w:w="24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Reports routed to Health and Safety</w:t>
            </w:r>
          </w:p>
        </w:tc>
        <w:tc>
          <w:tcPr>
            <w:tcW w:w="3588"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Same as Internal Audit</w:t>
            </w:r>
          </w:p>
        </w:tc>
      </w:tr>
      <w:tr w:rsidR="000A5548">
        <w:tblPrEx>
          <w:tblCellMar>
            <w:top w:w="0" w:type="dxa"/>
            <w:bottom w:w="0" w:type="dxa"/>
          </w:tblCellMar>
        </w:tblPrEx>
        <w:tc>
          <w:tcPr>
            <w:tcW w:w="20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Information Security</w:t>
            </w:r>
          </w:p>
        </w:tc>
        <w:tc>
          <w:tcPr>
            <w:tcW w:w="165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Investigation team</w:t>
            </w:r>
          </w:p>
        </w:tc>
        <w:tc>
          <w:tcPr>
            <w:tcW w:w="24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Reports routed to Information Security</w:t>
            </w:r>
          </w:p>
        </w:tc>
        <w:tc>
          <w:tcPr>
            <w:tcW w:w="3588"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Same as Internal Audit</w:t>
            </w:r>
          </w:p>
        </w:tc>
      </w:tr>
      <w:tr w:rsidR="000A5548">
        <w:tblPrEx>
          <w:tblCellMar>
            <w:top w:w="0" w:type="dxa"/>
            <w:bottom w:w="0" w:type="dxa"/>
          </w:tblCellMar>
        </w:tblPrEx>
        <w:tc>
          <w:tcPr>
            <w:tcW w:w="20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HO-Compliance</w:t>
            </w:r>
          </w:p>
        </w:tc>
        <w:tc>
          <w:tcPr>
            <w:tcW w:w="165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Head of Compliance</w:t>
            </w:r>
          </w:p>
        </w:tc>
        <w:tc>
          <w:tcPr>
            <w:tcW w:w="24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Escalation emails only</w:t>
            </w:r>
          </w:p>
        </w:tc>
        <w:tc>
          <w:tcPr>
            <w:tcW w:w="3588"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Receives an escalation email when a stage passes its 2-working-day target</w:t>
            </w:r>
          </w:p>
        </w:tc>
      </w:tr>
      <w:tr w:rsidR="000A5548">
        <w:tblPrEx>
          <w:tblCellMar>
            <w:top w:w="0" w:type="dxa"/>
            <w:bottom w:w="0" w:type="dxa"/>
          </w:tblCellMar>
        </w:tblPrEx>
        <w:tc>
          <w:tcPr>
            <w:tcW w:w="20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FollowUP TKT</w:t>
            </w:r>
          </w:p>
        </w:tc>
        <w:tc>
          <w:tcPr>
            <w:tcW w:w="165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Oversight</w:t>
            </w:r>
          </w:p>
        </w:tc>
        <w:tc>
          <w:tcPr>
            <w:tcW w:w="24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All reports</w:t>
            </w:r>
          </w:p>
        </w:tc>
        <w:tc>
          <w:tcPr>
            <w:tcW w:w="3588"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View and edit; keep this group small</w:t>
            </w:r>
          </w:p>
        </w:tc>
      </w:tr>
    </w:tbl>
    <w:p w:rsidR="000A5548" w:rsidRDefault="000A5548">
      <w:pPr>
        <w:spacing w:after="160"/>
      </w:pPr>
    </w:p>
    <w:p w:rsidR="000A5548" w:rsidRDefault="001619D9">
      <w:pPr>
        <w:spacing w:after="120" w:line="288" w:lineRule="auto"/>
      </w:pPr>
      <w:r>
        <w:t>Which team investigates is set by the report category:</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00"/>
        <w:gridCol w:w="2600"/>
        <w:gridCol w:w="2738"/>
      </w:tblGrid>
      <w:tr w:rsidR="000A5548">
        <w:tblPrEx>
          <w:tblCellMar>
            <w:top w:w="0" w:type="dxa"/>
            <w:bottom w:w="0" w:type="dxa"/>
          </w:tblCellMar>
        </w:tblPrEx>
        <w:trPr>
          <w:tblHeader/>
        </w:trPr>
        <w:tc>
          <w:tcPr>
            <w:tcW w:w="4300" w:type="dxa"/>
            <w:tcBorders>
              <w:top w:val="single" w:sz="4" w:space="0" w:color="D5DAEA"/>
              <w:left w:val="single" w:sz="4" w:space="0" w:color="D5DAEA"/>
              <w:bottom w:val="single" w:sz="4" w:space="0" w:color="D5DAEA"/>
              <w:right w:val="single" w:sz="4" w:space="0" w:color="D5DAEA"/>
            </w:tcBorders>
            <w:shd w:val="clear" w:color="auto" w:fill="0A1A8F"/>
            <w:tcMar>
              <w:top w:w="80" w:type="dxa"/>
              <w:left w:w="110" w:type="dxa"/>
              <w:bottom w:w="80" w:type="dxa"/>
              <w:right w:w="110" w:type="dxa"/>
            </w:tcMar>
            <w:vAlign w:val="center"/>
          </w:tcPr>
          <w:p w:rsidR="000A5548" w:rsidRDefault="001619D9">
            <w:r>
              <w:rPr>
                <w:b/>
                <w:bCs/>
                <w:color w:val="FFFFFF"/>
                <w:sz w:val="19"/>
                <w:szCs w:val="19"/>
              </w:rPr>
              <w:t>Report category</w:t>
            </w:r>
          </w:p>
        </w:tc>
        <w:tc>
          <w:tcPr>
            <w:tcW w:w="2600" w:type="dxa"/>
            <w:tcBorders>
              <w:top w:val="single" w:sz="4" w:space="0" w:color="D5DAEA"/>
              <w:left w:val="single" w:sz="4" w:space="0" w:color="D5DAEA"/>
              <w:bottom w:val="single" w:sz="4" w:space="0" w:color="D5DAEA"/>
              <w:right w:val="single" w:sz="4" w:space="0" w:color="D5DAEA"/>
            </w:tcBorders>
            <w:shd w:val="clear" w:color="auto" w:fill="0A1A8F"/>
            <w:tcMar>
              <w:top w:w="80" w:type="dxa"/>
              <w:left w:w="110" w:type="dxa"/>
              <w:bottom w:w="80" w:type="dxa"/>
              <w:right w:w="110" w:type="dxa"/>
            </w:tcMar>
            <w:vAlign w:val="center"/>
          </w:tcPr>
          <w:p w:rsidR="000A5548" w:rsidRDefault="001619D9">
            <w:r>
              <w:rPr>
                <w:b/>
                <w:bCs/>
                <w:color w:val="FFFFFF"/>
                <w:sz w:val="19"/>
                <w:szCs w:val="19"/>
              </w:rPr>
              <w:t>Investigating function</w:t>
            </w:r>
          </w:p>
        </w:tc>
        <w:tc>
          <w:tcPr>
            <w:tcW w:w="2738" w:type="dxa"/>
            <w:tcBorders>
              <w:top w:val="single" w:sz="4" w:space="0" w:color="D5DAEA"/>
              <w:left w:val="single" w:sz="4" w:space="0" w:color="D5DAEA"/>
              <w:bottom w:val="single" w:sz="4" w:space="0" w:color="D5DAEA"/>
              <w:right w:val="single" w:sz="4" w:space="0" w:color="D5DAEA"/>
            </w:tcBorders>
            <w:shd w:val="clear" w:color="auto" w:fill="0A1A8F"/>
            <w:tcMar>
              <w:top w:w="80" w:type="dxa"/>
              <w:left w:w="110" w:type="dxa"/>
              <w:bottom w:w="80" w:type="dxa"/>
              <w:right w:w="110" w:type="dxa"/>
            </w:tcMar>
            <w:vAlign w:val="center"/>
          </w:tcPr>
          <w:p w:rsidR="000A5548" w:rsidRDefault="001619D9">
            <w:r>
              <w:rPr>
                <w:b/>
                <w:bCs/>
                <w:color w:val="FFFFFF"/>
                <w:sz w:val="19"/>
                <w:szCs w:val="19"/>
              </w:rPr>
              <w:t>Group</w:t>
            </w:r>
          </w:p>
        </w:tc>
      </w:tr>
      <w:tr w:rsidR="000A5548">
        <w:tblPrEx>
          <w:tblCellMar>
            <w:top w:w="0" w:type="dxa"/>
            <w:bottom w:w="0" w:type="dxa"/>
          </w:tblCellMar>
        </w:tblPrEx>
        <w:tc>
          <w:tcPr>
            <w:tcW w:w="43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Fraud, Theft, Embezzlement or Asset Misappropriation</w:t>
            </w:r>
          </w:p>
        </w:tc>
        <w:tc>
          <w:tcPr>
            <w:tcW w:w="26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Internal Audit</w:t>
            </w:r>
          </w:p>
        </w:tc>
        <w:tc>
          <w:tcPr>
            <w:tcW w:w="2738"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Internal Audit</w:t>
            </w:r>
          </w:p>
        </w:tc>
      </w:tr>
      <w:tr w:rsidR="000A5548">
        <w:tblPrEx>
          <w:tblCellMar>
            <w:top w:w="0" w:type="dxa"/>
            <w:bottom w:w="0" w:type="dxa"/>
          </w:tblCellMar>
        </w:tblPrEx>
        <w:tc>
          <w:tcPr>
            <w:tcW w:w="43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lastRenderedPageBreak/>
              <w:t>Bribery, Corruption, Kickbacks or Trading in Influence</w:t>
            </w:r>
          </w:p>
        </w:tc>
        <w:tc>
          <w:tcPr>
            <w:tcW w:w="26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Internal Audit</w:t>
            </w:r>
          </w:p>
        </w:tc>
        <w:tc>
          <w:tcPr>
            <w:tcW w:w="2738"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Internal Audit</w:t>
            </w:r>
          </w:p>
        </w:tc>
      </w:tr>
      <w:tr w:rsidR="000A5548">
        <w:tblPrEx>
          <w:tblCellMar>
            <w:top w:w="0" w:type="dxa"/>
            <w:bottom w:w="0" w:type="dxa"/>
          </w:tblCellMar>
        </w:tblPrEx>
        <w:tc>
          <w:tcPr>
            <w:tcW w:w="43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Money Laundering, Terrorist Financing or Sanctions Concerns</w:t>
            </w:r>
          </w:p>
        </w:tc>
        <w:tc>
          <w:tcPr>
            <w:tcW w:w="26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GRC-Compliance Manager</w:t>
            </w:r>
          </w:p>
        </w:tc>
        <w:tc>
          <w:tcPr>
            <w:tcW w:w="2738"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GRC-Compliance</w:t>
            </w:r>
          </w:p>
        </w:tc>
      </w:tr>
      <w:tr w:rsidR="000A5548">
        <w:tblPrEx>
          <w:tblCellMar>
            <w:top w:w="0" w:type="dxa"/>
            <w:bottom w:w="0" w:type="dxa"/>
          </w:tblCellMar>
        </w:tblPrEx>
        <w:tc>
          <w:tcPr>
            <w:tcW w:w="43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Procurement Manipulation, Collusion, Bid Rigging or Conflict of Interest</w:t>
            </w:r>
          </w:p>
        </w:tc>
        <w:tc>
          <w:tcPr>
            <w:tcW w:w="26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Internal Audit</w:t>
            </w:r>
          </w:p>
        </w:tc>
        <w:tc>
          <w:tcPr>
            <w:tcW w:w="2738"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Internal Audit</w:t>
            </w:r>
          </w:p>
        </w:tc>
      </w:tr>
      <w:tr w:rsidR="000A5548">
        <w:tblPrEx>
          <w:tblCellMar>
            <w:top w:w="0" w:type="dxa"/>
            <w:bottom w:w="0" w:type="dxa"/>
          </w:tblCellMar>
        </w:tblPrEx>
        <w:tc>
          <w:tcPr>
            <w:tcW w:w="43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Harassment, Discrimination, Bullying or Abuse of Authority</w:t>
            </w:r>
          </w:p>
        </w:tc>
        <w:tc>
          <w:tcPr>
            <w:tcW w:w="26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Human Resources</w:t>
            </w:r>
          </w:p>
        </w:tc>
        <w:tc>
          <w:tcPr>
            <w:tcW w:w="2738"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Human Resources</w:t>
            </w:r>
          </w:p>
        </w:tc>
      </w:tr>
      <w:tr w:rsidR="000A5548">
        <w:tblPrEx>
          <w:tblCellMar>
            <w:top w:w="0" w:type="dxa"/>
            <w:bottom w:w="0" w:type="dxa"/>
          </w:tblCellMar>
        </w:tblPrEx>
        <w:tc>
          <w:tcPr>
            <w:tcW w:w="43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Health, Safety, Environmental or Heritage-Protection Breach</w:t>
            </w:r>
          </w:p>
        </w:tc>
        <w:tc>
          <w:tcPr>
            <w:tcW w:w="26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Health and Safety representative</w:t>
            </w:r>
          </w:p>
        </w:tc>
        <w:tc>
          <w:tcPr>
            <w:tcW w:w="2738"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Health and Safety Representative</w:t>
            </w:r>
          </w:p>
        </w:tc>
      </w:tr>
      <w:tr w:rsidR="000A5548">
        <w:tblPrEx>
          <w:tblCellMar>
            <w:top w:w="0" w:type="dxa"/>
            <w:bottom w:w="0" w:type="dxa"/>
          </w:tblCellMar>
        </w:tblPrEx>
        <w:tc>
          <w:tcPr>
            <w:tcW w:w="43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Information Security, Data Protection or Systems Misuse</w:t>
            </w:r>
          </w:p>
        </w:tc>
        <w:tc>
          <w:tcPr>
            <w:tcW w:w="26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Information Security</w:t>
            </w:r>
          </w:p>
        </w:tc>
        <w:tc>
          <w:tcPr>
            <w:tcW w:w="2738"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Information Security</w:t>
            </w:r>
          </w:p>
        </w:tc>
      </w:tr>
      <w:tr w:rsidR="000A5548">
        <w:tblPrEx>
          <w:tblCellMar>
            <w:top w:w="0" w:type="dxa"/>
            <w:bottom w:w="0" w:type="dxa"/>
          </w:tblCellMar>
        </w:tblPrEx>
        <w:tc>
          <w:tcPr>
            <w:tcW w:w="43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Other Regulatory or License Compliance Breach</w:t>
            </w:r>
          </w:p>
        </w:tc>
        <w:tc>
          <w:tcPr>
            <w:tcW w:w="26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GRC-Compliance Manager</w:t>
            </w:r>
          </w:p>
        </w:tc>
        <w:tc>
          <w:tcPr>
            <w:tcW w:w="2738"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GRC-Compliance</w:t>
            </w:r>
          </w:p>
        </w:tc>
      </w:tr>
      <w:tr w:rsidR="000A5548">
        <w:tblPrEx>
          <w:tblCellMar>
            <w:top w:w="0" w:type="dxa"/>
            <w:bottom w:w="0" w:type="dxa"/>
          </w:tblCellMar>
        </w:tblPrEx>
        <w:tc>
          <w:tcPr>
            <w:tcW w:w="43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Retaliation Against a Reporter or Witness</w:t>
            </w:r>
          </w:p>
        </w:tc>
        <w:tc>
          <w:tcPr>
            <w:tcW w:w="26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Human Resources</w:t>
            </w:r>
          </w:p>
        </w:tc>
        <w:tc>
          <w:tcPr>
            <w:tcW w:w="2738"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Human Resources + Employee Relations</w:t>
            </w:r>
          </w:p>
        </w:tc>
      </w:tr>
      <w:tr w:rsidR="000A5548">
        <w:tblPrEx>
          <w:tblCellMar>
            <w:top w:w="0" w:type="dxa"/>
            <w:bottom w:w="0" w:type="dxa"/>
          </w:tblCellMar>
        </w:tblPrEx>
        <w:tc>
          <w:tcPr>
            <w:tcW w:w="43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Other</w:t>
            </w:r>
          </w:p>
        </w:tc>
        <w:tc>
          <w:tcPr>
            <w:tcW w:w="26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Chosen by the Compliance Manager in the form</w:t>
            </w:r>
          </w:p>
        </w:tc>
        <w:tc>
          <w:tcPr>
            <w:tcW w:w="2738"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Follows the chosen function</w:t>
            </w:r>
          </w:p>
        </w:tc>
      </w:tr>
    </w:tbl>
    <w:p w:rsidR="000A5548" w:rsidRDefault="000A5548">
      <w:pPr>
        <w:spacing w:after="120"/>
      </w:pP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A5548">
        <w:tblPrEx>
          <w:tblCellMar>
            <w:top w:w="0" w:type="dxa"/>
            <w:bottom w:w="0" w:type="dxa"/>
          </w:tblCellMar>
        </w:tblPrEx>
        <w:tc>
          <w:tcPr>
            <w:tcW w:w="9638" w:type="dxa"/>
            <w:tcBorders>
              <w:top w:val="none" w:sz="0" w:space="0" w:color="FFFFFF"/>
              <w:left w:val="single" w:sz="24" w:space="0" w:color="0E9F6E"/>
              <w:bottom w:val="none" w:sz="0" w:space="0" w:color="FFFFFF"/>
              <w:right w:val="none" w:sz="0" w:space="0" w:color="FFFFFF"/>
            </w:tcBorders>
            <w:shd w:val="clear" w:color="auto" w:fill="EAFBF3"/>
            <w:tcMar>
              <w:top w:w="120" w:type="dxa"/>
              <w:left w:w="200" w:type="dxa"/>
              <w:bottom w:w="120" w:type="dxa"/>
              <w:right w:w="160" w:type="dxa"/>
            </w:tcMar>
          </w:tcPr>
          <w:p w:rsidR="000A5548" w:rsidRDefault="001619D9">
            <w:r>
              <w:rPr>
                <w:b/>
                <w:bCs/>
                <w:color w:val="0E9F6E"/>
              </w:rPr>
              <w:t xml:space="preserve">Note: </w:t>
            </w:r>
            <w:r>
              <w:t>Every member needs a Jira Service Management agent licence to open reports, approve or reject. Do not put one person in more than one investigation group unless intended: they would see both groups’ reports.</w:t>
            </w:r>
          </w:p>
        </w:tc>
      </w:tr>
    </w:tbl>
    <w:p w:rsidR="000A5548" w:rsidRDefault="001619D9">
      <w:pPr>
        <w:pStyle w:val="Heading1"/>
        <w:pBdr>
          <w:bottom w:val="single" w:sz="12" w:space="4" w:color="2EE096"/>
        </w:pBdr>
        <w:spacing w:before="360" w:after="160"/>
      </w:pPr>
      <w:bookmarkStart w:id="7" w:name="_Toc243263640"/>
      <w:r>
        <w:t>7. Service levels and escalation</w:t>
      </w:r>
      <w:bookmarkEnd w:id="7"/>
    </w:p>
    <w:p w:rsidR="000A5548" w:rsidRDefault="001619D9">
      <w:pPr>
        <w:spacing w:after="120" w:line="288" w:lineRule="auto"/>
      </w:pPr>
      <w:r>
        <w:t>Each decision stage has 2 working days (16 working hours, Sunday to Thursday, 08:00–16:00 Riyadh time). When a stage passes its target, the Head of Compliance is emailed automatically.</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3200"/>
        <w:gridCol w:w="1500"/>
        <w:gridCol w:w="2538"/>
      </w:tblGrid>
      <w:tr w:rsidR="000A5548">
        <w:tblPrEx>
          <w:tblCellMar>
            <w:top w:w="0" w:type="dxa"/>
            <w:bottom w:w="0" w:type="dxa"/>
          </w:tblCellMar>
        </w:tblPrEx>
        <w:trPr>
          <w:tblHeader/>
        </w:trPr>
        <w:tc>
          <w:tcPr>
            <w:tcW w:w="2400" w:type="dxa"/>
            <w:tcBorders>
              <w:top w:val="single" w:sz="4" w:space="0" w:color="D5DAEA"/>
              <w:left w:val="single" w:sz="4" w:space="0" w:color="D5DAEA"/>
              <w:bottom w:val="single" w:sz="4" w:space="0" w:color="D5DAEA"/>
              <w:right w:val="single" w:sz="4" w:space="0" w:color="D5DAEA"/>
            </w:tcBorders>
            <w:shd w:val="clear" w:color="auto" w:fill="0A1A8F"/>
            <w:tcMar>
              <w:top w:w="80" w:type="dxa"/>
              <w:left w:w="110" w:type="dxa"/>
              <w:bottom w:w="80" w:type="dxa"/>
              <w:right w:w="110" w:type="dxa"/>
            </w:tcMar>
            <w:vAlign w:val="center"/>
          </w:tcPr>
          <w:p w:rsidR="000A5548" w:rsidRDefault="001619D9">
            <w:r>
              <w:rPr>
                <w:b/>
                <w:bCs/>
                <w:color w:val="FFFFFF"/>
                <w:sz w:val="19"/>
                <w:szCs w:val="19"/>
              </w:rPr>
              <w:t>Service level</w:t>
            </w:r>
          </w:p>
        </w:tc>
        <w:tc>
          <w:tcPr>
            <w:tcW w:w="3200" w:type="dxa"/>
            <w:tcBorders>
              <w:top w:val="single" w:sz="4" w:space="0" w:color="D5DAEA"/>
              <w:left w:val="single" w:sz="4" w:space="0" w:color="D5DAEA"/>
              <w:bottom w:val="single" w:sz="4" w:space="0" w:color="D5DAEA"/>
              <w:right w:val="single" w:sz="4" w:space="0" w:color="D5DAEA"/>
            </w:tcBorders>
            <w:shd w:val="clear" w:color="auto" w:fill="0A1A8F"/>
            <w:tcMar>
              <w:top w:w="80" w:type="dxa"/>
              <w:left w:w="110" w:type="dxa"/>
              <w:bottom w:w="80" w:type="dxa"/>
              <w:right w:w="110" w:type="dxa"/>
            </w:tcMar>
            <w:vAlign w:val="center"/>
          </w:tcPr>
          <w:p w:rsidR="000A5548" w:rsidRDefault="001619D9">
            <w:r>
              <w:rPr>
                <w:b/>
                <w:bCs/>
                <w:color w:val="FFFFFF"/>
                <w:sz w:val="19"/>
                <w:szCs w:val="19"/>
              </w:rPr>
              <w:t>Clock runs while the report is</w:t>
            </w:r>
          </w:p>
        </w:tc>
        <w:tc>
          <w:tcPr>
            <w:tcW w:w="1500" w:type="dxa"/>
            <w:tcBorders>
              <w:top w:val="single" w:sz="4" w:space="0" w:color="D5DAEA"/>
              <w:left w:val="single" w:sz="4" w:space="0" w:color="D5DAEA"/>
              <w:bottom w:val="single" w:sz="4" w:space="0" w:color="D5DAEA"/>
              <w:right w:val="single" w:sz="4" w:space="0" w:color="D5DAEA"/>
            </w:tcBorders>
            <w:shd w:val="clear" w:color="auto" w:fill="0A1A8F"/>
            <w:tcMar>
              <w:top w:w="80" w:type="dxa"/>
              <w:left w:w="110" w:type="dxa"/>
              <w:bottom w:w="80" w:type="dxa"/>
              <w:right w:w="110" w:type="dxa"/>
            </w:tcMar>
            <w:vAlign w:val="center"/>
          </w:tcPr>
          <w:p w:rsidR="000A5548" w:rsidRDefault="001619D9">
            <w:r>
              <w:rPr>
                <w:b/>
                <w:bCs/>
                <w:color w:val="FFFFFF"/>
                <w:sz w:val="19"/>
                <w:szCs w:val="19"/>
              </w:rPr>
              <w:t>Target</w:t>
            </w:r>
          </w:p>
        </w:tc>
        <w:tc>
          <w:tcPr>
            <w:tcW w:w="2538" w:type="dxa"/>
            <w:tcBorders>
              <w:top w:val="single" w:sz="4" w:space="0" w:color="D5DAEA"/>
              <w:left w:val="single" w:sz="4" w:space="0" w:color="D5DAEA"/>
              <w:bottom w:val="single" w:sz="4" w:space="0" w:color="D5DAEA"/>
              <w:right w:val="single" w:sz="4" w:space="0" w:color="D5DAEA"/>
            </w:tcBorders>
            <w:shd w:val="clear" w:color="auto" w:fill="0A1A8F"/>
            <w:tcMar>
              <w:top w:w="80" w:type="dxa"/>
              <w:left w:w="110" w:type="dxa"/>
              <w:bottom w:w="80" w:type="dxa"/>
              <w:right w:w="110" w:type="dxa"/>
            </w:tcMar>
            <w:vAlign w:val="center"/>
          </w:tcPr>
          <w:p w:rsidR="000A5548" w:rsidRDefault="001619D9">
            <w:r>
              <w:rPr>
                <w:b/>
                <w:bCs/>
                <w:color w:val="FFFFFF"/>
                <w:sz w:val="19"/>
                <w:szCs w:val="19"/>
              </w:rPr>
              <w:t>When the target is missed</w:t>
            </w:r>
          </w:p>
        </w:tc>
      </w:tr>
      <w:tr w:rsidR="000A5548">
        <w:tblPrEx>
          <w:tblCellMar>
            <w:top w:w="0" w:type="dxa"/>
            <w:bottom w:w="0" w:type="dxa"/>
          </w:tblCellMar>
        </w:tblPrEx>
        <w:tc>
          <w:tcPr>
            <w:tcW w:w="24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Time to Compliance Decision</w:t>
            </w:r>
          </w:p>
        </w:tc>
        <w:tc>
          <w:tcPr>
            <w:tcW w:w="32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Open, or Back to Compliance (the clock restarts on each return)</w:t>
            </w:r>
          </w:p>
        </w:tc>
        <w:tc>
          <w:tcPr>
            <w:tcW w:w="1500"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2 working days</w:t>
            </w:r>
          </w:p>
        </w:tc>
        <w:tc>
          <w:tcPr>
            <w:tcW w:w="2538" w:type="dxa"/>
            <w:tcBorders>
              <w:top w:val="single" w:sz="4" w:space="0" w:color="D5DAEA"/>
              <w:left w:val="single" w:sz="4" w:space="0" w:color="D5DAEA"/>
              <w:bottom w:val="single" w:sz="4" w:space="0" w:color="D5DAEA"/>
              <w:right w:val="single" w:sz="4" w:space="0" w:color="D5DAEA"/>
            </w:tcBorders>
            <w:tcMar>
              <w:top w:w="80" w:type="dxa"/>
              <w:left w:w="110" w:type="dxa"/>
              <w:bottom w:w="80" w:type="dxa"/>
              <w:right w:w="110" w:type="dxa"/>
            </w:tcMar>
            <w:vAlign w:val="center"/>
          </w:tcPr>
          <w:p w:rsidR="000A5548" w:rsidRDefault="001619D9">
            <w:r>
              <w:rPr>
                <w:sz w:val="19"/>
                <w:szCs w:val="19"/>
              </w:rPr>
              <w:t>Escalation email to HO-Compliance</w:t>
            </w:r>
          </w:p>
        </w:tc>
      </w:tr>
      <w:tr w:rsidR="000A5548">
        <w:tblPrEx>
          <w:tblCellMar>
            <w:top w:w="0" w:type="dxa"/>
            <w:bottom w:w="0" w:type="dxa"/>
          </w:tblCellMar>
        </w:tblPrEx>
        <w:tc>
          <w:tcPr>
            <w:tcW w:w="24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Time to Investigation Decision</w:t>
            </w:r>
          </w:p>
        </w:tc>
        <w:tc>
          <w:tcPr>
            <w:tcW w:w="32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Under Investigation</w:t>
            </w:r>
          </w:p>
        </w:tc>
        <w:tc>
          <w:tcPr>
            <w:tcW w:w="1500"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2 working days</w:t>
            </w:r>
          </w:p>
        </w:tc>
        <w:tc>
          <w:tcPr>
            <w:tcW w:w="2538" w:type="dxa"/>
            <w:tcBorders>
              <w:top w:val="single" w:sz="4" w:space="0" w:color="D5DAEA"/>
              <w:left w:val="single" w:sz="4" w:space="0" w:color="D5DAEA"/>
              <w:bottom w:val="single" w:sz="4" w:space="0" w:color="D5DAEA"/>
              <w:right w:val="single" w:sz="4" w:space="0" w:color="D5DAEA"/>
            </w:tcBorders>
            <w:shd w:val="clear" w:color="auto" w:fill="F7F8FC"/>
            <w:tcMar>
              <w:top w:w="80" w:type="dxa"/>
              <w:left w:w="110" w:type="dxa"/>
              <w:bottom w:w="80" w:type="dxa"/>
              <w:right w:w="110" w:type="dxa"/>
            </w:tcMar>
            <w:vAlign w:val="center"/>
          </w:tcPr>
          <w:p w:rsidR="000A5548" w:rsidRDefault="001619D9">
            <w:r>
              <w:rPr>
                <w:sz w:val="19"/>
                <w:szCs w:val="19"/>
              </w:rPr>
              <w:t>Escalation email to HO-Compliance</w:t>
            </w:r>
          </w:p>
        </w:tc>
      </w:tr>
    </w:tbl>
    <w:p w:rsidR="000A5548" w:rsidRDefault="000A5548">
      <w:pPr>
        <w:spacing w:after="120"/>
      </w:pPr>
    </w:p>
    <w:p w:rsidR="000A5548" w:rsidRDefault="001619D9">
      <w:pPr>
        <w:pStyle w:val="ListParagraph"/>
        <w:numPr>
          <w:ilvl w:val="0"/>
          <w:numId w:val="2"/>
        </w:numPr>
        <w:spacing w:after="80" w:line="276" w:lineRule="auto"/>
      </w:pPr>
      <w:r>
        <w:t>Fridays, Saturdays and the hours outside 08:00–16:00 do not count.</w:t>
      </w:r>
    </w:p>
    <w:p w:rsidR="000A5548" w:rsidRDefault="001619D9">
      <w:pPr>
        <w:pStyle w:val="ListParagraph"/>
        <w:numPr>
          <w:ilvl w:val="0"/>
          <w:numId w:val="2"/>
        </w:numPr>
        <w:spacing w:after="80" w:line="276" w:lineRule="auto"/>
      </w:pPr>
      <w:r>
        <w:t>The escalation email shows the reference number, the current status and who the report is waiting on, with a link. It never includes the report’s content.</w:t>
      </w:r>
    </w:p>
    <w:p w:rsidR="000A5548" w:rsidRDefault="001619D9">
      <w:pPr>
        <w:pStyle w:val="ListParagraph"/>
        <w:numPr>
          <w:ilvl w:val="0"/>
          <w:numId w:val="2"/>
        </w:numPr>
        <w:spacing w:after="80" w:line="276" w:lineRule="auto"/>
      </w:pPr>
      <w:r>
        <w:t>The time remaining for each service level is shown on the report in Jira.</w:t>
      </w:r>
    </w:p>
    <w:sectPr w:rsidR="000A5548">
      <w:headerReference w:type="default" r:id="rId12"/>
      <w:footerReference w:type="default" r:id="rId13"/>
      <w:headerReference w:type="first" r:id="rId14"/>
      <w:footerReference w:type="first" r:id="rId15"/>
      <w:pgSz w:w="11906" w:h="16838"/>
      <w:pgMar w:top="1300" w:right="1134" w:bottom="1100" w:left="1134" w:header="500" w:footer="5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1619D9">
      <w:r>
        <w:separator/>
      </w:r>
    </w:p>
  </w:endnote>
  <w:endnote w:type="continuationSeparator" w:id="0">
    <w:p w:rsidR="00000000" w:rsidRDefault="00161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5548" w:rsidRDefault="001619D9">
    <w:pPr>
      <w:jc w:val="center"/>
    </w:pPr>
    <w:r>
      <w:rPr>
        <w:color w:val="6B7385"/>
        <w:sz w:val="16"/>
        <w:szCs w:val="16"/>
      </w:rPr>
      <w:t xml:space="preserve">Page </w:t>
    </w:r>
    <w:r>
      <w:rPr>
        <w:color w:val="6B7385"/>
        <w:sz w:val="16"/>
        <w:szCs w:val="16"/>
      </w:rPr>
      <w:fldChar w:fldCharType="begin"/>
    </w:r>
    <w:r>
      <w:rPr>
        <w:color w:val="6B7385"/>
        <w:sz w:val="16"/>
        <w:szCs w:val="16"/>
      </w:rPr>
      <w:instrText>PAGE</w:instrText>
    </w:r>
    <w:r>
      <w:rPr>
        <w:color w:val="6B7385"/>
        <w:sz w:val="16"/>
        <w:szCs w:val="16"/>
      </w:rPr>
      <w:fldChar w:fldCharType="separate"/>
    </w:r>
    <w:r>
      <w:rPr>
        <w:noProof/>
        <w:color w:val="6B7385"/>
        <w:sz w:val="16"/>
        <w:szCs w:val="16"/>
      </w:rPr>
      <w:t>2</w:t>
    </w:r>
    <w:r>
      <w:rPr>
        <w:color w:val="6B7385"/>
        <w:sz w:val="16"/>
        <w:szCs w:val="16"/>
      </w:rPr>
      <w:fldChar w:fldCharType="end"/>
    </w:r>
    <w:r>
      <w:rPr>
        <w:color w:val="6B7385"/>
        <w:sz w:val="16"/>
        <w:szCs w:val="16"/>
      </w:rPr>
      <w:t xml:space="preserve"> of </w:t>
    </w:r>
    <w:r>
      <w:rPr>
        <w:color w:val="6B7385"/>
        <w:sz w:val="16"/>
        <w:szCs w:val="16"/>
      </w:rPr>
      <w:fldChar w:fldCharType="begin"/>
    </w:r>
    <w:r>
      <w:rPr>
        <w:color w:val="6B7385"/>
        <w:sz w:val="16"/>
        <w:szCs w:val="16"/>
      </w:rPr>
      <w:instrText>NUMPAGES</w:instrText>
    </w:r>
    <w:r>
      <w:rPr>
        <w:color w:val="6B7385"/>
        <w:sz w:val="16"/>
        <w:szCs w:val="16"/>
      </w:rPr>
      <w:fldChar w:fldCharType="separate"/>
    </w:r>
    <w:r>
      <w:rPr>
        <w:noProof/>
        <w:color w:val="6B7385"/>
        <w:sz w:val="16"/>
        <w:szCs w:val="16"/>
      </w:rPr>
      <w:t>7</w:t>
    </w:r>
    <w:r>
      <w:rPr>
        <w:color w:val="6B7385"/>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5548" w:rsidRDefault="000A554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1619D9">
      <w:r>
        <w:separator/>
      </w:r>
    </w:p>
  </w:footnote>
  <w:footnote w:type="continuationSeparator" w:id="0">
    <w:p w:rsidR="00000000" w:rsidRDefault="001619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5548" w:rsidRDefault="001619D9">
    <w:pPr>
      <w:pBdr>
        <w:bottom w:val="single" w:sz="8" w:space="6" w:color="2EE096"/>
      </w:pBdr>
      <w:tabs>
        <w:tab w:val="right" w:pos="9638"/>
      </w:tabs>
    </w:pPr>
    <w:r>
      <w:rPr>
        <w:noProof/>
      </w:rPr>
      <w:drawing>
        <wp:inline distT="0" distB="0" distL="0" distR="0">
          <wp:extent cx="781050" cy="342900"/>
          <wp:effectExtent l="0" t="0" r="0" b="0"/>
          <wp:docPr id="5" name="logo" descr="ejada logo" title="ej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342900"/>
                  </a:xfrm>
                  <a:prstGeom prst="rect">
                    <a:avLst/>
                  </a:prstGeom>
                </pic:spPr>
              </pic:pic>
            </a:graphicData>
          </a:graphic>
        </wp:inline>
      </w:drawing>
    </w:r>
    <w:r>
      <w:rPr>
        <w:color w:val="6B7385"/>
        <w:sz w:val="16"/>
        <w:szCs w:val="16"/>
      </w:rPr>
      <w:tab/>
      <w:t xml:space="preserve">Whistleblowing Reporting Portal – User Guide v1  </w:t>
    </w:r>
    <w:r>
      <w:rPr>
        <w:b/>
        <w:bCs/>
        <w:color w:val="0E9F6E"/>
        <w:sz w:val="16"/>
        <w:szCs w:val="16"/>
      </w:rPr>
      <w:t>|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5548" w:rsidRDefault="000A554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746549"/>
    <w:multiLevelType w:val="hybridMultilevel"/>
    <w:tmpl w:val="FEE40C06"/>
    <w:lvl w:ilvl="0" w:tplc="859E7C20">
      <w:start w:val="1"/>
      <w:numFmt w:val="decimal"/>
      <w:lvlText w:val="%1."/>
      <w:lvlJc w:val="left"/>
      <w:pPr>
        <w:ind w:left="540" w:hanging="360"/>
      </w:pPr>
      <w:rPr>
        <w:b/>
        <w:bCs/>
        <w:color w:val="0A1A8F"/>
      </w:rPr>
    </w:lvl>
    <w:lvl w:ilvl="1" w:tplc="6BE6C1EA">
      <w:start w:val="1"/>
      <w:numFmt w:val="lowerLetter"/>
      <w:lvlText w:val="%2."/>
      <w:lvlJc w:val="left"/>
      <w:pPr>
        <w:ind w:left="1080" w:hanging="360"/>
      </w:pPr>
    </w:lvl>
    <w:lvl w:ilvl="2" w:tplc="D87E16DE">
      <w:numFmt w:val="decimal"/>
      <w:lvlText w:val=""/>
      <w:lvlJc w:val="left"/>
    </w:lvl>
    <w:lvl w:ilvl="3" w:tplc="99444B1E">
      <w:numFmt w:val="decimal"/>
      <w:lvlText w:val=""/>
      <w:lvlJc w:val="left"/>
    </w:lvl>
    <w:lvl w:ilvl="4" w:tplc="2C7886EA">
      <w:numFmt w:val="decimal"/>
      <w:lvlText w:val=""/>
      <w:lvlJc w:val="left"/>
    </w:lvl>
    <w:lvl w:ilvl="5" w:tplc="5D90F4F4">
      <w:numFmt w:val="decimal"/>
      <w:lvlText w:val=""/>
      <w:lvlJc w:val="left"/>
    </w:lvl>
    <w:lvl w:ilvl="6" w:tplc="F9840A88">
      <w:numFmt w:val="decimal"/>
      <w:lvlText w:val=""/>
      <w:lvlJc w:val="left"/>
    </w:lvl>
    <w:lvl w:ilvl="7" w:tplc="5784DB66">
      <w:numFmt w:val="decimal"/>
      <w:lvlText w:val=""/>
      <w:lvlJc w:val="left"/>
    </w:lvl>
    <w:lvl w:ilvl="8" w:tplc="739A3B82">
      <w:numFmt w:val="decimal"/>
      <w:lvlText w:val=""/>
      <w:lvlJc w:val="left"/>
    </w:lvl>
  </w:abstractNum>
  <w:abstractNum w:abstractNumId="1">
    <w:nsid w:val="1DFC76C2"/>
    <w:multiLevelType w:val="hybridMultilevel"/>
    <w:tmpl w:val="644C0D5A"/>
    <w:lvl w:ilvl="0" w:tplc="7DE06444">
      <w:start w:val="1"/>
      <w:numFmt w:val="bullet"/>
      <w:lvlText w:val="•"/>
      <w:lvlJc w:val="left"/>
      <w:pPr>
        <w:ind w:left="540" w:hanging="270"/>
      </w:pPr>
      <w:rPr>
        <w:color w:val="0E9F6E"/>
      </w:rPr>
    </w:lvl>
    <w:lvl w:ilvl="1" w:tplc="FD8232F0">
      <w:start w:val="1"/>
      <w:numFmt w:val="bullet"/>
      <w:lvlText w:val="–"/>
      <w:lvlJc w:val="left"/>
      <w:pPr>
        <w:ind w:left="1080" w:hanging="270"/>
      </w:pPr>
    </w:lvl>
    <w:lvl w:ilvl="2" w:tplc="91585D12">
      <w:numFmt w:val="decimal"/>
      <w:lvlText w:val=""/>
      <w:lvlJc w:val="left"/>
    </w:lvl>
    <w:lvl w:ilvl="3" w:tplc="F11209F4">
      <w:numFmt w:val="decimal"/>
      <w:lvlText w:val=""/>
      <w:lvlJc w:val="left"/>
    </w:lvl>
    <w:lvl w:ilvl="4" w:tplc="2C006928">
      <w:numFmt w:val="decimal"/>
      <w:lvlText w:val=""/>
      <w:lvlJc w:val="left"/>
    </w:lvl>
    <w:lvl w:ilvl="5" w:tplc="9260E5E6">
      <w:numFmt w:val="decimal"/>
      <w:lvlText w:val=""/>
      <w:lvlJc w:val="left"/>
    </w:lvl>
    <w:lvl w:ilvl="6" w:tplc="27CC1702">
      <w:numFmt w:val="decimal"/>
      <w:lvlText w:val=""/>
      <w:lvlJc w:val="left"/>
    </w:lvl>
    <w:lvl w:ilvl="7" w:tplc="073CCC00">
      <w:numFmt w:val="decimal"/>
      <w:lvlText w:val=""/>
      <w:lvlJc w:val="left"/>
    </w:lvl>
    <w:lvl w:ilvl="8" w:tplc="ABB24338">
      <w:numFmt w:val="decimal"/>
      <w:lvlText w:val=""/>
      <w:lvlJc w:val="left"/>
    </w:lvl>
  </w:abstractNum>
  <w:abstractNum w:abstractNumId="2">
    <w:nsid w:val="3AB15672"/>
    <w:multiLevelType w:val="hybridMultilevel"/>
    <w:tmpl w:val="164E1C74"/>
    <w:lvl w:ilvl="0" w:tplc="12583A72">
      <w:start w:val="1"/>
      <w:numFmt w:val="decimal"/>
      <w:lvlText w:val="%1."/>
      <w:lvlJc w:val="left"/>
      <w:pPr>
        <w:ind w:left="540" w:hanging="360"/>
      </w:pPr>
      <w:rPr>
        <w:b/>
        <w:bCs/>
        <w:color w:val="0A1A8F"/>
      </w:rPr>
    </w:lvl>
    <w:lvl w:ilvl="1" w:tplc="73BA20C6">
      <w:start w:val="1"/>
      <w:numFmt w:val="lowerLetter"/>
      <w:lvlText w:val="%2."/>
      <w:lvlJc w:val="left"/>
      <w:pPr>
        <w:ind w:left="1080" w:hanging="360"/>
      </w:pPr>
    </w:lvl>
    <w:lvl w:ilvl="2" w:tplc="CAFE192C">
      <w:numFmt w:val="decimal"/>
      <w:lvlText w:val=""/>
      <w:lvlJc w:val="left"/>
    </w:lvl>
    <w:lvl w:ilvl="3" w:tplc="136EB44A">
      <w:numFmt w:val="decimal"/>
      <w:lvlText w:val=""/>
      <w:lvlJc w:val="left"/>
    </w:lvl>
    <w:lvl w:ilvl="4" w:tplc="F746DCD6">
      <w:numFmt w:val="decimal"/>
      <w:lvlText w:val=""/>
      <w:lvlJc w:val="left"/>
    </w:lvl>
    <w:lvl w:ilvl="5" w:tplc="A51EF1B8">
      <w:numFmt w:val="decimal"/>
      <w:lvlText w:val=""/>
      <w:lvlJc w:val="left"/>
    </w:lvl>
    <w:lvl w:ilvl="6" w:tplc="C576C344">
      <w:numFmt w:val="decimal"/>
      <w:lvlText w:val=""/>
      <w:lvlJc w:val="left"/>
    </w:lvl>
    <w:lvl w:ilvl="7" w:tplc="82382700">
      <w:numFmt w:val="decimal"/>
      <w:lvlText w:val=""/>
      <w:lvlJc w:val="left"/>
    </w:lvl>
    <w:lvl w:ilvl="8" w:tplc="A184E068">
      <w:numFmt w:val="decimal"/>
      <w:lvlText w:val=""/>
      <w:lvlJc w:val="left"/>
    </w:lvl>
  </w:abstractNum>
  <w:abstractNum w:abstractNumId="3">
    <w:nsid w:val="5AC33152"/>
    <w:multiLevelType w:val="hybridMultilevel"/>
    <w:tmpl w:val="9B74468A"/>
    <w:lvl w:ilvl="0" w:tplc="88F8105C">
      <w:start w:val="1"/>
      <w:numFmt w:val="bullet"/>
      <w:lvlText w:val="●"/>
      <w:lvlJc w:val="left"/>
      <w:pPr>
        <w:ind w:left="720" w:hanging="360"/>
      </w:pPr>
    </w:lvl>
    <w:lvl w:ilvl="1" w:tplc="F90AAA16">
      <w:start w:val="1"/>
      <w:numFmt w:val="bullet"/>
      <w:lvlText w:val="○"/>
      <w:lvlJc w:val="left"/>
      <w:pPr>
        <w:ind w:left="1440" w:hanging="360"/>
      </w:pPr>
    </w:lvl>
    <w:lvl w:ilvl="2" w:tplc="B2169A7E">
      <w:start w:val="1"/>
      <w:numFmt w:val="bullet"/>
      <w:lvlText w:val="■"/>
      <w:lvlJc w:val="left"/>
      <w:pPr>
        <w:ind w:left="2160" w:hanging="360"/>
      </w:pPr>
    </w:lvl>
    <w:lvl w:ilvl="3" w:tplc="5D98F1A2">
      <w:start w:val="1"/>
      <w:numFmt w:val="bullet"/>
      <w:lvlText w:val="●"/>
      <w:lvlJc w:val="left"/>
      <w:pPr>
        <w:ind w:left="2880" w:hanging="360"/>
      </w:pPr>
    </w:lvl>
    <w:lvl w:ilvl="4" w:tplc="999C7F40">
      <w:start w:val="1"/>
      <w:numFmt w:val="bullet"/>
      <w:lvlText w:val="○"/>
      <w:lvlJc w:val="left"/>
      <w:pPr>
        <w:ind w:left="3600" w:hanging="360"/>
      </w:pPr>
    </w:lvl>
    <w:lvl w:ilvl="5" w:tplc="341EEBBA">
      <w:start w:val="1"/>
      <w:numFmt w:val="bullet"/>
      <w:lvlText w:val="■"/>
      <w:lvlJc w:val="left"/>
      <w:pPr>
        <w:ind w:left="4320" w:hanging="360"/>
      </w:pPr>
    </w:lvl>
    <w:lvl w:ilvl="6" w:tplc="DBBA2966">
      <w:start w:val="1"/>
      <w:numFmt w:val="bullet"/>
      <w:lvlText w:val="●"/>
      <w:lvlJc w:val="left"/>
      <w:pPr>
        <w:ind w:left="5040" w:hanging="360"/>
      </w:pPr>
    </w:lvl>
    <w:lvl w:ilvl="7" w:tplc="95E61FF4">
      <w:start w:val="1"/>
      <w:numFmt w:val="bullet"/>
      <w:lvlText w:val="●"/>
      <w:lvlJc w:val="left"/>
      <w:pPr>
        <w:ind w:left="5760" w:hanging="360"/>
      </w:pPr>
    </w:lvl>
    <w:lvl w:ilvl="8" w:tplc="264478FE">
      <w:start w:val="1"/>
      <w:numFmt w:val="bullet"/>
      <w:lvlText w:val="●"/>
      <w:lvlJc w:val="left"/>
      <w:pPr>
        <w:ind w:left="6480" w:hanging="360"/>
      </w:pPr>
    </w:lvl>
  </w:abstractNum>
  <w:abstractNum w:abstractNumId="4">
    <w:nsid w:val="5DEA3008"/>
    <w:multiLevelType w:val="hybridMultilevel"/>
    <w:tmpl w:val="AB962AD0"/>
    <w:lvl w:ilvl="0" w:tplc="FCD4049A">
      <w:start w:val="1"/>
      <w:numFmt w:val="decimal"/>
      <w:lvlText w:val="%1."/>
      <w:lvlJc w:val="left"/>
      <w:pPr>
        <w:ind w:left="540" w:hanging="360"/>
      </w:pPr>
      <w:rPr>
        <w:b/>
        <w:bCs/>
        <w:color w:val="0A1A8F"/>
      </w:rPr>
    </w:lvl>
    <w:lvl w:ilvl="1" w:tplc="DB3AEAC4">
      <w:start w:val="1"/>
      <w:numFmt w:val="lowerLetter"/>
      <w:lvlText w:val="%2."/>
      <w:lvlJc w:val="left"/>
      <w:pPr>
        <w:ind w:left="1080" w:hanging="360"/>
      </w:pPr>
    </w:lvl>
    <w:lvl w:ilvl="2" w:tplc="0284C47C">
      <w:numFmt w:val="decimal"/>
      <w:lvlText w:val=""/>
      <w:lvlJc w:val="left"/>
    </w:lvl>
    <w:lvl w:ilvl="3" w:tplc="85604C8A">
      <w:numFmt w:val="decimal"/>
      <w:lvlText w:val=""/>
      <w:lvlJc w:val="left"/>
    </w:lvl>
    <w:lvl w:ilvl="4" w:tplc="A5D09E44">
      <w:numFmt w:val="decimal"/>
      <w:lvlText w:val=""/>
      <w:lvlJc w:val="left"/>
    </w:lvl>
    <w:lvl w:ilvl="5" w:tplc="3642FDCC">
      <w:numFmt w:val="decimal"/>
      <w:lvlText w:val=""/>
      <w:lvlJc w:val="left"/>
    </w:lvl>
    <w:lvl w:ilvl="6" w:tplc="3C0AAE6C">
      <w:numFmt w:val="decimal"/>
      <w:lvlText w:val=""/>
      <w:lvlJc w:val="left"/>
    </w:lvl>
    <w:lvl w:ilvl="7" w:tplc="1B888F9C">
      <w:numFmt w:val="decimal"/>
      <w:lvlText w:val=""/>
      <w:lvlJc w:val="left"/>
    </w:lvl>
    <w:lvl w:ilvl="8" w:tplc="D31C95A6">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 w:numId="4">
    <w:abstractNumId w:val="2"/>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A5548"/>
    <w:rsid w:val="000A5548"/>
    <w:rsid w:val="001619D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egoe UI" w:eastAsia="Segoe UI" w:hAnsi="Segoe UI" w:cs="Segoe UI"/>
        <w:color w:val="1D2433"/>
        <w:sz w:val="21"/>
        <w:szCs w:val="21"/>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0A1A8F"/>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619D9"/>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Segoe UI" w:eastAsia="Segoe UI" w:hAnsi="Segoe UI" w:cs="Segoe UI"/>
        <w:color w:val="1D2433"/>
        <w:sz w:val="21"/>
        <w:szCs w:val="21"/>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0A1A8F"/>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619D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1409</Words>
  <Characters>8035</Characters>
  <Application>Microsoft Office Word</Application>
  <DocSecurity>0</DocSecurity>
  <Lines>66</Lines>
  <Paragraphs>18</Paragraphs>
  <ScaleCrop>false</ScaleCrop>
  <Company>HP</Company>
  <LinksUpToDate>false</LinksUpToDate>
  <CharactersWithSpaces>9426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Whistleblowing Reporting Portal – User Guide v1 (Draft)</dc:title>
  <dc:creator>Doaa Mokhtar</dc:creator>
  <dc:description>Draft user guide based on the sandbox environment</dc:description>
  <cp:lastModifiedBy>hp</cp:lastModifiedBy>
  <cp:revision>2</cp:revision>
  <dcterms:created xsi:type="dcterms:W3CDTF">2026-10-18T21:53:00Z</dcterms:created>
  <dcterms:modified xsi:type="dcterms:W3CDTF">2026-10-18T21:53:00Z</dcterms:modified>
</cp:coreProperties>
</file>