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D0A05" w14:textId="35342DC1" w:rsidR="002F1B04" w:rsidRDefault="002F1B04" w:rsidP="005B352D">
      <w:pPr>
        <w:spacing w:line="276" w:lineRule="auto"/>
        <w:jc w:val="center"/>
        <w:rPr>
          <w:rFonts w:eastAsiaTheme="minorEastAsia"/>
          <w:noProof/>
          <w:kern w:val="0"/>
          <w:szCs w:val="22"/>
          <w14:ligatures w14:val="none"/>
        </w:rPr>
      </w:pPr>
      <w:r w:rsidRPr="002F1B04">
        <w:rPr>
          <w:rFonts w:eastAsiaTheme="minorEastAsia"/>
          <w:b/>
          <w:bCs/>
          <w:noProof/>
          <w:kern w:val="0"/>
          <w:szCs w:val="22"/>
          <w14:ligatures w14:val="none"/>
        </w:rPr>
        <w:t>MEMORANDUM</w:t>
      </w:r>
      <w:r w:rsidRPr="002F1B04">
        <w:rPr>
          <w:rFonts w:eastAsiaTheme="minorEastAsia"/>
          <w:noProof/>
          <w:kern w:val="0"/>
          <w:szCs w:val="22"/>
        </w:rPr>
        <mc:AlternateContent>
          <mc:Choice Requires="wps">
            <w:drawing>
              <wp:anchor distT="0" distB="0" distL="114300" distR="114300" simplePos="0" relativeHeight="251659264" behindDoc="0" locked="0" layoutInCell="1" allowOverlap="1" wp14:anchorId="2E7F3A84" wp14:editId="20E5EB73">
                <wp:simplePos x="0" y="0"/>
                <wp:positionH relativeFrom="column">
                  <wp:posOffset>-6350</wp:posOffset>
                </wp:positionH>
                <wp:positionV relativeFrom="paragraph">
                  <wp:posOffset>191135</wp:posOffset>
                </wp:positionV>
                <wp:extent cx="5956300" cy="19050"/>
                <wp:effectExtent l="0" t="0" r="25400" b="19050"/>
                <wp:wrapNone/>
                <wp:docPr id="47484497" name="Straight Connector 5"/>
                <wp:cNvGraphicFramePr/>
                <a:graphic xmlns:a="http://schemas.openxmlformats.org/drawingml/2006/main">
                  <a:graphicData uri="http://schemas.microsoft.com/office/word/2010/wordprocessingShape">
                    <wps:wsp>
                      <wps:cNvCnPr/>
                      <wps:spPr>
                        <a:xfrm flipV="1">
                          <a:off x="0" y="0"/>
                          <a:ext cx="59563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70A008F8" id="Straight Connector 5"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pt,15.05pt" to="468.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" strokecolor="black [3213]" strokeweight="1pt">
                <v:stroke joinstyle="miter"/>
              </v:line>
            </w:pict>
          </mc:Fallback>
        </mc:AlternateContent>
      </w:r>
    </w:p>
    <w:p w14:paraId="073DF0F0" w14:textId="0B1DFFBE" w:rsidR="002F1B04" w:rsidRDefault="002F1B04" w:rsidP="005B352D">
      <w:pPr>
        <w:spacing w:after="40" w:line="276" w:lineRule="auto"/>
      </w:pPr>
      <w:r>
        <w:rPr>
          <w:rFonts w:ascii="Calibri" w:eastAsia="Calibri" w:hAnsi="Calibri" w:cs="Calibri"/>
          <w:b/>
          <w:bCs/>
          <w:color w:val="1B2A4A"/>
          <w:sz w:val="21"/>
          <w:szCs w:val="21"/>
        </w:rPr>
        <w:t xml:space="preserve">To: </w:t>
      </w:r>
      <w:r>
        <w:rPr>
          <w:rFonts w:ascii="Calibri" w:eastAsia="Calibri" w:hAnsi="Calibri" w:cs="Calibri"/>
          <w:color w:val="222222"/>
          <w:sz w:val="21"/>
          <w:szCs w:val="21"/>
        </w:rPr>
        <w:t>AMG Executive Team</w:t>
      </w:r>
    </w:p>
    <w:p w14:paraId="6E50EDB1" w14:textId="02968C06" w:rsidR="002F1B04" w:rsidRDefault="002F1B04" w:rsidP="005B352D">
      <w:pPr>
        <w:spacing w:after="40" w:line="276" w:lineRule="auto"/>
      </w:pPr>
      <w:r>
        <w:rPr>
          <w:rFonts w:ascii="Calibri" w:eastAsia="Calibri" w:hAnsi="Calibri" w:cs="Calibri"/>
          <w:b/>
          <w:bCs/>
          <w:color w:val="1B2A4A"/>
          <w:sz w:val="21"/>
          <w:szCs w:val="21"/>
        </w:rPr>
        <w:t xml:space="preserve">From: </w:t>
      </w:r>
      <w:r w:rsidR="00A24061">
        <w:rPr>
          <w:rFonts w:ascii="Calibri" w:eastAsia="Calibri" w:hAnsi="Calibri" w:cs="Calibri"/>
          <w:color w:val="222222"/>
          <w:sz w:val="21"/>
          <w:szCs w:val="21"/>
        </w:rPr>
        <w:t>Desmond Opoku Anane,</w:t>
      </w:r>
      <w:r>
        <w:rPr>
          <w:rFonts w:ascii="Calibri" w:eastAsia="Calibri" w:hAnsi="Calibri" w:cs="Calibri"/>
          <w:color w:val="222222"/>
          <w:sz w:val="21"/>
          <w:szCs w:val="21"/>
        </w:rPr>
        <w:t xml:space="preserve"> ERP Transformation Program Candidate</w:t>
      </w:r>
    </w:p>
    <w:p w14:paraId="31BB9C95" w14:textId="0DB16C2C" w:rsidR="002F1B04" w:rsidRDefault="002F1B04" w:rsidP="005B352D">
      <w:pPr>
        <w:spacing w:after="40" w:line="276" w:lineRule="auto"/>
      </w:pPr>
      <w:r>
        <w:rPr>
          <w:rFonts w:ascii="Calibri" w:eastAsia="Calibri" w:hAnsi="Calibri" w:cs="Calibri"/>
          <w:b/>
          <w:bCs/>
          <w:color w:val="1B2A4A"/>
          <w:sz w:val="21"/>
          <w:szCs w:val="21"/>
        </w:rPr>
        <w:t xml:space="preserve">Date: </w:t>
      </w:r>
      <w:r>
        <w:rPr>
          <w:rFonts w:ascii="Calibri" w:eastAsia="Calibri" w:hAnsi="Calibri" w:cs="Calibri"/>
          <w:color w:val="222222"/>
          <w:sz w:val="21"/>
          <w:szCs w:val="21"/>
        </w:rPr>
        <w:t>July 17, 2026</w:t>
      </w:r>
    </w:p>
    <w:p w14:paraId="0572CE95" w14:textId="1E819891" w:rsidR="002F1B04" w:rsidRDefault="002F1B04" w:rsidP="005B352D">
      <w:pPr>
        <w:spacing w:after="40" w:line="276" w:lineRule="auto"/>
      </w:pPr>
      <w:r>
        <w:rPr>
          <w:rFonts w:ascii="Calibri" w:eastAsia="Calibri" w:hAnsi="Calibri" w:cs="Calibri"/>
          <w:b/>
          <w:bCs/>
          <w:color w:val="1B2A4A"/>
          <w:sz w:val="21"/>
          <w:szCs w:val="21"/>
        </w:rPr>
        <w:t xml:space="preserve">Re: </w:t>
      </w:r>
      <w:r>
        <w:rPr>
          <w:rFonts w:ascii="Calibri" w:eastAsia="Calibri" w:hAnsi="Calibri" w:cs="Calibri"/>
          <w:color w:val="222222"/>
          <w:sz w:val="21"/>
          <w:szCs w:val="21"/>
        </w:rPr>
        <w:t>ERP Replacement Program: Structure, Scope, and Data Continuity Recommendation</w:t>
      </w:r>
    </w:p>
    <w:p w14:paraId="6626E936" w14:textId="0BC42F13" w:rsidR="002F1B04" w:rsidRDefault="00A24061" w:rsidP="005B352D">
      <w:pPr>
        <w:pStyle w:val="Heading1"/>
        <w:spacing w:before="320" w:after="140" w:line="276" w:lineRule="auto"/>
      </w:pPr>
      <w:r w:rsidRPr="002F1B04">
        <w:rPr>
          <w:rFonts w:eastAsiaTheme="minorEastAsia"/>
          <w:noProof/>
          <w:color w:val="auto"/>
          <w:kern w:val="0"/>
          <w:szCs w:val="22"/>
        </w:rPr>
        <mc:AlternateContent>
          <mc:Choice Requires="wps">
            <w:drawing>
              <wp:anchor distT="0" distB="0" distL="114300" distR="114300" simplePos="0" relativeHeight="251661312" behindDoc="0" locked="0" layoutInCell="1" allowOverlap="1" wp14:anchorId="2C0AAF68" wp14:editId="004EB257">
                <wp:simplePos x="0" y="0"/>
                <wp:positionH relativeFrom="margin">
                  <wp:align>left</wp:align>
                </wp:positionH>
                <wp:positionV relativeFrom="paragraph">
                  <wp:posOffset>46990</wp:posOffset>
                </wp:positionV>
                <wp:extent cx="5956300" cy="19050"/>
                <wp:effectExtent l="0" t="0" r="25400" b="19050"/>
                <wp:wrapNone/>
                <wp:docPr id="1900694124" name="Straight Connector 5"/>
                <wp:cNvGraphicFramePr/>
                <a:graphic xmlns:a="http://schemas.openxmlformats.org/drawingml/2006/main">
                  <a:graphicData uri="http://schemas.microsoft.com/office/word/2010/wordprocessingShape">
                    <wps:wsp>
                      <wps:cNvCnPr/>
                      <wps:spPr>
                        <a:xfrm flipV="1">
                          <a:off x="0" y="0"/>
                          <a:ext cx="5956300" cy="1905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6F6373EC" id="Straight Connector 5" o:spid="_x0000_s1026" style="position:absolute;flip:y;z-index:251661312;visibility:visible;mso-wrap-style:square;mso-wrap-distance-left:9pt;mso-wrap-distance-top:0;mso-wrap-distance-right:9pt;mso-wrap-distance-bottom:0;mso-position-horizontal:left;mso-position-horizontal-relative:margin;mso-position-vertical:absolute;mso-position-vertical-relative:text" from="0,3.7pt" to="469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" strokecolor="black [3213]" strokeweight="1pt">
                <v:stroke joinstyle="miter"/>
                <w10:wrap anchorx="margin"/>
              </v:line>
            </w:pict>
          </mc:Fallback>
        </mc:AlternateContent>
      </w:r>
      <w:r w:rsidR="002F1B04">
        <w:rPr>
          <w:rFonts w:ascii="Cambria" w:eastAsia="Cambria" w:hAnsi="Cambria" w:cs="Cambria"/>
          <w:b/>
          <w:bCs/>
          <w:color w:val="1B2A4A"/>
          <w:sz w:val="27"/>
          <w:szCs w:val="27"/>
        </w:rPr>
        <w:t>Executive Summary</w:t>
      </w:r>
    </w:p>
    <w:p w14:paraId="544B2A14" w14:textId="01A69DA2" w:rsidR="002F1B04" w:rsidRPr="00A24061" w:rsidRDefault="00CE42D0" w:rsidP="005B352D">
      <w:pPr>
        <w:spacing w:line="276" w:lineRule="auto"/>
        <w:rPr>
          <w:rFonts w:ascii="Calibri" w:eastAsia="Calibri" w:hAnsi="Calibri" w:cs="Calibri"/>
          <w:color w:val="222222"/>
          <w:sz w:val="22"/>
          <w:szCs w:val="22"/>
        </w:rPr>
      </w:pPr>
      <w:r w:rsidRPr="00CE42D0">
        <w:rPr>
          <w:rFonts w:ascii="Calibri" w:eastAsia="Calibri" w:hAnsi="Calibri" w:cs="Calibri"/>
          <w:color w:val="222222"/>
          <w:sz w:val="22"/>
          <w:szCs w:val="22"/>
        </w:rPr>
        <w:t xml:space="preserve">The engineering BOM system and the main ERP are two distinct databases connected by a nightly sync that frequently fails, which is the same primary cause of AMG's manufacturing delays and margin loss on special orders. Leadership is unable to view contribution margin while a job is ongoing since labour monitoring and job costing are located outside of both systems. In order to maintain month-end </w:t>
      </w:r>
      <w:r w:rsidRPr="00CE42D0">
        <w:rPr>
          <w:rFonts w:ascii="Calibri" w:eastAsia="Calibri" w:hAnsi="Calibri" w:cs="Calibri"/>
          <w:color w:val="222222"/>
          <w:sz w:val="22"/>
          <w:szCs w:val="22"/>
        </w:rPr>
        <w:t>closing</w:t>
      </w:r>
      <w:r w:rsidRPr="00CE42D0">
        <w:rPr>
          <w:rFonts w:ascii="Calibri" w:eastAsia="Calibri" w:hAnsi="Calibri" w:cs="Calibri"/>
          <w:color w:val="222222"/>
          <w:sz w:val="22"/>
          <w:szCs w:val="22"/>
        </w:rPr>
        <w:t xml:space="preserve"> and KPI reporting throughout the twelve-month program, this letter suggests a phased, pilot-first ERP replacement </w:t>
      </w:r>
      <w:r w:rsidR="005B352D" w:rsidRPr="00CE42D0">
        <w:rPr>
          <w:rFonts w:ascii="Calibri" w:eastAsia="Calibri" w:hAnsi="Calibri" w:cs="Calibri"/>
          <w:color w:val="222222"/>
          <w:sz w:val="22"/>
          <w:szCs w:val="22"/>
        </w:rPr>
        <w:t>centered</w:t>
      </w:r>
      <w:r w:rsidRPr="00CE42D0">
        <w:rPr>
          <w:rFonts w:ascii="Calibri" w:eastAsia="Calibri" w:hAnsi="Calibri" w:cs="Calibri"/>
          <w:color w:val="222222"/>
          <w:sz w:val="22"/>
          <w:szCs w:val="22"/>
        </w:rPr>
        <w:t xml:space="preserve"> around three objectives, a rigorous Day-1 scope, and a two-tier approach to historical data.</w:t>
      </w:r>
      <w:r w:rsidR="00A24061">
        <w:rPr>
          <w:rFonts w:ascii="Calibri" w:eastAsia="Calibri" w:hAnsi="Calibri" w:cs="Calibri"/>
          <w:color w:val="222222"/>
          <w:sz w:val="22"/>
          <w:szCs w:val="22"/>
        </w:rPr>
        <w:br/>
      </w:r>
      <w:r w:rsidR="002F1B04">
        <w:rPr>
          <w:rFonts w:ascii="Cambria" w:eastAsia="Cambria" w:hAnsi="Cambria" w:cs="Cambria"/>
          <w:b/>
          <w:bCs/>
          <w:color w:val="1B2A4A"/>
          <w:sz w:val="27"/>
          <w:szCs w:val="27"/>
        </w:rPr>
        <w:t>1. Overall Approach</w:t>
      </w:r>
    </w:p>
    <w:p w14:paraId="629A25E4" w14:textId="77777777" w:rsidR="002F1B04" w:rsidRDefault="002F1B04" w:rsidP="005B352D">
      <w:pPr>
        <w:pStyle w:val="Heading2"/>
        <w:spacing w:before="200" w:after="100" w:line="276" w:lineRule="auto"/>
      </w:pPr>
      <w:r>
        <w:rPr>
          <w:rFonts w:ascii="Cambria" w:eastAsia="Cambria" w:hAnsi="Cambria" w:cs="Cambria"/>
          <w:b/>
          <w:bCs/>
          <w:color w:val="3F5A80"/>
          <w:sz w:val="23"/>
          <w:szCs w:val="23"/>
        </w:rPr>
        <w:t>Program Objectives</w:t>
      </w:r>
    </w:p>
    <w:p w14:paraId="3353984E" w14:textId="5F4A1A87" w:rsidR="00CE42D0" w:rsidRPr="00CE42D0" w:rsidRDefault="002F1B04" w:rsidP="005B352D">
      <w:pPr>
        <w:pStyle w:val="ListParagraph"/>
        <w:numPr>
          <w:ilvl w:val="0"/>
          <w:numId w:val="1"/>
        </w:numPr>
        <w:tabs>
          <w:tab w:val="decimal" w:pos="360"/>
        </w:tabs>
        <w:spacing w:after="90" w:line="276" w:lineRule="auto"/>
        <w:ind w:left="270" w:hanging="180"/>
        <w:rPr>
          <w:rFonts w:ascii="Calibri" w:eastAsia="Calibri" w:hAnsi="Calibri" w:cs="Calibri"/>
          <w:color w:val="222222"/>
          <w:sz w:val="22"/>
          <w:szCs w:val="22"/>
        </w:rPr>
      </w:pPr>
      <w:r w:rsidRPr="00CE42D0">
        <w:rPr>
          <w:rFonts w:ascii="Calibri" w:eastAsia="Calibri" w:hAnsi="Calibri" w:cs="Calibri"/>
          <w:b/>
          <w:bCs/>
          <w:color w:val="222222"/>
          <w:sz w:val="22"/>
          <w:szCs w:val="22"/>
        </w:rPr>
        <w:t xml:space="preserve">Restore margin visibility during the job, not after it closes. </w:t>
      </w:r>
      <w:r w:rsidR="00CE42D0" w:rsidRPr="00CE42D0">
        <w:rPr>
          <w:rFonts w:ascii="Calibri" w:eastAsia="Calibri" w:hAnsi="Calibri" w:cs="Calibri"/>
          <w:color w:val="222222"/>
          <w:sz w:val="22"/>
          <w:szCs w:val="22"/>
        </w:rPr>
        <w:t>Integrate engineering BOM and ECN management, job costing and labour tracking into one system of record to track contribution margin during work in progress.</w:t>
      </w:r>
    </w:p>
    <w:p w14:paraId="7F19D533" w14:textId="2906C21A" w:rsidR="00DA323C" w:rsidRDefault="002F1B04" w:rsidP="005B352D">
      <w:pPr>
        <w:pStyle w:val="ListParagraph"/>
        <w:numPr>
          <w:ilvl w:val="0"/>
          <w:numId w:val="1"/>
        </w:numPr>
        <w:tabs>
          <w:tab w:val="decimal" w:pos="360"/>
        </w:tabs>
        <w:spacing w:after="90" w:line="276" w:lineRule="auto"/>
        <w:ind w:left="270" w:hanging="180"/>
        <w:contextualSpacing w:val="0"/>
      </w:pPr>
      <w:r w:rsidRPr="00CE42D0">
        <w:rPr>
          <w:rFonts w:ascii="Calibri" w:eastAsia="Calibri" w:hAnsi="Calibri" w:cs="Calibri"/>
          <w:b/>
          <w:bCs/>
          <w:color w:val="222222"/>
          <w:sz w:val="22"/>
          <w:szCs w:val="22"/>
        </w:rPr>
        <w:t xml:space="preserve">Eliminate the fragile nightly sync. </w:t>
      </w:r>
      <w:r w:rsidRPr="00CE42D0">
        <w:rPr>
          <w:rFonts w:ascii="Calibri" w:eastAsia="Calibri" w:hAnsi="Calibri" w:cs="Calibri"/>
          <w:color w:val="222222"/>
          <w:sz w:val="22"/>
          <w:szCs w:val="22"/>
        </w:rPr>
        <w:t>This single point of failure is the direct cause of the BOM-driven manufacturing delays the Board has flagged.</w:t>
      </w:r>
    </w:p>
    <w:p w14:paraId="1E8AF854" w14:textId="45B9AC75" w:rsidR="002F1B04" w:rsidRDefault="002F1B04" w:rsidP="005B352D">
      <w:pPr>
        <w:pStyle w:val="ListParagraph"/>
        <w:numPr>
          <w:ilvl w:val="0"/>
          <w:numId w:val="1"/>
        </w:numPr>
        <w:spacing w:after="90" w:line="276" w:lineRule="auto"/>
        <w:ind w:left="270" w:hanging="180"/>
        <w:contextualSpacing w:val="0"/>
      </w:pPr>
      <w:r w:rsidRPr="00DA323C">
        <w:rPr>
          <w:rFonts w:ascii="Calibri" w:eastAsia="Calibri" w:hAnsi="Calibri" w:cs="Calibri"/>
          <w:b/>
          <w:bCs/>
          <w:color w:val="222222"/>
          <w:sz w:val="22"/>
          <w:szCs w:val="22"/>
        </w:rPr>
        <w:t xml:space="preserve">Consolidate the core, integrate the rest. </w:t>
      </w:r>
      <w:r w:rsidRPr="00DA323C">
        <w:rPr>
          <w:rFonts w:ascii="Calibri" w:eastAsia="Calibri" w:hAnsi="Calibri" w:cs="Calibri"/>
          <w:color w:val="222222"/>
          <w:sz w:val="22"/>
          <w:szCs w:val="22"/>
        </w:rPr>
        <w:t>Finance, manufacturing, engineering, and procurement move onto the new ERP. CRM and HR remain on their current systems and connect through defined interfaces rather than being replaced in this phase.</w:t>
      </w:r>
    </w:p>
    <w:p w14:paraId="546571E0" w14:textId="77777777" w:rsidR="002F1B04" w:rsidRDefault="002F1B04" w:rsidP="005B352D">
      <w:pPr>
        <w:pStyle w:val="Heading2"/>
        <w:spacing w:before="0" w:after="100" w:line="276" w:lineRule="auto"/>
        <w:ind w:firstLine="90"/>
      </w:pPr>
      <w:r>
        <w:rPr>
          <w:rFonts w:ascii="Cambria" w:eastAsia="Cambria" w:hAnsi="Cambria" w:cs="Cambria"/>
          <w:b/>
          <w:bCs/>
          <w:color w:val="3F5A80"/>
          <w:sz w:val="23"/>
          <w:szCs w:val="23"/>
        </w:rPr>
        <w:t>Phasing Approach</w:t>
      </w:r>
    </w:p>
    <w:p w14:paraId="3AD470AC" w14:textId="03DB9B9E" w:rsidR="00182D6A" w:rsidRDefault="00CE42D0" w:rsidP="005B352D">
      <w:pPr>
        <w:spacing w:line="276" w:lineRule="auto"/>
        <w:ind w:left="270"/>
      </w:pPr>
      <w:r w:rsidRPr="00CE42D0">
        <w:rPr>
          <w:rFonts w:ascii="Calibri" w:eastAsia="Calibri" w:hAnsi="Calibri" w:cs="Calibri"/>
          <w:color w:val="222222"/>
          <w:sz w:val="22"/>
          <w:szCs w:val="22"/>
        </w:rPr>
        <w:t xml:space="preserve">Instead of a big-bang cutover in all five locations or a slow rollout location by location that would run beyond the twelve-month target, the program is </w:t>
      </w:r>
      <w:r w:rsidRPr="00CE42D0">
        <w:rPr>
          <w:rFonts w:ascii="Calibri" w:eastAsia="Calibri" w:hAnsi="Calibri" w:cs="Calibri"/>
          <w:color w:val="222222"/>
          <w:sz w:val="22"/>
          <w:szCs w:val="22"/>
        </w:rPr>
        <w:t>organized</w:t>
      </w:r>
      <w:r w:rsidRPr="00CE42D0">
        <w:rPr>
          <w:rFonts w:ascii="Calibri" w:eastAsia="Calibri" w:hAnsi="Calibri" w:cs="Calibri"/>
          <w:color w:val="222222"/>
          <w:sz w:val="22"/>
          <w:szCs w:val="22"/>
        </w:rPr>
        <w:t xml:space="preserve"> into four phases, built around a single pilot site</w:t>
      </w:r>
      <w:r w:rsidR="002F1B04">
        <w:rPr>
          <w:rFonts w:ascii="Calibri" w:eastAsia="Calibri" w:hAnsi="Calibri" w:cs="Calibri"/>
          <w:color w:val="222222"/>
          <w:sz w:val="22"/>
          <w:szCs w:val="22"/>
        </w:rPr>
        <w:t>.</w:t>
      </w:r>
    </w:p>
    <w:p w14:paraId="06BADF2A" w14:textId="7A80D0BA" w:rsidR="00182D6A" w:rsidRPr="00182D6A" w:rsidRDefault="002F1B04" w:rsidP="005B352D">
      <w:pPr>
        <w:pStyle w:val="ListParagraph"/>
        <w:numPr>
          <w:ilvl w:val="0"/>
          <w:numId w:val="4"/>
        </w:numPr>
        <w:spacing w:line="276" w:lineRule="auto"/>
      </w:pPr>
      <w:r w:rsidRPr="00182D6A">
        <w:rPr>
          <w:rFonts w:ascii="Calibri" w:eastAsia="Calibri" w:hAnsi="Calibri" w:cs="Calibri"/>
          <w:b/>
          <w:bCs/>
          <w:color w:val="222222"/>
          <w:sz w:val="22"/>
          <w:szCs w:val="22"/>
        </w:rPr>
        <w:t xml:space="preserve">Phase 1, Months 1 to 3, Foundation. </w:t>
      </w:r>
      <w:r w:rsidRPr="00182D6A">
        <w:rPr>
          <w:rFonts w:ascii="Calibri" w:eastAsia="Calibri" w:hAnsi="Calibri" w:cs="Calibri"/>
          <w:color w:val="222222"/>
          <w:sz w:val="22"/>
          <w:szCs w:val="22"/>
        </w:rPr>
        <w:t>Process mapping, data governance charter, platform configuration</w:t>
      </w:r>
      <w:r w:rsidR="00182D6A" w:rsidRPr="00182D6A">
        <w:rPr>
          <w:rFonts w:ascii="Calibri" w:eastAsia="Calibri" w:hAnsi="Calibri" w:cs="Calibri"/>
          <w:color w:val="222222"/>
          <w:sz w:val="22"/>
          <w:szCs w:val="22"/>
        </w:rPr>
        <w:t xml:space="preserve"> </w:t>
      </w:r>
      <w:r w:rsidRPr="00182D6A">
        <w:rPr>
          <w:rFonts w:ascii="Calibri" w:eastAsia="Calibri" w:hAnsi="Calibri" w:cs="Calibri"/>
          <w:color w:val="222222"/>
          <w:sz w:val="22"/>
          <w:szCs w:val="22"/>
        </w:rPr>
        <w:t>decisions, and program governance are established before any build work begins.</w:t>
      </w:r>
    </w:p>
    <w:p w14:paraId="04E9912E" w14:textId="77777777" w:rsidR="00182D6A" w:rsidRPr="00182D6A" w:rsidRDefault="002F1B04" w:rsidP="005B352D">
      <w:pPr>
        <w:pStyle w:val="ListParagraph"/>
        <w:numPr>
          <w:ilvl w:val="0"/>
          <w:numId w:val="4"/>
        </w:numPr>
        <w:spacing w:line="276" w:lineRule="auto"/>
      </w:pPr>
      <w:r w:rsidRPr="00182D6A">
        <w:rPr>
          <w:rFonts w:ascii="Calibri" w:eastAsia="Calibri" w:hAnsi="Calibri" w:cs="Calibri"/>
          <w:b/>
          <w:bCs/>
          <w:color w:val="222222"/>
          <w:sz w:val="22"/>
          <w:szCs w:val="22"/>
        </w:rPr>
        <w:t xml:space="preserve">Phase 2, Months 4 to 7, Configure and Build. </w:t>
      </w:r>
      <w:r w:rsidRPr="00182D6A">
        <w:rPr>
          <w:rFonts w:ascii="Calibri" w:eastAsia="Calibri" w:hAnsi="Calibri" w:cs="Calibri"/>
          <w:color w:val="222222"/>
          <w:sz w:val="22"/>
          <w:szCs w:val="22"/>
        </w:rPr>
        <w:t xml:space="preserve">Core finance, manufacturing, procurement, and engineering BOM </w:t>
      </w:r>
      <w:r w:rsidR="00182D6A" w:rsidRPr="00182D6A">
        <w:rPr>
          <w:rFonts w:ascii="Calibri" w:eastAsia="Calibri" w:hAnsi="Calibri" w:cs="Calibri"/>
          <w:color w:val="222222"/>
          <w:sz w:val="22"/>
          <w:szCs w:val="22"/>
        </w:rPr>
        <w:t xml:space="preserve">   </w:t>
      </w:r>
      <w:r w:rsidRPr="00182D6A">
        <w:rPr>
          <w:rFonts w:ascii="Calibri" w:eastAsia="Calibri" w:hAnsi="Calibri" w:cs="Calibri"/>
          <w:color w:val="222222"/>
          <w:sz w:val="22"/>
          <w:szCs w:val="22"/>
        </w:rPr>
        <w:t>and ECN integration are configured. Data migration rules and interfaces to CRM and HRIS are built and unit tested.</w:t>
      </w:r>
    </w:p>
    <w:p w14:paraId="7BD7A246" w14:textId="77777777" w:rsidR="00182D6A" w:rsidRPr="00182D6A" w:rsidRDefault="002F1B04" w:rsidP="005B352D">
      <w:pPr>
        <w:pStyle w:val="ListParagraph"/>
        <w:numPr>
          <w:ilvl w:val="0"/>
          <w:numId w:val="4"/>
        </w:numPr>
        <w:spacing w:line="276" w:lineRule="auto"/>
      </w:pPr>
      <w:r w:rsidRPr="00182D6A">
        <w:rPr>
          <w:rFonts w:ascii="Calibri" w:eastAsia="Calibri" w:hAnsi="Calibri" w:cs="Calibri"/>
          <w:b/>
          <w:bCs/>
          <w:color w:val="222222"/>
          <w:sz w:val="22"/>
          <w:szCs w:val="22"/>
        </w:rPr>
        <w:t xml:space="preserve">Phase 3, Months 8 to 9, Pilot Go-Live. </w:t>
      </w:r>
      <w:r w:rsidRPr="00182D6A">
        <w:rPr>
          <w:rFonts w:ascii="Calibri" w:eastAsia="Calibri" w:hAnsi="Calibri" w:cs="Calibri"/>
          <w:color w:val="222222"/>
          <w:sz w:val="22"/>
          <w:szCs w:val="22"/>
        </w:rPr>
        <w:t>One location goes live first, running in parallel with the legacy ERP for at least one full month-end close. This is where BOM accuracy and job costing are proven before the rest of the business depends on them.</w:t>
      </w:r>
    </w:p>
    <w:p w14:paraId="700FEB7B" w14:textId="1BCF1369" w:rsidR="00182D6A" w:rsidRPr="00182D6A" w:rsidRDefault="002F1B04" w:rsidP="005B352D">
      <w:pPr>
        <w:pStyle w:val="ListParagraph"/>
        <w:numPr>
          <w:ilvl w:val="0"/>
          <w:numId w:val="4"/>
        </w:numPr>
        <w:spacing w:line="276" w:lineRule="auto"/>
      </w:pPr>
      <w:r w:rsidRPr="00182D6A">
        <w:rPr>
          <w:rFonts w:ascii="Calibri" w:eastAsia="Calibri" w:hAnsi="Calibri" w:cs="Calibri"/>
          <w:b/>
          <w:bCs/>
          <w:color w:val="222222"/>
          <w:sz w:val="22"/>
          <w:szCs w:val="22"/>
        </w:rPr>
        <w:t xml:space="preserve">Phase 4, Months 10 to 12, Wave Rollout and Stabilization. </w:t>
      </w:r>
      <w:r w:rsidRPr="00182D6A">
        <w:rPr>
          <w:rFonts w:ascii="Calibri" w:eastAsia="Calibri" w:hAnsi="Calibri" w:cs="Calibri"/>
          <w:color w:val="222222"/>
          <w:sz w:val="22"/>
          <w:szCs w:val="22"/>
        </w:rPr>
        <w:t xml:space="preserve">The remaining four locations go live in two waves, informed by what the pilot surfaced, followed by legacy system decommission and </w:t>
      </w:r>
      <w:r w:rsidR="00182D6A" w:rsidRPr="00182D6A">
        <w:rPr>
          <w:rFonts w:ascii="Calibri" w:eastAsia="Calibri" w:hAnsi="Calibri" w:cs="Calibri"/>
          <w:color w:val="222222"/>
          <w:sz w:val="22"/>
          <w:szCs w:val="22"/>
        </w:rPr>
        <w:t>hyper care</w:t>
      </w:r>
      <w:r w:rsidRPr="00182D6A">
        <w:rPr>
          <w:rFonts w:ascii="Calibri" w:eastAsia="Calibri" w:hAnsi="Calibri" w:cs="Calibri"/>
          <w:color w:val="222222"/>
          <w:sz w:val="22"/>
          <w:szCs w:val="22"/>
        </w:rPr>
        <w:t xml:space="preserve"> support.</w:t>
      </w:r>
    </w:p>
    <w:p w14:paraId="077D1ACD" w14:textId="1F7BEBC0" w:rsidR="002F1B04" w:rsidRDefault="002F1B04" w:rsidP="005B352D">
      <w:pPr>
        <w:spacing w:line="276" w:lineRule="auto"/>
        <w:ind w:left="360"/>
        <w:rPr>
          <w:rFonts w:ascii="Calibri" w:eastAsia="Calibri" w:hAnsi="Calibri" w:cs="Calibri"/>
          <w:color w:val="222222"/>
          <w:sz w:val="22"/>
          <w:szCs w:val="22"/>
        </w:rPr>
      </w:pPr>
      <w:r w:rsidRPr="00182D6A">
        <w:rPr>
          <w:rFonts w:ascii="Calibri" w:eastAsia="Calibri" w:hAnsi="Calibri" w:cs="Calibri"/>
          <w:color w:val="222222"/>
          <w:sz w:val="22"/>
          <w:szCs w:val="22"/>
        </w:rPr>
        <w:t>This structure puts the highest-risk, highest-value part of the program, engineering BOM and job costing, in front of a single site before it is multiplied across five locations and a multi-entity chart of accounts.</w:t>
      </w:r>
    </w:p>
    <w:p w14:paraId="118369D7" w14:textId="77777777" w:rsidR="00182D6A" w:rsidRDefault="00182D6A" w:rsidP="005B352D">
      <w:pPr>
        <w:pStyle w:val="Heading2"/>
        <w:spacing w:before="200" w:after="100" w:line="276" w:lineRule="auto"/>
      </w:pPr>
      <w:r>
        <w:rPr>
          <w:rFonts w:ascii="Cambria" w:eastAsia="Cambria" w:hAnsi="Cambria" w:cs="Cambria"/>
          <w:b/>
          <w:bCs/>
          <w:color w:val="3F5A80"/>
          <w:sz w:val="23"/>
          <w:szCs w:val="23"/>
        </w:rPr>
        <w:lastRenderedPageBreak/>
        <w:t>Scope Control</w:t>
      </w:r>
    </w:p>
    <w:p w14:paraId="7F4B9440" w14:textId="3EFDF79D" w:rsidR="00182D6A" w:rsidRDefault="00182D6A" w:rsidP="005B352D">
      <w:pPr>
        <w:spacing w:line="276" w:lineRule="auto"/>
      </w:pPr>
      <w:r>
        <w:rPr>
          <w:rFonts w:ascii="Calibri" w:eastAsia="Calibri" w:hAnsi="Calibri" w:cs="Calibri"/>
          <w:color w:val="222222"/>
          <w:sz w:val="22"/>
          <w:szCs w:val="22"/>
        </w:rPr>
        <w:t>A change control board is established from Month 1. Every requested addition to scope, whether a customization, a new interface, or a process change, is logged and evaluated against the three program</w:t>
      </w:r>
      <w:r w:rsidR="005B352D">
        <w:rPr>
          <w:rFonts w:ascii="Calibri" w:eastAsia="Calibri" w:hAnsi="Calibri" w:cs="Calibri"/>
          <w:color w:val="222222"/>
          <w:sz w:val="22"/>
          <w:szCs w:val="22"/>
        </w:rPr>
        <w:t xml:space="preserve"> </w:t>
      </w:r>
      <w:r>
        <w:rPr>
          <w:rFonts w:ascii="Calibri" w:eastAsia="Calibri" w:hAnsi="Calibri" w:cs="Calibri"/>
          <w:color w:val="222222"/>
          <w:sz w:val="22"/>
          <w:szCs w:val="22"/>
        </w:rPr>
        <w:t>objectives above. If a request does not clearly serve margin visibility, sync elimination, or core consolidation, it is deferred to a post-go-live phase rather than added mid-build. This is the mechanism that keeps an engineer-to-order implementation, which naturally invites edge cases and one-off requirements, inside a twelve-month window.</w:t>
      </w:r>
    </w:p>
    <w:p w14:paraId="6579CCF0" w14:textId="77777777" w:rsidR="002F1B04" w:rsidRDefault="002F1B04" w:rsidP="005B352D">
      <w:pPr>
        <w:pStyle w:val="Heading2"/>
        <w:spacing w:before="200" w:after="100" w:line="276" w:lineRule="auto"/>
        <w:rPr>
          <w:rFonts w:ascii="Cambria" w:eastAsia="Cambria" w:hAnsi="Cambria" w:cs="Cambria"/>
          <w:b/>
          <w:bCs/>
          <w:color w:val="3F5A80"/>
          <w:sz w:val="23"/>
          <w:szCs w:val="23"/>
        </w:rPr>
      </w:pPr>
      <w:r>
        <w:rPr>
          <w:rFonts w:ascii="Cambria" w:eastAsia="Cambria" w:hAnsi="Cambria" w:cs="Cambria"/>
          <w:b/>
          <w:bCs/>
          <w:color w:val="3F5A80"/>
          <w:sz w:val="23"/>
          <w:szCs w:val="23"/>
        </w:rPr>
        <w:t>Top Risks and Mitigations</w:t>
      </w:r>
    </w:p>
    <w:tbl>
      <w:tblPr>
        <w:tblW w:w="986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9"/>
        <w:gridCol w:w="3182"/>
        <w:gridCol w:w="4651"/>
      </w:tblGrid>
      <w:tr w:rsidR="00AD5A59" w14:paraId="2FCB7021" w14:textId="77777777" w:rsidTr="005B352D">
        <w:tblPrEx>
          <w:tblCellMar>
            <w:top w:w="0" w:type="dxa"/>
            <w:bottom w:w="0" w:type="dxa"/>
          </w:tblCellMar>
        </w:tblPrEx>
        <w:trPr>
          <w:trHeight w:val="32"/>
          <w:tblHeader/>
        </w:trPr>
        <w:tc>
          <w:tcPr>
            <w:tcW w:w="2029" w:type="dxa"/>
            <w:shd w:val="clear" w:color="auto" w:fill="E97132" w:themeFill="accent2"/>
            <w:tcMar>
              <w:top w:w="90" w:type="dxa"/>
              <w:left w:w="110" w:type="dxa"/>
              <w:bottom w:w="90" w:type="dxa"/>
              <w:right w:w="110" w:type="dxa"/>
            </w:tcMar>
          </w:tcPr>
          <w:p w14:paraId="38BA8933" w14:textId="77777777" w:rsidR="00AD5A59" w:rsidRDefault="00AD5A59" w:rsidP="005B352D">
            <w:pPr>
              <w:spacing w:line="276" w:lineRule="auto"/>
            </w:pPr>
            <w:r>
              <w:rPr>
                <w:rFonts w:ascii="Calibri" w:eastAsia="Calibri" w:hAnsi="Calibri" w:cs="Calibri"/>
                <w:b/>
                <w:bCs/>
                <w:color w:val="FFFFFF"/>
                <w:sz w:val="20"/>
                <w:szCs w:val="20"/>
              </w:rPr>
              <w:t>Risk</w:t>
            </w:r>
          </w:p>
        </w:tc>
        <w:tc>
          <w:tcPr>
            <w:tcW w:w="3182" w:type="dxa"/>
            <w:shd w:val="clear" w:color="auto" w:fill="E97132" w:themeFill="accent2"/>
            <w:tcMar>
              <w:top w:w="90" w:type="dxa"/>
              <w:left w:w="110" w:type="dxa"/>
              <w:bottom w:w="90" w:type="dxa"/>
              <w:right w:w="110" w:type="dxa"/>
            </w:tcMar>
          </w:tcPr>
          <w:p w14:paraId="672E3EF2" w14:textId="77777777" w:rsidR="00AD5A59" w:rsidRDefault="00AD5A59" w:rsidP="005B352D">
            <w:pPr>
              <w:spacing w:line="276" w:lineRule="auto"/>
            </w:pPr>
            <w:r>
              <w:rPr>
                <w:rFonts w:ascii="Calibri" w:eastAsia="Calibri" w:hAnsi="Calibri" w:cs="Calibri"/>
                <w:b/>
                <w:bCs/>
                <w:color w:val="FFFFFF"/>
                <w:sz w:val="20"/>
                <w:szCs w:val="20"/>
              </w:rPr>
              <w:t>Why It Matters Here</w:t>
            </w:r>
          </w:p>
        </w:tc>
        <w:tc>
          <w:tcPr>
            <w:tcW w:w="4651" w:type="dxa"/>
            <w:shd w:val="clear" w:color="auto" w:fill="E97132" w:themeFill="accent2"/>
            <w:tcMar>
              <w:top w:w="90" w:type="dxa"/>
              <w:left w:w="110" w:type="dxa"/>
              <w:bottom w:w="90" w:type="dxa"/>
              <w:right w:w="110" w:type="dxa"/>
            </w:tcMar>
          </w:tcPr>
          <w:p w14:paraId="7431A673" w14:textId="77777777" w:rsidR="00AD5A59" w:rsidRDefault="00AD5A59" w:rsidP="005B352D">
            <w:pPr>
              <w:spacing w:line="276" w:lineRule="auto"/>
            </w:pPr>
            <w:r>
              <w:rPr>
                <w:rFonts w:ascii="Calibri" w:eastAsia="Calibri" w:hAnsi="Calibri" w:cs="Calibri"/>
                <w:b/>
                <w:bCs/>
                <w:color w:val="FFFFFF"/>
                <w:sz w:val="20"/>
                <w:szCs w:val="20"/>
              </w:rPr>
              <w:t>Mitigation</w:t>
            </w:r>
          </w:p>
        </w:tc>
      </w:tr>
      <w:tr w:rsidR="00AD5A59" w14:paraId="66BA53B7" w14:textId="77777777" w:rsidTr="005B352D">
        <w:tblPrEx>
          <w:tblCellMar>
            <w:top w:w="0" w:type="dxa"/>
            <w:bottom w:w="0" w:type="dxa"/>
          </w:tblCellMar>
        </w:tblPrEx>
        <w:trPr>
          <w:trHeight w:val="77"/>
        </w:trPr>
        <w:tc>
          <w:tcPr>
            <w:tcW w:w="2029" w:type="dxa"/>
            <w:shd w:val="clear" w:color="auto" w:fill="F2F4F7"/>
            <w:tcMar>
              <w:top w:w="90" w:type="dxa"/>
              <w:left w:w="110" w:type="dxa"/>
              <w:bottom w:w="90" w:type="dxa"/>
              <w:right w:w="110" w:type="dxa"/>
            </w:tcMar>
          </w:tcPr>
          <w:p w14:paraId="2A9980A0" w14:textId="77777777" w:rsidR="00AD5A59" w:rsidRDefault="00AD5A59" w:rsidP="005B352D">
            <w:pPr>
              <w:spacing w:line="276" w:lineRule="auto"/>
            </w:pPr>
            <w:r>
              <w:rPr>
                <w:rFonts w:ascii="Calibri" w:eastAsia="Calibri" w:hAnsi="Calibri" w:cs="Calibri"/>
                <w:color w:val="222222"/>
                <w:sz w:val="20"/>
                <w:szCs w:val="20"/>
              </w:rPr>
              <w:t>BOM and engineering data quality</w:t>
            </w:r>
          </w:p>
        </w:tc>
        <w:tc>
          <w:tcPr>
            <w:tcW w:w="3182" w:type="dxa"/>
            <w:shd w:val="clear" w:color="auto" w:fill="FFFFFF"/>
            <w:tcMar>
              <w:top w:w="90" w:type="dxa"/>
              <w:left w:w="110" w:type="dxa"/>
              <w:bottom w:w="90" w:type="dxa"/>
              <w:right w:w="110" w:type="dxa"/>
            </w:tcMar>
          </w:tcPr>
          <w:p w14:paraId="5DE83D69" w14:textId="432BEE0E" w:rsidR="00AD5A59" w:rsidRDefault="00AD5A59" w:rsidP="005B352D">
            <w:pPr>
              <w:spacing w:line="276" w:lineRule="auto"/>
            </w:pPr>
            <w:r>
              <w:rPr>
                <w:rFonts w:ascii="Calibri" w:eastAsia="Calibri" w:hAnsi="Calibri" w:cs="Calibri"/>
                <w:color w:val="222222"/>
                <w:sz w:val="20"/>
                <w:szCs w:val="20"/>
              </w:rPr>
              <w:t xml:space="preserve">Years of nightly sync failures mean legacy BOM and ECN data </w:t>
            </w:r>
            <w:r w:rsidR="000245AA">
              <w:rPr>
                <w:rFonts w:ascii="Calibri" w:eastAsia="Calibri" w:hAnsi="Calibri" w:cs="Calibri"/>
                <w:color w:val="222222"/>
                <w:sz w:val="20"/>
                <w:szCs w:val="20"/>
              </w:rPr>
              <w:t>are</w:t>
            </w:r>
            <w:r>
              <w:rPr>
                <w:rFonts w:ascii="Calibri" w:eastAsia="Calibri" w:hAnsi="Calibri" w:cs="Calibri"/>
                <w:color w:val="222222"/>
                <w:sz w:val="20"/>
                <w:szCs w:val="20"/>
              </w:rPr>
              <w:t xml:space="preserve"> likely inconsistent at the revision level.</w:t>
            </w:r>
          </w:p>
        </w:tc>
        <w:tc>
          <w:tcPr>
            <w:tcW w:w="4651" w:type="dxa"/>
            <w:shd w:val="clear" w:color="auto" w:fill="FFFFFF"/>
            <w:tcMar>
              <w:top w:w="90" w:type="dxa"/>
              <w:left w:w="110" w:type="dxa"/>
              <w:bottom w:w="90" w:type="dxa"/>
              <w:right w:w="110" w:type="dxa"/>
            </w:tcMar>
          </w:tcPr>
          <w:p w14:paraId="3188C355" w14:textId="77777777" w:rsidR="00AD5A59" w:rsidRDefault="00AD5A59" w:rsidP="005B352D">
            <w:pPr>
              <w:spacing w:line="276" w:lineRule="auto"/>
            </w:pPr>
            <w:r>
              <w:rPr>
                <w:rFonts w:ascii="Calibri" w:eastAsia="Calibri" w:hAnsi="Calibri" w:cs="Calibri"/>
                <w:color w:val="222222"/>
                <w:sz w:val="20"/>
                <w:szCs w:val="20"/>
              </w:rPr>
              <w:t>Audit and cleanse BOM data with engineering sign-off before migration, not during cutover weekend.</w:t>
            </w:r>
          </w:p>
        </w:tc>
      </w:tr>
      <w:tr w:rsidR="00AD5A59" w14:paraId="57A8FCE0" w14:textId="77777777" w:rsidTr="005B352D">
        <w:tblPrEx>
          <w:tblCellMar>
            <w:top w:w="0" w:type="dxa"/>
            <w:bottom w:w="0" w:type="dxa"/>
          </w:tblCellMar>
        </w:tblPrEx>
        <w:trPr>
          <w:trHeight w:val="77"/>
        </w:trPr>
        <w:tc>
          <w:tcPr>
            <w:tcW w:w="2029" w:type="dxa"/>
            <w:shd w:val="clear" w:color="auto" w:fill="F2F4F7"/>
            <w:tcMar>
              <w:top w:w="90" w:type="dxa"/>
              <w:left w:w="110" w:type="dxa"/>
              <w:bottom w:w="90" w:type="dxa"/>
              <w:right w:w="110" w:type="dxa"/>
            </w:tcMar>
          </w:tcPr>
          <w:p w14:paraId="152A8A65" w14:textId="77777777" w:rsidR="00AD5A59" w:rsidRDefault="00AD5A59" w:rsidP="005B352D">
            <w:pPr>
              <w:spacing w:line="276" w:lineRule="auto"/>
            </w:pPr>
            <w:r>
              <w:rPr>
                <w:rFonts w:ascii="Calibri" w:eastAsia="Calibri" w:hAnsi="Calibri" w:cs="Calibri"/>
                <w:color w:val="222222"/>
                <w:sz w:val="20"/>
                <w:szCs w:val="20"/>
              </w:rPr>
              <w:t>Timeline compression for engineer-to-order complexity</w:t>
            </w:r>
          </w:p>
        </w:tc>
        <w:tc>
          <w:tcPr>
            <w:tcW w:w="3182" w:type="dxa"/>
            <w:shd w:val="clear" w:color="auto" w:fill="FFFFFF"/>
            <w:tcMar>
              <w:top w:w="90" w:type="dxa"/>
              <w:left w:w="110" w:type="dxa"/>
              <w:bottom w:w="90" w:type="dxa"/>
              <w:right w:w="110" w:type="dxa"/>
            </w:tcMar>
          </w:tcPr>
          <w:p w14:paraId="1C0C0249" w14:textId="50F7A7EA" w:rsidR="00AD5A59" w:rsidRDefault="00AD5A59" w:rsidP="005B352D">
            <w:pPr>
              <w:spacing w:line="276" w:lineRule="auto"/>
            </w:pPr>
            <w:r>
              <w:rPr>
                <w:rFonts w:ascii="Calibri" w:eastAsia="Calibri" w:hAnsi="Calibri" w:cs="Calibri"/>
                <w:color w:val="222222"/>
                <w:sz w:val="20"/>
                <w:szCs w:val="20"/>
              </w:rPr>
              <w:t xml:space="preserve">Twelve months is workable but </w:t>
            </w:r>
            <w:r w:rsidR="000245AA">
              <w:rPr>
                <w:rFonts w:ascii="Calibri" w:eastAsia="Calibri" w:hAnsi="Calibri" w:cs="Calibri"/>
                <w:color w:val="222222"/>
                <w:sz w:val="20"/>
                <w:szCs w:val="20"/>
              </w:rPr>
              <w:t>tight</w:t>
            </w:r>
            <w:r>
              <w:rPr>
                <w:rFonts w:ascii="Calibri" w:eastAsia="Calibri" w:hAnsi="Calibri" w:cs="Calibri"/>
                <w:color w:val="222222"/>
                <w:sz w:val="20"/>
                <w:szCs w:val="20"/>
              </w:rPr>
              <w:t xml:space="preserve"> configurator </w:t>
            </w:r>
            <w:r w:rsidR="000245AA">
              <w:rPr>
                <w:rFonts w:ascii="Calibri" w:eastAsia="Calibri" w:hAnsi="Calibri" w:cs="Calibri"/>
                <w:color w:val="222222"/>
                <w:sz w:val="20"/>
                <w:szCs w:val="20"/>
              </w:rPr>
              <w:t>rules,</w:t>
            </w:r>
            <w:r>
              <w:rPr>
                <w:rFonts w:ascii="Calibri" w:eastAsia="Calibri" w:hAnsi="Calibri" w:cs="Calibri"/>
                <w:color w:val="222222"/>
                <w:sz w:val="20"/>
                <w:szCs w:val="20"/>
              </w:rPr>
              <w:t xml:space="preserve"> and BOM logic are built out in full.</w:t>
            </w:r>
          </w:p>
        </w:tc>
        <w:tc>
          <w:tcPr>
            <w:tcW w:w="4651" w:type="dxa"/>
            <w:shd w:val="clear" w:color="auto" w:fill="FFFFFF"/>
            <w:tcMar>
              <w:top w:w="90" w:type="dxa"/>
              <w:left w:w="110" w:type="dxa"/>
              <w:bottom w:w="90" w:type="dxa"/>
              <w:right w:w="110" w:type="dxa"/>
            </w:tcMar>
          </w:tcPr>
          <w:p w14:paraId="13C069D6" w14:textId="77777777" w:rsidR="00AD5A59" w:rsidRDefault="00AD5A59" w:rsidP="005B352D">
            <w:pPr>
              <w:spacing w:line="276" w:lineRule="auto"/>
            </w:pPr>
            <w:r>
              <w:rPr>
                <w:rFonts w:ascii="Calibri" w:eastAsia="Calibri" w:hAnsi="Calibri" w:cs="Calibri"/>
                <w:color w:val="222222"/>
                <w:sz w:val="20"/>
                <w:szCs w:val="20"/>
              </w:rPr>
              <w:t>Fix Day-1 scope early, avoid non-essential customization, validate through a single pilot site before full rollout.</w:t>
            </w:r>
          </w:p>
        </w:tc>
      </w:tr>
      <w:tr w:rsidR="00AD5A59" w14:paraId="3CE9895F" w14:textId="77777777" w:rsidTr="005B352D">
        <w:tblPrEx>
          <w:tblCellMar>
            <w:top w:w="0" w:type="dxa"/>
            <w:bottom w:w="0" w:type="dxa"/>
          </w:tblCellMar>
        </w:tblPrEx>
        <w:trPr>
          <w:trHeight w:val="100"/>
        </w:trPr>
        <w:tc>
          <w:tcPr>
            <w:tcW w:w="2029" w:type="dxa"/>
            <w:shd w:val="clear" w:color="auto" w:fill="F2F4F7"/>
            <w:tcMar>
              <w:top w:w="90" w:type="dxa"/>
              <w:left w:w="110" w:type="dxa"/>
              <w:bottom w:w="90" w:type="dxa"/>
              <w:right w:w="110" w:type="dxa"/>
            </w:tcMar>
          </w:tcPr>
          <w:p w14:paraId="08F9F7D1" w14:textId="77777777" w:rsidR="00AD5A59" w:rsidRDefault="00AD5A59" w:rsidP="005B352D">
            <w:pPr>
              <w:spacing w:line="276" w:lineRule="auto"/>
            </w:pPr>
            <w:r>
              <w:rPr>
                <w:rFonts w:ascii="Calibri" w:eastAsia="Calibri" w:hAnsi="Calibri" w:cs="Calibri"/>
                <w:color w:val="222222"/>
                <w:sz w:val="20"/>
                <w:szCs w:val="20"/>
              </w:rPr>
              <w:t>Change management across users on unfamiliar systems</w:t>
            </w:r>
          </w:p>
        </w:tc>
        <w:tc>
          <w:tcPr>
            <w:tcW w:w="3182" w:type="dxa"/>
            <w:shd w:val="clear" w:color="auto" w:fill="FFFFFF"/>
            <w:tcMar>
              <w:top w:w="90" w:type="dxa"/>
              <w:left w:w="110" w:type="dxa"/>
              <w:bottom w:w="90" w:type="dxa"/>
              <w:right w:w="110" w:type="dxa"/>
            </w:tcMar>
          </w:tcPr>
          <w:p w14:paraId="78A4C99D" w14:textId="77777777" w:rsidR="00AD5A59" w:rsidRDefault="00AD5A59" w:rsidP="005B352D">
            <w:pPr>
              <w:spacing w:line="276" w:lineRule="auto"/>
            </w:pPr>
            <w:r>
              <w:rPr>
                <w:rFonts w:ascii="Calibri" w:eastAsia="Calibri" w:hAnsi="Calibri" w:cs="Calibri"/>
                <w:color w:val="222222"/>
                <w:sz w:val="20"/>
                <w:szCs w:val="20"/>
              </w:rPr>
              <w:t>Roughly 80 core users today plus engineering and shop floor staff are moving off systems they have used for years.</w:t>
            </w:r>
          </w:p>
        </w:tc>
        <w:tc>
          <w:tcPr>
            <w:tcW w:w="4651" w:type="dxa"/>
            <w:shd w:val="clear" w:color="auto" w:fill="FFFFFF"/>
            <w:tcMar>
              <w:top w:w="90" w:type="dxa"/>
              <w:left w:w="110" w:type="dxa"/>
              <w:bottom w:w="90" w:type="dxa"/>
              <w:right w:w="110" w:type="dxa"/>
            </w:tcMar>
          </w:tcPr>
          <w:p w14:paraId="64D7912E" w14:textId="77777777" w:rsidR="00AD5A59" w:rsidRDefault="00AD5A59" w:rsidP="005B352D">
            <w:pPr>
              <w:spacing w:line="276" w:lineRule="auto"/>
            </w:pPr>
            <w:r>
              <w:rPr>
                <w:rFonts w:ascii="Calibri" w:eastAsia="Calibri" w:hAnsi="Calibri" w:cs="Calibri"/>
                <w:color w:val="222222"/>
                <w:sz w:val="20"/>
                <w:szCs w:val="20"/>
              </w:rPr>
              <w:t>Involve process owners from month one, build a super-user network per site, train ahead of each go-live wave.</w:t>
            </w:r>
          </w:p>
        </w:tc>
      </w:tr>
      <w:tr w:rsidR="00AD5A59" w14:paraId="0359ACD3" w14:textId="77777777" w:rsidTr="005B352D">
        <w:tblPrEx>
          <w:tblCellMar>
            <w:top w:w="0" w:type="dxa"/>
            <w:bottom w:w="0" w:type="dxa"/>
          </w:tblCellMar>
        </w:tblPrEx>
        <w:trPr>
          <w:trHeight w:val="77"/>
        </w:trPr>
        <w:tc>
          <w:tcPr>
            <w:tcW w:w="2029" w:type="dxa"/>
            <w:shd w:val="clear" w:color="auto" w:fill="F2F4F7"/>
            <w:tcMar>
              <w:top w:w="90" w:type="dxa"/>
              <w:left w:w="110" w:type="dxa"/>
              <w:bottom w:w="90" w:type="dxa"/>
              <w:right w:w="110" w:type="dxa"/>
            </w:tcMar>
          </w:tcPr>
          <w:p w14:paraId="6647DE6C" w14:textId="77777777" w:rsidR="00AD5A59" w:rsidRDefault="00AD5A59" w:rsidP="005B352D">
            <w:pPr>
              <w:spacing w:line="276" w:lineRule="auto"/>
            </w:pPr>
            <w:r>
              <w:rPr>
                <w:rFonts w:ascii="Calibri" w:eastAsia="Calibri" w:hAnsi="Calibri" w:cs="Calibri"/>
                <w:color w:val="222222"/>
                <w:sz w:val="20"/>
                <w:szCs w:val="20"/>
              </w:rPr>
              <w:t>Continuity of operations and month-end close</w:t>
            </w:r>
          </w:p>
        </w:tc>
        <w:tc>
          <w:tcPr>
            <w:tcW w:w="3182" w:type="dxa"/>
            <w:shd w:val="clear" w:color="auto" w:fill="FFFFFF"/>
            <w:tcMar>
              <w:top w:w="90" w:type="dxa"/>
              <w:left w:w="110" w:type="dxa"/>
              <w:bottom w:w="90" w:type="dxa"/>
              <w:right w:w="110" w:type="dxa"/>
            </w:tcMar>
          </w:tcPr>
          <w:p w14:paraId="6E2CB810" w14:textId="0A5D6025" w:rsidR="00AD5A59" w:rsidRDefault="00AD5A59" w:rsidP="005B352D">
            <w:pPr>
              <w:spacing w:line="276" w:lineRule="auto"/>
            </w:pPr>
            <w:r>
              <w:rPr>
                <w:rFonts w:ascii="Calibri" w:eastAsia="Calibri" w:hAnsi="Calibri" w:cs="Calibri"/>
                <w:color w:val="222222"/>
                <w:sz w:val="20"/>
                <w:szCs w:val="20"/>
              </w:rPr>
              <w:t xml:space="preserve">Finance cannot afford a broken </w:t>
            </w:r>
            <w:r w:rsidR="000245AA">
              <w:rPr>
                <w:rFonts w:ascii="Calibri" w:eastAsia="Calibri" w:hAnsi="Calibri" w:cs="Calibri"/>
                <w:color w:val="222222"/>
                <w:sz w:val="20"/>
                <w:szCs w:val="20"/>
              </w:rPr>
              <w:t>closure</w:t>
            </w:r>
            <w:r>
              <w:rPr>
                <w:rFonts w:ascii="Calibri" w:eastAsia="Calibri" w:hAnsi="Calibri" w:cs="Calibri"/>
                <w:color w:val="222222"/>
                <w:sz w:val="20"/>
                <w:szCs w:val="20"/>
              </w:rPr>
              <w:t xml:space="preserve"> or a gap in job costing during cutover.</w:t>
            </w:r>
          </w:p>
        </w:tc>
        <w:tc>
          <w:tcPr>
            <w:tcW w:w="4651" w:type="dxa"/>
            <w:shd w:val="clear" w:color="auto" w:fill="FFFFFF"/>
            <w:tcMar>
              <w:top w:w="90" w:type="dxa"/>
              <w:left w:w="110" w:type="dxa"/>
              <w:bottom w:w="90" w:type="dxa"/>
              <w:right w:w="110" w:type="dxa"/>
            </w:tcMar>
          </w:tcPr>
          <w:p w14:paraId="449E2E0E" w14:textId="77777777" w:rsidR="00AD5A59" w:rsidRDefault="00AD5A59" w:rsidP="005B352D">
            <w:pPr>
              <w:spacing w:line="276" w:lineRule="auto"/>
            </w:pPr>
            <w:r>
              <w:rPr>
                <w:rFonts w:ascii="Calibri" w:eastAsia="Calibri" w:hAnsi="Calibri" w:cs="Calibri"/>
                <w:color w:val="222222"/>
                <w:sz w:val="20"/>
                <w:szCs w:val="20"/>
              </w:rPr>
              <w:t>Run a full parallel close at the pilot site before go-live and freeze non-essential changes around each close.</w:t>
            </w:r>
          </w:p>
        </w:tc>
      </w:tr>
      <w:tr w:rsidR="00AD5A59" w14:paraId="144A5260" w14:textId="77777777" w:rsidTr="005B352D">
        <w:tblPrEx>
          <w:tblCellMar>
            <w:top w:w="0" w:type="dxa"/>
            <w:bottom w:w="0" w:type="dxa"/>
          </w:tblCellMar>
        </w:tblPrEx>
        <w:trPr>
          <w:trHeight w:val="77"/>
        </w:trPr>
        <w:tc>
          <w:tcPr>
            <w:tcW w:w="2029" w:type="dxa"/>
            <w:shd w:val="clear" w:color="auto" w:fill="F2F4F7"/>
            <w:tcMar>
              <w:top w:w="90" w:type="dxa"/>
              <w:left w:w="110" w:type="dxa"/>
              <w:bottom w:w="90" w:type="dxa"/>
              <w:right w:w="110" w:type="dxa"/>
            </w:tcMar>
          </w:tcPr>
          <w:p w14:paraId="2247D70C" w14:textId="77777777" w:rsidR="00AD5A59" w:rsidRDefault="00AD5A59" w:rsidP="005B352D">
            <w:pPr>
              <w:spacing w:line="276" w:lineRule="auto"/>
            </w:pPr>
            <w:r>
              <w:rPr>
                <w:rFonts w:ascii="Calibri" w:eastAsia="Calibri" w:hAnsi="Calibri" w:cs="Calibri"/>
                <w:color w:val="222222"/>
                <w:sz w:val="20"/>
                <w:szCs w:val="20"/>
              </w:rPr>
              <w:t>Scope creep and uncontrolled customization</w:t>
            </w:r>
          </w:p>
        </w:tc>
        <w:tc>
          <w:tcPr>
            <w:tcW w:w="3182" w:type="dxa"/>
            <w:shd w:val="clear" w:color="auto" w:fill="FFFFFF"/>
            <w:tcMar>
              <w:top w:w="90" w:type="dxa"/>
              <w:left w:w="110" w:type="dxa"/>
              <w:bottom w:w="90" w:type="dxa"/>
              <w:right w:w="110" w:type="dxa"/>
            </w:tcMar>
          </w:tcPr>
          <w:p w14:paraId="3911AA45" w14:textId="77777777" w:rsidR="00AD5A59" w:rsidRDefault="00AD5A59" w:rsidP="005B352D">
            <w:pPr>
              <w:spacing w:line="276" w:lineRule="auto"/>
            </w:pPr>
            <w:r>
              <w:rPr>
                <w:rFonts w:ascii="Calibri" w:eastAsia="Calibri" w:hAnsi="Calibri" w:cs="Calibri"/>
                <w:color w:val="222222"/>
                <w:sz w:val="20"/>
                <w:szCs w:val="20"/>
              </w:rPr>
              <w:t>Without discipline, engineer-to-order requirements tend to expand scope and push the timeline out.</w:t>
            </w:r>
          </w:p>
        </w:tc>
        <w:tc>
          <w:tcPr>
            <w:tcW w:w="4651" w:type="dxa"/>
            <w:shd w:val="clear" w:color="auto" w:fill="FFFFFF"/>
            <w:tcMar>
              <w:top w:w="90" w:type="dxa"/>
              <w:left w:w="110" w:type="dxa"/>
              <w:bottom w:w="90" w:type="dxa"/>
              <w:right w:w="110" w:type="dxa"/>
            </w:tcMar>
          </w:tcPr>
          <w:p w14:paraId="75BDFAC5" w14:textId="5502A3DA" w:rsidR="00AD5A59" w:rsidRDefault="00AD5A59" w:rsidP="005B352D">
            <w:pPr>
              <w:spacing w:line="276" w:lineRule="auto"/>
            </w:pPr>
            <w:r>
              <w:rPr>
                <w:rFonts w:ascii="Calibri" w:eastAsia="Calibri" w:hAnsi="Calibri" w:cs="Calibri"/>
                <w:color w:val="222222"/>
                <w:sz w:val="20"/>
                <w:szCs w:val="20"/>
              </w:rPr>
              <w:t xml:space="preserve">Change control board reviews every request against the three </w:t>
            </w:r>
            <w:r w:rsidR="000245AA">
              <w:rPr>
                <w:rFonts w:ascii="Calibri" w:eastAsia="Calibri" w:hAnsi="Calibri" w:cs="Calibri"/>
                <w:color w:val="222222"/>
                <w:sz w:val="20"/>
                <w:szCs w:val="20"/>
              </w:rPr>
              <w:t>objectives of the program</w:t>
            </w:r>
            <w:r>
              <w:rPr>
                <w:rFonts w:ascii="Calibri" w:eastAsia="Calibri" w:hAnsi="Calibri" w:cs="Calibri"/>
                <w:color w:val="222222"/>
                <w:sz w:val="20"/>
                <w:szCs w:val="20"/>
              </w:rPr>
              <w:t xml:space="preserve"> before it is approved.</w:t>
            </w:r>
          </w:p>
        </w:tc>
      </w:tr>
    </w:tbl>
    <w:p w14:paraId="29E03F07" w14:textId="77777777" w:rsidR="002F1B04" w:rsidRDefault="002F1B04" w:rsidP="005B352D">
      <w:pPr>
        <w:pStyle w:val="Heading2"/>
        <w:spacing w:before="200" w:after="100" w:line="276" w:lineRule="auto"/>
      </w:pPr>
      <w:r>
        <w:rPr>
          <w:rFonts w:ascii="Cambria" w:eastAsia="Cambria" w:hAnsi="Cambria" w:cs="Cambria"/>
          <w:b/>
          <w:bCs/>
          <w:color w:val="3F5A80"/>
          <w:sz w:val="23"/>
          <w:szCs w:val="23"/>
        </w:rPr>
        <w:t>Scope Control</w:t>
      </w:r>
    </w:p>
    <w:p w14:paraId="29519D46" w14:textId="2C36B463" w:rsidR="002F1B04" w:rsidRPr="00AD5A59" w:rsidRDefault="002F1B04" w:rsidP="005B352D">
      <w:pPr>
        <w:spacing w:line="276" w:lineRule="auto"/>
      </w:pPr>
      <w:r>
        <w:rPr>
          <w:rFonts w:ascii="Calibri" w:eastAsia="Calibri" w:hAnsi="Calibri" w:cs="Calibri"/>
          <w:color w:val="222222"/>
          <w:sz w:val="22"/>
          <w:szCs w:val="22"/>
        </w:rPr>
        <w:t>A change control board is established from Month 1. Every requested addition to scope, whether a customization, a new interface, or a process change, is logged and evaluated against the three program objectives above. If a request does not clearly serve margin visibility, sync elimination, or core consolidation, it is deferred to a post-go-live phase rather than added mid-build. This is the mechanism that keeps an engineer-to-order implementation, which naturally invites edge cases and one-off requirements, inside a twelve-month window.</w:t>
      </w:r>
      <w:r w:rsidR="00AD5A59">
        <w:rPr>
          <w:rFonts w:ascii="Calibri" w:eastAsia="Calibri" w:hAnsi="Calibri" w:cs="Calibri"/>
          <w:color w:val="222222"/>
          <w:sz w:val="22"/>
          <w:szCs w:val="22"/>
        </w:rPr>
        <w:br/>
      </w:r>
      <w:r>
        <w:rPr>
          <w:rFonts w:ascii="Cambria" w:eastAsia="Cambria" w:hAnsi="Cambria" w:cs="Cambria"/>
          <w:b/>
          <w:bCs/>
          <w:color w:val="1B2A4A"/>
          <w:sz w:val="27"/>
          <w:szCs w:val="27"/>
        </w:rPr>
        <w:t>2. Scope and Sequencing</w:t>
      </w:r>
      <w:r w:rsidR="00C06B2F">
        <w:rPr>
          <w:rFonts w:ascii="Cambria" w:eastAsia="Cambria" w:hAnsi="Cambria" w:cs="Cambria"/>
          <w:b/>
          <w:bCs/>
          <w:color w:val="1B2A4A"/>
          <w:sz w:val="27"/>
          <w:szCs w:val="27"/>
        </w:rPr>
        <w:t xml:space="preserve"> </w:t>
      </w:r>
      <w:r w:rsidR="00C06B2F">
        <w:rPr>
          <w:rFonts w:ascii="Cambria" w:eastAsia="Cambria" w:hAnsi="Cambria" w:cs="Cambria"/>
          <w:b/>
          <w:bCs/>
          <w:color w:val="3F5A80"/>
          <w:sz w:val="23"/>
          <w:szCs w:val="23"/>
        </w:rPr>
        <w:t>(D</w:t>
      </w:r>
      <w:r>
        <w:rPr>
          <w:rFonts w:ascii="Cambria" w:eastAsia="Cambria" w:hAnsi="Cambria" w:cs="Cambria"/>
          <w:b/>
          <w:bCs/>
          <w:color w:val="3F5A80"/>
          <w:sz w:val="23"/>
          <w:szCs w:val="23"/>
        </w:rPr>
        <w:t>ay-1 Scope</w:t>
      </w:r>
      <w:r w:rsidR="00C06B2F">
        <w:rPr>
          <w:rFonts w:ascii="Cambria" w:eastAsia="Cambria" w:hAnsi="Cambria" w:cs="Cambria"/>
          <w:b/>
          <w:bCs/>
          <w:color w:val="3F5A80"/>
          <w:sz w:val="23"/>
          <w:szCs w:val="23"/>
        </w:rPr>
        <w:t>)</w:t>
      </w:r>
    </w:p>
    <w:tbl>
      <w:tblPr>
        <w:tblStyle w:val="TableGrid"/>
        <w:tblW w:w="0" w:type="auto"/>
        <w:tblInd w:w="-95" w:type="dxa"/>
        <w:tblLook w:val="04A0" w:firstRow="1" w:lastRow="0" w:firstColumn="1" w:lastColumn="0" w:noHBand="0" w:noVBand="1"/>
      </w:tblPr>
      <w:tblGrid>
        <w:gridCol w:w="4963"/>
        <w:gridCol w:w="4868"/>
      </w:tblGrid>
      <w:tr w:rsidR="00AD5A59" w14:paraId="52E172A0" w14:textId="77777777" w:rsidTr="00443C7C">
        <w:trPr>
          <w:trHeight w:val="467"/>
        </w:trPr>
        <w:tc>
          <w:tcPr>
            <w:tcW w:w="4963" w:type="dxa"/>
            <w:shd w:val="clear" w:color="auto" w:fill="E97132" w:themeFill="accent2"/>
          </w:tcPr>
          <w:p w14:paraId="52C23A68" w14:textId="77777777" w:rsidR="00AD5A59" w:rsidRDefault="00AD5A59" w:rsidP="005B352D">
            <w:pPr>
              <w:spacing w:line="276" w:lineRule="auto"/>
              <w:rPr>
                <w:rFonts w:ascii="Calibri" w:eastAsia="Calibri" w:hAnsi="Calibri" w:cs="Calibri"/>
                <w:b/>
                <w:bCs/>
                <w:color w:val="FFFFFF"/>
                <w:sz w:val="20"/>
                <w:szCs w:val="20"/>
              </w:rPr>
            </w:pPr>
          </w:p>
          <w:p w14:paraId="607EC83E" w14:textId="606D0E16" w:rsidR="00AD5A59" w:rsidRDefault="00AD5A59" w:rsidP="005B352D">
            <w:pPr>
              <w:spacing w:line="276" w:lineRule="auto"/>
              <w:jc w:val="center"/>
            </w:pPr>
            <w:r>
              <w:rPr>
                <w:rFonts w:ascii="Calibri" w:eastAsia="Calibri" w:hAnsi="Calibri" w:cs="Calibri"/>
                <w:b/>
                <w:bCs/>
                <w:color w:val="FFFFFF"/>
                <w:sz w:val="20"/>
                <w:szCs w:val="20"/>
              </w:rPr>
              <w:t>Included at Go-Live</w:t>
            </w:r>
          </w:p>
        </w:tc>
        <w:tc>
          <w:tcPr>
            <w:tcW w:w="4868" w:type="dxa"/>
            <w:shd w:val="clear" w:color="auto" w:fill="E97132" w:themeFill="accent2"/>
          </w:tcPr>
          <w:p w14:paraId="21F3BACC" w14:textId="77777777" w:rsidR="00AD5A59" w:rsidRDefault="00AD5A59" w:rsidP="005B352D">
            <w:pPr>
              <w:spacing w:line="276" w:lineRule="auto"/>
              <w:jc w:val="center"/>
              <w:rPr>
                <w:rFonts w:ascii="Calibri" w:eastAsia="Calibri" w:hAnsi="Calibri" w:cs="Calibri"/>
                <w:b/>
                <w:bCs/>
                <w:color w:val="FFFFFF"/>
                <w:sz w:val="20"/>
                <w:szCs w:val="20"/>
              </w:rPr>
            </w:pPr>
          </w:p>
          <w:p w14:paraId="7AD4DAF9" w14:textId="6E8290A3" w:rsidR="00AD5A59" w:rsidRDefault="00AD5A59" w:rsidP="005B352D">
            <w:pPr>
              <w:spacing w:line="276" w:lineRule="auto"/>
              <w:jc w:val="center"/>
            </w:pPr>
            <w:r>
              <w:rPr>
                <w:rFonts w:ascii="Calibri" w:eastAsia="Calibri" w:hAnsi="Calibri" w:cs="Calibri"/>
                <w:b/>
                <w:bCs/>
                <w:color w:val="FFFFFF"/>
                <w:sz w:val="20"/>
                <w:szCs w:val="20"/>
              </w:rPr>
              <w:t>Deliberately Deferred</w:t>
            </w:r>
          </w:p>
        </w:tc>
      </w:tr>
      <w:tr w:rsidR="00AD5A59" w14:paraId="6C6F2F66" w14:textId="77777777" w:rsidTr="00443C7C">
        <w:trPr>
          <w:trHeight w:val="2402"/>
        </w:trPr>
        <w:tc>
          <w:tcPr>
            <w:tcW w:w="4963" w:type="dxa"/>
          </w:tcPr>
          <w:p w14:paraId="4ED9C038" w14:textId="77777777" w:rsidR="00AD5A59" w:rsidRPr="00C06B2F" w:rsidRDefault="00AD5A59" w:rsidP="005B352D">
            <w:pPr>
              <w:pStyle w:val="ListParagraph"/>
              <w:numPr>
                <w:ilvl w:val="0"/>
                <w:numId w:val="6"/>
              </w:numPr>
              <w:spacing w:after="70" w:line="276" w:lineRule="auto"/>
              <w:ind w:left="60" w:hanging="180"/>
            </w:pPr>
            <w:r w:rsidRPr="00182D6A">
              <w:rPr>
                <w:rFonts w:ascii="Calibri" w:eastAsia="Calibri" w:hAnsi="Calibri" w:cs="Calibri"/>
                <w:color w:val="222222"/>
                <w:sz w:val="19"/>
                <w:szCs w:val="19"/>
              </w:rPr>
              <w:lastRenderedPageBreak/>
              <w:t>Finance: general ledger, accounts payable and receivable, multi-entity consolidation, USD and CAD multi-currency</w:t>
            </w:r>
          </w:p>
          <w:p w14:paraId="12B010EB" w14:textId="0BF2091B" w:rsidR="00AD5A59" w:rsidRPr="00C06B2F" w:rsidRDefault="00AD5A59" w:rsidP="005B352D">
            <w:pPr>
              <w:pStyle w:val="ListParagraph"/>
              <w:numPr>
                <w:ilvl w:val="0"/>
                <w:numId w:val="6"/>
              </w:numPr>
              <w:spacing w:after="70" w:line="276" w:lineRule="auto"/>
              <w:ind w:left="60" w:hanging="180"/>
            </w:pPr>
            <w:r w:rsidRPr="00C06B2F">
              <w:rPr>
                <w:rFonts w:ascii="Calibri" w:eastAsia="Calibri" w:hAnsi="Calibri" w:cs="Calibri"/>
                <w:color w:val="222222"/>
                <w:sz w:val="19"/>
                <w:szCs w:val="19"/>
              </w:rPr>
              <w:t xml:space="preserve">Manufacturing: work orders, </w:t>
            </w:r>
            <w:r w:rsidR="000245AA" w:rsidRPr="00C06B2F">
              <w:rPr>
                <w:rFonts w:ascii="Calibri" w:eastAsia="Calibri" w:hAnsi="Calibri" w:cs="Calibri"/>
                <w:color w:val="222222"/>
                <w:sz w:val="19"/>
                <w:szCs w:val="19"/>
              </w:rPr>
              <w:t>routing</w:t>
            </w:r>
            <w:r w:rsidRPr="00C06B2F">
              <w:rPr>
                <w:rFonts w:ascii="Calibri" w:eastAsia="Calibri" w:hAnsi="Calibri" w:cs="Calibri"/>
                <w:color w:val="222222"/>
                <w:sz w:val="19"/>
                <w:szCs w:val="19"/>
              </w:rPr>
              <w:t>, capacity, and job costing at the individual custom order level</w:t>
            </w:r>
          </w:p>
          <w:p w14:paraId="0785C26B" w14:textId="77777777" w:rsidR="00AD5A59" w:rsidRPr="00C06B2F" w:rsidRDefault="00AD5A59" w:rsidP="005B352D">
            <w:pPr>
              <w:pStyle w:val="ListParagraph"/>
              <w:numPr>
                <w:ilvl w:val="0"/>
                <w:numId w:val="6"/>
              </w:numPr>
              <w:spacing w:after="70" w:line="276" w:lineRule="auto"/>
              <w:ind w:left="60" w:hanging="180"/>
            </w:pPr>
            <w:r w:rsidRPr="00C06B2F">
              <w:rPr>
                <w:rFonts w:ascii="Calibri" w:eastAsia="Calibri" w:hAnsi="Calibri" w:cs="Calibri"/>
                <w:color w:val="222222"/>
                <w:sz w:val="19"/>
                <w:szCs w:val="19"/>
              </w:rPr>
              <w:t>Engineering: native, real-time BOM and ECN management inside the ERP, replacing the nightly sync</w:t>
            </w:r>
          </w:p>
          <w:p w14:paraId="69252AFC" w14:textId="77777777" w:rsidR="00AD5A59" w:rsidRPr="00AD5A59" w:rsidRDefault="00AD5A59" w:rsidP="005B352D">
            <w:pPr>
              <w:pStyle w:val="ListParagraph"/>
              <w:numPr>
                <w:ilvl w:val="0"/>
                <w:numId w:val="6"/>
              </w:numPr>
              <w:spacing w:after="70" w:line="276" w:lineRule="auto"/>
              <w:ind w:left="60" w:hanging="180"/>
            </w:pPr>
            <w:r w:rsidRPr="00C06B2F">
              <w:rPr>
                <w:rFonts w:ascii="Calibri" w:eastAsia="Calibri" w:hAnsi="Calibri" w:cs="Calibri"/>
                <w:color w:val="222222"/>
                <w:sz w:val="19"/>
                <w:szCs w:val="19"/>
              </w:rPr>
              <w:t>Procurement: purchase orders tied to the live BOM revision, not a batch snapshot</w:t>
            </w:r>
            <w:r>
              <w:rPr>
                <w:rFonts w:ascii="Calibri" w:eastAsia="Calibri" w:hAnsi="Calibri" w:cs="Calibri"/>
                <w:color w:val="222222"/>
                <w:sz w:val="19"/>
                <w:szCs w:val="19"/>
              </w:rPr>
              <w:t xml:space="preserve"> </w:t>
            </w:r>
          </w:p>
          <w:p w14:paraId="2DF73AD2" w14:textId="74E0A4F4" w:rsidR="00AD5A59" w:rsidRDefault="00AD5A59" w:rsidP="005B352D">
            <w:pPr>
              <w:pStyle w:val="ListParagraph"/>
              <w:numPr>
                <w:ilvl w:val="0"/>
                <w:numId w:val="6"/>
              </w:numPr>
              <w:spacing w:after="70" w:line="276" w:lineRule="auto"/>
              <w:ind w:left="60" w:hanging="180"/>
            </w:pPr>
            <w:r w:rsidRPr="00AD5A59">
              <w:rPr>
                <w:rFonts w:ascii="Calibri" w:eastAsia="Calibri" w:hAnsi="Calibri" w:cs="Calibri"/>
                <w:color w:val="222222"/>
                <w:sz w:val="19"/>
                <w:szCs w:val="19"/>
              </w:rPr>
              <w:t>Core reporting: contribution margin by job, by location, and consolidated</w:t>
            </w:r>
          </w:p>
        </w:tc>
        <w:tc>
          <w:tcPr>
            <w:tcW w:w="4868" w:type="dxa"/>
          </w:tcPr>
          <w:p w14:paraId="6FBA0E51" w14:textId="77777777" w:rsidR="00AD5A59" w:rsidRDefault="00AD5A59" w:rsidP="005B352D">
            <w:pPr>
              <w:pStyle w:val="ListParagraph"/>
              <w:numPr>
                <w:ilvl w:val="0"/>
                <w:numId w:val="1"/>
              </w:numPr>
              <w:spacing w:after="70" w:line="276" w:lineRule="auto"/>
              <w:ind w:left="0" w:firstLine="0"/>
              <w:contextualSpacing w:val="0"/>
            </w:pPr>
            <w:r>
              <w:rPr>
                <w:rFonts w:ascii="Calibri" w:eastAsia="Calibri" w:hAnsi="Calibri" w:cs="Calibri"/>
                <w:color w:val="222222"/>
                <w:sz w:val="19"/>
                <w:szCs w:val="19"/>
              </w:rPr>
              <w:t>CRM replacement: current system stays, one-way interface feeds customer and opportunity data into the ERP only</w:t>
            </w:r>
          </w:p>
          <w:p w14:paraId="4FC42120" w14:textId="77777777" w:rsidR="00AD5A59" w:rsidRDefault="00AD5A59" w:rsidP="005B352D">
            <w:pPr>
              <w:pStyle w:val="ListParagraph"/>
              <w:numPr>
                <w:ilvl w:val="0"/>
                <w:numId w:val="1"/>
              </w:numPr>
              <w:spacing w:after="70" w:line="276" w:lineRule="auto"/>
              <w:ind w:left="170" w:hanging="170"/>
              <w:contextualSpacing w:val="0"/>
            </w:pPr>
            <w:r>
              <w:rPr>
                <w:rFonts w:ascii="Calibri" w:eastAsia="Calibri" w:hAnsi="Calibri" w:cs="Calibri"/>
                <w:color w:val="222222"/>
                <w:sz w:val="19"/>
                <w:szCs w:val="19"/>
              </w:rPr>
              <w:t>Full HRIS and payroll integration: only the labor-cost feed needed for job costing is interfaced</w:t>
            </w:r>
          </w:p>
          <w:p w14:paraId="3237B173" w14:textId="77777777" w:rsidR="00AD5A59" w:rsidRPr="00C06B2F" w:rsidRDefault="00AD5A59" w:rsidP="005B352D">
            <w:pPr>
              <w:pStyle w:val="ListParagraph"/>
              <w:numPr>
                <w:ilvl w:val="0"/>
                <w:numId w:val="1"/>
              </w:numPr>
              <w:spacing w:after="70" w:line="276" w:lineRule="auto"/>
              <w:ind w:left="170" w:hanging="170"/>
              <w:contextualSpacing w:val="0"/>
            </w:pPr>
            <w:r>
              <w:rPr>
                <w:rFonts w:ascii="Calibri" w:eastAsia="Calibri" w:hAnsi="Calibri" w:cs="Calibri"/>
                <w:color w:val="222222"/>
                <w:sz w:val="19"/>
                <w:szCs w:val="19"/>
              </w:rPr>
              <w:t>A dedicated BI or analytics platform: native ERP reporting is used until the new data model is proven</w:t>
            </w:r>
          </w:p>
          <w:p w14:paraId="009843D7" w14:textId="1D9F670A" w:rsidR="00AD5A59" w:rsidRDefault="00AD5A59" w:rsidP="005B352D">
            <w:pPr>
              <w:spacing w:line="276" w:lineRule="auto"/>
            </w:pPr>
            <w:r w:rsidRPr="00C06B2F">
              <w:rPr>
                <w:rFonts w:ascii="Calibri" w:eastAsia="Calibri" w:hAnsi="Calibri" w:cs="Calibri"/>
                <w:color w:val="222222"/>
                <w:sz w:val="19"/>
                <w:szCs w:val="19"/>
              </w:rPr>
              <w:t>Formalizing every existing spreadsheet workaround: only the ones tied to margin tracking are migrated</w:t>
            </w:r>
          </w:p>
        </w:tc>
      </w:tr>
    </w:tbl>
    <w:p w14:paraId="11DE030A" w14:textId="77777777" w:rsidR="002F1B04" w:rsidRDefault="002F1B04" w:rsidP="005B352D">
      <w:pPr>
        <w:pStyle w:val="Heading2"/>
        <w:spacing w:before="200" w:after="100" w:line="276" w:lineRule="auto"/>
      </w:pPr>
      <w:r>
        <w:rPr>
          <w:rFonts w:ascii="Cambria" w:eastAsia="Cambria" w:hAnsi="Cambria" w:cs="Cambria"/>
          <w:b/>
          <w:bCs/>
          <w:color w:val="3F5A80"/>
          <w:sz w:val="23"/>
          <w:szCs w:val="23"/>
        </w:rPr>
        <w:t>Migration Exclusions and Customization Discipline</w:t>
      </w:r>
    </w:p>
    <w:p w14:paraId="0D2751E8" w14:textId="2DAF2930" w:rsidR="002F1B04" w:rsidRDefault="002F1B04" w:rsidP="005B352D">
      <w:pPr>
        <w:spacing w:line="276" w:lineRule="auto"/>
      </w:pPr>
      <w:r>
        <w:rPr>
          <w:rFonts w:ascii="Calibri" w:eastAsia="Calibri" w:hAnsi="Calibri" w:cs="Calibri"/>
          <w:color w:val="222222"/>
          <w:sz w:val="22"/>
          <w:szCs w:val="22"/>
        </w:rPr>
        <w:t xml:space="preserve">Only master data, current BOMs, and open transactions move into the live ERP at go-live. Closed historical </w:t>
      </w:r>
      <w:r w:rsidR="000245AA">
        <w:rPr>
          <w:rFonts w:ascii="Calibri" w:eastAsia="Calibri" w:hAnsi="Calibri" w:cs="Calibri"/>
          <w:color w:val="222222"/>
          <w:sz w:val="22"/>
          <w:szCs w:val="22"/>
        </w:rPr>
        <w:t>details</w:t>
      </w:r>
      <w:r>
        <w:rPr>
          <w:rFonts w:ascii="Calibri" w:eastAsia="Calibri" w:hAnsi="Calibri" w:cs="Calibri"/>
          <w:color w:val="222222"/>
          <w:sz w:val="22"/>
          <w:szCs w:val="22"/>
        </w:rPr>
        <w:t xml:space="preserve">, such as years of completed job records or old CRM activity logs, </w:t>
      </w:r>
      <w:r w:rsidR="000245AA">
        <w:rPr>
          <w:rFonts w:ascii="Calibri" w:eastAsia="Calibri" w:hAnsi="Calibri" w:cs="Calibri"/>
          <w:color w:val="222222"/>
          <w:sz w:val="22"/>
          <w:szCs w:val="22"/>
        </w:rPr>
        <w:t>are</w:t>
      </w:r>
      <w:r>
        <w:rPr>
          <w:rFonts w:ascii="Calibri" w:eastAsia="Calibri" w:hAnsi="Calibri" w:cs="Calibri"/>
          <w:color w:val="222222"/>
          <w:sz w:val="22"/>
          <w:szCs w:val="22"/>
        </w:rPr>
        <w:t xml:space="preserve"> not migrated into the new transactional database. The reasoning and the alternative access path for that data are covered in Section 3.</w:t>
      </w:r>
    </w:p>
    <w:p w14:paraId="387DD865" w14:textId="2E414E55" w:rsidR="002F1B04" w:rsidRDefault="002F1B04" w:rsidP="005B352D">
      <w:pPr>
        <w:spacing w:line="276" w:lineRule="auto"/>
      </w:pPr>
      <w:r>
        <w:rPr>
          <w:rFonts w:ascii="Calibri" w:eastAsia="Calibri" w:hAnsi="Calibri" w:cs="Calibri"/>
          <w:color w:val="222222"/>
          <w:sz w:val="22"/>
          <w:szCs w:val="22"/>
        </w:rPr>
        <w:t xml:space="preserve">On customization: the program configures the platform's native engineer-to-order and BOM tools wherever they can meet a </w:t>
      </w:r>
      <w:r w:rsidR="000245AA">
        <w:rPr>
          <w:rFonts w:ascii="Calibri" w:eastAsia="Calibri" w:hAnsi="Calibri" w:cs="Calibri"/>
          <w:color w:val="222222"/>
          <w:sz w:val="22"/>
          <w:szCs w:val="22"/>
        </w:rPr>
        <w:t>requirement and</w:t>
      </w:r>
      <w:r>
        <w:rPr>
          <w:rFonts w:ascii="Calibri" w:eastAsia="Calibri" w:hAnsi="Calibri" w:cs="Calibri"/>
          <w:color w:val="222222"/>
          <w:sz w:val="22"/>
          <w:szCs w:val="22"/>
        </w:rPr>
        <w:t xml:space="preserve"> treats custom code as a last resort. Any customization request must show which of the three program objectives it serves before it is approved. This keeps the system upgradeable and keeps the twelve-month timeline realistic.</w:t>
      </w:r>
    </w:p>
    <w:p w14:paraId="4EE36D7D" w14:textId="77777777" w:rsidR="002F1B04" w:rsidRDefault="002F1B04" w:rsidP="005B352D">
      <w:pPr>
        <w:pStyle w:val="Heading1"/>
        <w:spacing w:before="320" w:after="140" w:line="276" w:lineRule="auto"/>
      </w:pPr>
      <w:r>
        <w:rPr>
          <w:rFonts w:ascii="Cambria" w:eastAsia="Cambria" w:hAnsi="Cambria" w:cs="Cambria"/>
          <w:b/>
          <w:bCs/>
          <w:color w:val="1B2A4A"/>
          <w:sz w:val="27"/>
          <w:szCs w:val="27"/>
        </w:rPr>
        <w:t>3. Data and Reporting Continuity</w:t>
      </w:r>
    </w:p>
    <w:p w14:paraId="05EC233D" w14:textId="77777777" w:rsidR="002F1B04" w:rsidRDefault="002F1B04" w:rsidP="005B352D">
      <w:pPr>
        <w:pStyle w:val="Heading2"/>
        <w:spacing w:before="200" w:after="100" w:line="276" w:lineRule="auto"/>
      </w:pPr>
      <w:r>
        <w:rPr>
          <w:rFonts w:ascii="Cambria" w:eastAsia="Cambria" w:hAnsi="Cambria" w:cs="Cambria"/>
          <w:b/>
          <w:bCs/>
          <w:color w:val="3F5A80"/>
          <w:sz w:val="23"/>
          <w:szCs w:val="23"/>
        </w:rPr>
        <w:t>Historical Data Migration</w:t>
      </w:r>
    </w:p>
    <w:p w14:paraId="4F1091EF" w14:textId="793264E9" w:rsidR="002F1B04" w:rsidRDefault="002F1B04" w:rsidP="005B352D">
      <w:pPr>
        <w:spacing w:line="276" w:lineRule="auto"/>
      </w:pPr>
      <w:r>
        <w:rPr>
          <w:rFonts w:ascii="Calibri" w:eastAsia="Calibri" w:hAnsi="Calibri" w:cs="Calibri"/>
          <w:color w:val="222222"/>
          <w:sz w:val="22"/>
          <w:szCs w:val="22"/>
        </w:rPr>
        <w:t xml:space="preserve">Data is split into two tiers. Tier 1, migrated live into the new ERP, covers master data such as customers, vendors, items, and the chart of accounts, along with open jobs, current BOM revisions, and open purchase orders, everything needed to run the business from day one. Tier 2 is archived rather than migrated: closed jobs, historical general ledger detail, and legacy engineering history beyond a defined cutoff, recommended at two full fiscal years plus the current year. Tier 2 data </w:t>
      </w:r>
      <w:r w:rsidR="000245AA">
        <w:rPr>
          <w:rFonts w:ascii="Calibri" w:eastAsia="Calibri" w:hAnsi="Calibri" w:cs="Calibri"/>
          <w:color w:val="222222"/>
          <w:sz w:val="22"/>
          <w:szCs w:val="22"/>
        </w:rPr>
        <w:t>remain</w:t>
      </w:r>
      <w:r>
        <w:rPr>
          <w:rFonts w:ascii="Calibri" w:eastAsia="Calibri" w:hAnsi="Calibri" w:cs="Calibri"/>
          <w:color w:val="222222"/>
          <w:sz w:val="22"/>
          <w:szCs w:val="22"/>
        </w:rPr>
        <w:t xml:space="preserve"> available through a read-only reporting archive rather than being loaded into the new system of record. This avoids carrying years of inconsistent legacy data into a brand-new database while still preserving access for audits, warranty history, and trend analysis.</w:t>
      </w:r>
    </w:p>
    <w:p w14:paraId="49BB4F32" w14:textId="77777777" w:rsidR="002F1B04" w:rsidRDefault="002F1B04" w:rsidP="005B352D">
      <w:pPr>
        <w:pStyle w:val="Heading2"/>
        <w:spacing w:before="200" w:after="100" w:line="276" w:lineRule="auto"/>
      </w:pPr>
      <w:r>
        <w:rPr>
          <w:rFonts w:ascii="Cambria" w:eastAsia="Cambria" w:hAnsi="Cambria" w:cs="Cambria"/>
          <w:b/>
          <w:bCs/>
          <w:color w:val="3F5A80"/>
          <w:sz w:val="23"/>
          <w:szCs w:val="23"/>
        </w:rPr>
        <w:t>Reporting During Transition</w:t>
      </w:r>
    </w:p>
    <w:p w14:paraId="31DA150B" w14:textId="0EA4F461" w:rsidR="002F1B04" w:rsidRDefault="002F1B04" w:rsidP="005B352D">
      <w:pPr>
        <w:spacing w:line="276" w:lineRule="auto"/>
      </w:pPr>
      <w:r>
        <w:rPr>
          <w:rFonts w:ascii="Calibri" w:eastAsia="Calibri" w:hAnsi="Calibri" w:cs="Calibri"/>
          <w:color w:val="222222"/>
          <w:sz w:val="22"/>
          <w:szCs w:val="22"/>
        </w:rPr>
        <w:t xml:space="preserve">Legacy ERP reporting stays active in parallel through the pilot phase, so leadership has a dependable KPI source while the new system's data is being validated. Once the pilot proves out contribution margin and job costing accuracy at that site, the new system becomes the primary reporting source for that location, and legacy reporting is retired only at full go-live </w:t>
      </w:r>
      <w:r w:rsidR="000245AA">
        <w:rPr>
          <w:rFonts w:ascii="Calibri" w:eastAsia="Calibri" w:hAnsi="Calibri" w:cs="Calibri"/>
          <w:color w:val="222222"/>
          <w:sz w:val="22"/>
          <w:szCs w:val="22"/>
        </w:rPr>
        <w:t>on</w:t>
      </w:r>
      <w:r>
        <w:rPr>
          <w:rFonts w:ascii="Calibri" w:eastAsia="Calibri" w:hAnsi="Calibri" w:cs="Calibri"/>
          <w:color w:val="222222"/>
          <w:sz w:val="22"/>
          <w:szCs w:val="22"/>
        </w:rPr>
        <w:t xml:space="preserve"> Month 12, not before.</w:t>
      </w:r>
    </w:p>
    <w:p w14:paraId="166625B5" w14:textId="77777777" w:rsidR="002F1B04" w:rsidRDefault="002F1B04" w:rsidP="005B352D">
      <w:pPr>
        <w:pStyle w:val="Heading2"/>
        <w:spacing w:before="200" w:after="100" w:line="276" w:lineRule="auto"/>
      </w:pPr>
      <w:r>
        <w:rPr>
          <w:rFonts w:ascii="Cambria" w:eastAsia="Cambria" w:hAnsi="Cambria" w:cs="Cambria"/>
          <w:b/>
          <w:bCs/>
          <w:color w:val="3F5A80"/>
          <w:sz w:val="23"/>
          <w:szCs w:val="23"/>
        </w:rPr>
        <w:t>Month-End Close Continuity</w:t>
      </w:r>
    </w:p>
    <w:p w14:paraId="67C15B01" w14:textId="77777777" w:rsidR="002F1B04" w:rsidRDefault="002F1B04" w:rsidP="005B352D">
      <w:pPr>
        <w:spacing w:line="276" w:lineRule="auto"/>
      </w:pPr>
      <w:r>
        <w:rPr>
          <w:rFonts w:ascii="Calibri" w:eastAsia="Calibri" w:hAnsi="Calibri" w:cs="Calibri"/>
          <w:color w:val="222222"/>
          <w:sz w:val="22"/>
          <w:szCs w:val="22"/>
        </w:rPr>
        <w:t>At least one full parallel month-end close is run at the pilot location before that site's ERP data becomes the system of record, confirming that the new chart of accounts, consolidation, and intercompany eliminations tie out to the legacy close. For each subsequent wave, non-essential system changes are frozen during the close week immediately before and after go-live, and each site's controller walks through the new close process with finance in advance, so no site runs its first close on the new system without a rehearsal.</w:t>
      </w:r>
    </w:p>
    <w:p w14:paraId="7FCD35C9" w14:textId="77777777" w:rsidR="002F1B04" w:rsidRDefault="002F1B04" w:rsidP="005B352D">
      <w:pPr>
        <w:pStyle w:val="Heading1"/>
        <w:spacing w:before="320" w:after="140" w:line="276" w:lineRule="auto"/>
      </w:pPr>
      <w:r>
        <w:rPr>
          <w:rFonts w:ascii="Cambria" w:eastAsia="Cambria" w:hAnsi="Cambria" w:cs="Cambria"/>
          <w:b/>
          <w:bCs/>
          <w:color w:val="1B2A4A"/>
          <w:sz w:val="27"/>
          <w:szCs w:val="27"/>
        </w:rPr>
        <w:lastRenderedPageBreak/>
        <w:t>4. Why This Holds Up in Practice</w:t>
      </w:r>
    </w:p>
    <w:p w14:paraId="7E956CF5" w14:textId="77777777" w:rsidR="002F1B04" w:rsidRDefault="002F1B04" w:rsidP="005B352D">
      <w:pPr>
        <w:pStyle w:val="Heading2"/>
        <w:spacing w:before="200" w:after="100" w:line="276" w:lineRule="auto"/>
      </w:pPr>
      <w:r>
        <w:rPr>
          <w:rFonts w:ascii="Cambria" w:eastAsia="Cambria" w:hAnsi="Cambria" w:cs="Cambria"/>
          <w:b/>
          <w:bCs/>
          <w:color w:val="3F5A80"/>
          <w:sz w:val="23"/>
          <w:szCs w:val="23"/>
        </w:rPr>
        <w:t>Grounded in Real ERP Outcomes, Not Just Theory</w:t>
      </w:r>
    </w:p>
    <w:p w14:paraId="4581E678" w14:textId="523DC26B" w:rsidR="002F1B04" w:rsidRDefault="002F1B04" w:rsidP="005B352D">
      <w:pPr>
        <w:spacing w:line="276" w:lineRule="auto"/>
      </w:pPr>
      <w:r>
        <w:rPr>
          <w:rFonts w:ascii="Calibri" w:eastAsia="Calibri" w:hAnsi="Calibri" w:cs="Calibri"/>
          <w:color w:val="222222"/>
          <w:sz w:val="22"/>
          <w:szCs w:val="22"/>
        </w:rPr>
        <w:t xml:space="preserve">The </w:t>
      </w:r>
      <w:r w:rsidR="000245AA">
        <w:rPr>
          <w:rFonts w:ascii="Calibri" w:eastAsia="Calibri" w:hAnsi="Calibri" w:cs="Calibri"/>
          <w:color w:val="222222"/>
          <w:sz w:val="22"/>
          <w:szCs w:val="22"/>
        </w:rPr>
        <w:t>pilot first</w:t>
      </w:r>
      <w:r>
        <w:rPr>
          <w:rFonts w:ascii="Calibri" w:eastAsia="Calibri" w:hAnsi="Calibri" w:cs="Calibri"/>
          <w:color w:val="222222"/>
          <w:sz w:val="22"/>
          <w:szCs w:val="22"/>
        </w:rPr>
        <w:t>, parallel-run structure in this memo is not a theoretical preference. It is a direct response to how ERP cutovers actually fail in practice. Hershey's 1999 SAP implementation is a widely taught case precisely because the company compressed testing and skipped a genuine parallel run to hit a deadline, and the company was unable to process and ship enough product during its peak Halloween and Christmas season as a result. Revlon's 2018 ERP go-live is another widely reported example: production and shipping disruptions followed a cutover that outpaced the organization's ability to validate data and processes before relying on the new system. Both cases follow the same pattern: schedule pressure overriding validation. The phased structure in Section 1, and the requirement for two full parallel closes in Section 3, exist specifically to prevent AMG from repeating that pattern.</w:t>
      </w:r>
    </w:p>
    <w:p w14:paraId="23735FFD" w14:textId="77777777" w:rsidR="002F1B04" w:rsidRDefault="002F1B04" w:rsidP="005B352D">
      <w:pPr>
        <w:pStyle w:val="Heading2"/>
        <w:spacing w:before="200" w:after="100" w:line="276" w:lineRule="auto"/>
      </w:pPr>
      <w:r>
        <w:rPr>
          <w:rFonts w:ascii="Cambria" w:eastAsia="Cambria" w:hAnsi="Cambria" w:cs="Cambria"/>
          <w:b/>
          <w:bCs/>
          <w:color w:val="3F5A80"/>
          <w:sz w:val="23"/>
          <w:szCs w:val="23"/>
        </w:rPr>
        <w:t>A Concrete Technical Path for Data Continuity</w:t>
      </w:r>
    </w:p>
    <w:p w14:paraId="1C3630F3" w14:textId="77777777" w:rsidR="002F1B04" w:rsidRDefault="002F1B04" w:rsidP="005B352D">
      <w:pPr>
        <w:spacing w:line="276" w:lineRule="auto"/>
        <w:rPr>
          <w:rFonts w:ascii="Calibri" w:eastAsia="Calibri" w:hAnsi="Calibri" w:cs="Calibri"/>
          <w:color w:val="222222"/>
          <w:sz w:val="22"/>
          <w:szCs w:val="22"/>
        </w:rPr>
      </w:pPr>
      <w:r>
        <w:rPr>
          <w:rFonts w:ascii="Calibri" w:eastAsia="Calibri" w:hAnsi="Calibri" w:cs="Calibri"/>
          <w:color w:val="222222"/>
          <w:sz w:val="22"/>
          <w:szCs w:val="22"/>
        </w:rPr>
        <w:t>Section 3 commits to a two-tier data model and uninterrupted reporting during transition. From a cloud architecture standpoint, that commitment is buildable with a small, well-understood set of managed services rather than a custom-built platform, which keeps cost and risk down.</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4"/>
        <w:gridCol w:w="2394"/>
        <w:gridCol w:w="4657"/>
      </w:tblGrid>
      <w:tr w:rsidR="000245AA" w14:paraId="5E7CE86D" w14:textId="77777777" w:rsidTr="00D21CB5">
        <w:tblPrEx>
          <w:tblCellMar>
            <w:top w:w="0" w:type="dxa"/>
            <w:bottom w:w="0" w:type="dxa"/>
          </w:tblCellMar>
        </w:tblPrEx>
        <w:trPr>
          <w:trHeight w:val="78"/>
          <w:tblHeader/>
        </w:trPr>
        <w:tc>
          <w:tcPr>
            <w:tcW w:w="2394" w:type="dxa"/>
            <w:shd w:val="clear" w:color="auto" w:fill="E97132" w:themeFill="accent2"/>
            <w:tcMar>
              <w:top w:w="90" w:type="dxa"/>
              <w:left w:w="110" w:type="dxa"/>
              <w:bottom w:w="90" w:type="dxa"/>
              <w:right w:w="110" w:type="dxa"/>
            </w:tcMar>
          </w:tcPr>
          <w:p w14:paraId="58CA9E16" w14:textId="77777777" w:rsidR="000245AA" w:rsidRDefault="000245AA" w:rsidP="005B352D">
            <w:pPr>
              <w:spacing w:line="276" w:lineRule="auto"/>
            </w:pPr>
            <w:r>
              <w:rPr>
                <w:rFonts w:ascii="Calibri" w:eastAsia="Calibri" w:hAnsi="Calibri" w:cs="Calibri"/>
                <w:b/>
                <w:bCs/>
                <w:color w:val="FFFFFF"/>
                <w:sz w:val="20"/>
                <w:szCs w:val="20"/>
              </w:rPr>
              <w:t>Continuity Requirement</w:t>
            </w:r>
          </w:p>
        </w:tc>
        <w:tc>
          <w:tcPr>
            <w:tcW w:w="2394" w:type="dxa"/>
            <w:shd w:val="clear" w:color="auto" w:fill="E97132" w:themeFill="accent2"/>
            <w:tcMar>
              <w:top w:w="90" w:type="dxa"/>
              <w:left w:w="110" w:type="dxa"/>
              <w:bottom w:w="90" w:type="dxa"/>
              <w:right w:w="110" w:type="dxa"/>
            </w:tcMar>
          </w:tcPr>
          <w:p w14:paraId="701F9ABD" w14:textId="77777777" w:rsidR="000245AA" w:rsidRDefault="000245AA" w:rsidP="005B352D">
            <w:pPr>
              <w:spacing w:line="276" w:lineRule="auto"/>
            </w:pPr>
            <w:r>
              <w:rPr>
                <w:rFonts w:ascii="Calibri" w:eastAsia="Calibri" w:hAnsi="Calibri" w:cs="Calibri"/>
                <w:b/>
                <w:bCs/>
                <w:color w:val="FFFFFF"/>
                <w:sz w:val="20"/>
                <w:szCs w:val="20"/>
              </w:rPr>
              <w:t>Managed Service</w:t>
            </w:r>
          </w:p>
        </w:tc>
        <w:tc>
          <w:tcPr>
            <w:tcW w:w="4657" w:type="dxa"/>
            <w:shd w:val="clear" w:color="auto" w:fill="E97132" w:themeFill="accent2"/>
            <w:tcMar>
              <w:top w:w="90" w:type="dxa"/>
              <w:left w:w="110" w:type="dxa"/>
              <w:bottom w:w="90" w:type="dxa"/>
              <w:right w:w="110" w:type="dxa"/>
            </w:tcMar>
          </w:tcPr>
          <w:p w14:paraId="07804252" w14:textId="77777777" w:rsidR="000245AA" w:rsidRDefault="000245AA" w:rsidP="005B352D">
            <w:pPr>
              <w:spacing w:line="276" w:lineRule="auto"/>
            </w:pPr>
            <w:r>
              <w:rPr>
                <w:rFonts w:ascii="Calibri" w:eastAsia="Calibri" w:hAnsi="Calibri" w:cs="Calibri"/>
                <w:b/>
                <w:bCs/>
                <w:color w:val="FFFFFF"/>
                <w:sz w:val="20"/>
                <w:szCs w:val="20"/>
              </w:rPr>
              <w:t>Why It Fits</w:t>
            </w:r>
          </w:p>
        </w:tc>
      </w:tr>
      <w:tr w:rsidR="000245AA" w14:paraId="55F2D606" w14:textId="77777777" w:rsidTr="00D21CB5">
        <w:tblPrEx>
          <w:tblCellMar>
            <w:top w:w="0" w:type="dxa"/>
            <w:bottom w:w="0" w:type="dxa"/>
          </w:tblCellMar>
        </w:tblPrEx>
        <w:trPr>
          <w:trHeight w:val="238"/>
        </w:trPr>
        <w:tc>
          <w:tcPr>
            <w:tcW w:w="2394" w:type="dxa"/>
            <w:shd w:val="clear" w:color="auto" w:fill="F2F4F7"/>
            <w:tcMar>
              <w:top w:w="90" w:type="dxa"/>
              <w:left w:w="110" w:type="dxa"/>
              <w:bottom w:w="90" w:type="dxa"/>
              <w:right w:w="110" w:type="dxa"/>
            </w:tcMar>
          </w:tcPr>
          <w:p w14:paraId="78ED96FA" w14:textId="77777777" w:rsidR="000245AA" w:rsidRDefault="000245AA" w:rsidP="005B352D">
            <w:pPr>
              <w:spacing w:line="276" w:lineRule="auto"/>
            </w:pPr>
            <w:r>
              <w:rPr>
                <w:rFonts w:ascii="Calibri" w:eastAsia="Calibri" w:hAnsi="Calibri" w:cs="Calibri"/>
                <w:color w:val="222222"/>
                <w:sz w:val="20"/>
                <w:szCs w:val="20"/>
              </w:rPr>
              <w:t>Tier 1 live migration with minimal downtime</w:t>
            </w:r>
          </w:p>
        </w:tc>
        <w:tc>
          <w:tcPr>
            <w:tcW w:w="2394" w:type="dxa"/>
            <w:shd w:val="clear" w:color="auto" w:fill="FFFFFF"/>
            <w:tcMar>
              <w:top w:w="90" w:type="dxa"/>
              <w:left w:w="110" w:type="dxa"/>
              <w:bottom w:w="90" w:type="dxa"/>
              <w:right w:w="110" w:type="dxa"/>
            </w:tcMar>
          </w:tcPr>
          <w:p w14:paraId="4DC5FEEA" w14:textId="77777777" w:rsidR="000245AA" w:rsidRDefault="000245AA" w:rsidP="005B352D">
            <w:pPr>
              <w:spacing w:line="276" w:lineRule="auto"/>
            </w:pPr>
            <w:r>
              <w:rPr>
                <w:rFonts w:ascii="Calibri" w:eastAsia="Calibri" w:hAnsi="Calibri" w:cs="Calibri"/>
                <w:color w:val="222222"/>
                <w:sz w:val="20"/>
                <w:szCs w:val="20"/>
              </w:rPr>
              <w:t>A managed database migration service with change data capture</w:t>
            </w:r>
          </w:p>
        </w:tc>
        <w:tc>
          <w:tcPr>
            <w:tcW w:w="4657" w:type="dxa"/>
            <w:shd w:val="clear" w:color="auto" w:fill="FFFFFF"/>
            <w:tcMar>
              <w:top w:w="90" w:type="dxa"/>
              <w:left w:w="110" w:type="dxa"/>
              <w:bottom w:w="90" w:type="dxa"/>
              <w:right w:w="110" w:type="dxa"/>
            </w:tcMar>
          </w:tcPr>
          <w:p w14:paraId="3FD127DB" w14:textId="77777777" w:rsidR="000245AA" w:rsidRDefault="000245AA" w:rsidP="005B352D">
            <w:pPr>
              <w:spacing w:line="276" w:lineRule="auto"/>
            </w:pPr>
            <w:r>
              <w:rPr>
                <w:rFonts w:ascii="Calibri" w:eastAsia="Calibri" w:hAnsi="Calibri" w:cs="Calibri"/>
                <w:color w:val="222222"/>
                <w:sz w:val="20"/>
                <w:szCs w:val="20"/>
              </w:rPr>
              <w:t>Replicates the legacy database continuously so the cutover moves a small delta, not a weekend-long full load, and supports the parallel-run comparison.</w:t>
            </w:r>
          </w:p>
        </w:tc>
      </w:tr>
      <w:tr w:rsidR="000245AA" w14:paraId="6E742D20" w14:textId="77777777" w:rsidTr="00D21CB5">
        <w:tblPrEx>
          <w:tblCellMar>
            <w:top w:w="0" w:type="dxa"/>
            <w:bottom w:w="0" w:type="dxa"/>
          </w:tblCellMar>
        </w:tblPrEx>
        <w:trPr>
          <w:trHeight w:val="241"/>
        </w:trPr>
        <w:tc>
          <w:tcPr>
            <w:tcW w:w="2394" w:type="dxa"/>
            <w:shd w:val="clear" w:color="auto" w:fill="F2F4F7"/>
            <w:tcMar>
              <w:top w:w="90" w:type="dxa"/>
              <w:left w:w="110" w:type="dxa"/>
              <w:bottom w:w="90" w:type="dxa"/>
              <w:right w:w="110" w:type="dxa"/>
            </w:tcMar>
          </w:tcPr>
          <w:p w14:paraId="6009795F" w14:textId="77777777" w:rsidR="000245AA" w:rsidRDefault="000245AA" w:rsidP="005B352D">
            <w:pPr>
              <w:spacing w:line="276" w:lineRule="auto"/>
            </w:pPr>
            <w:r>
              <w:rPr>
                <w:rFonts w:ascii="Calibri" w:eastAsia="Calibri" w:hAnsi="Calibri" w:cs="Calibri"/>
                <w:color w:val="222222"/>
                <w:sz w:val="20"/>
                <w:szCs w:val="20"/>
              </w:rPr>
              <w:t>Tier 2 read-only historical archive</w:t>
            </w:r>
          </w:p>
        </w:tc>
        <w:tc>
          <w:tcPr>
            <w:tcW w:w="2394" w:type="dxa"/>
            <w:shd w:val="clear" w:color="auto" w:fill="FFFFFF"/>
            <w:tcMar>
              <w:top w:w="90" w:type="dxa"/>
              <w:left w:w="110" w:type="dxa"/>
              <w:bottom w:w="90" w:type="dxa"/>
              <w:right w:w="110" w:type="dxa"/>
            </w:tcMar>
          </w:tcPr>
          <w:p w14:paraId="66821F81" w14:textId="77777777" w:rsidR="000245AA" w:rsidRDefault="000245AA" w:rsidP="005B352D">
            <w:pPr>
              <w:spacing w:line="276" w:lineRule="auto"/>
            </w:pPr>
            <w:r>
              <w:rPr>
                <w:rFonts w:ascii="Calibri" w:eastAsia="Calibri" w:hAnsi="Calibri" w:cs="Calibri"/>
                <w:color w:val="222222"/>
                <w:sz w:val="20"/>
                <w:szCs w:val="20"/>
              </w:rPr>
              <w:t>Object storage paired with a serverless query engine</w:t>
            </w:r>
          </w:p>
        </w:tc>
        <w:tc>
          <w:tcPr>
            <w:tcW w:w="4657" w:type="dxa"/>
            <w:shd w:val="clear" w:color="auto" w:fill="FFFFFF"/>
            <w:tcMar>
              <w:top w:w="90" w:type="dxa"/>
              <w:left w:w="110" w:type="dxa"/>
              <w:bottom w:w="90" w:type="dxa"/>
              <w:right w:w="110" w:type="dxa"/>
            </w:tcMar>
          </w:tcPr>
          <w:p w14:paraId="28FF8A95" w14:textId="77777777" w:rsidR="000245AA" w:rsidRDefault="000245AA" w:rsidP="005B352D">
            <w:pPr>
              <w:spacing w:line="276" w:lineRule="auto"/>
            </w:pPr>
            <w:r>
              <w:rPr>
                <w:rFonts w:ascii="Calibri" w:eastAsia="Calibri" w:hAnsi="Calibri" w:cs="Calibri"/>
                <w:color w:val="222222"/>
                <w:sz w:val="20"/>
                <w:szCs w:val="20"/>
              </w:rPr>
              <w:t>Closed jobs and historical detail land in cheap, durable storage and stay queryable for audits and trend analysis without ever touching the live transactional database.</w:t>
            </w:r>
          </w:p>
        </w:tc>
      </w:tr>
      <w:tr w:rsidR="000245AA" w14:paraId="38987758" w14:textId="77777777" w:rsidTr="00D21CB5">
        <w:tblPrEx>
          <w:tblCellMar>
            <w:top w:w="0" w:type="dxa"/>
            <w:bottom w:w="0" w:type="dxa"/>
          </w:tblCellMar>
        </w:tblPrEx>
        <w:trPr>
          <w:trHeight w:val="238"/>
        </w:trPr>
        <w:tc>
          <w:tcPr>
            <w:tcW w:w="2394" w:type="dxa"/>
            <w:shd w:val="clear" w:color="auto" w:fill="F2F4F7"/>
            <w:tcMar>
              <w:top w:w="90" w:type="dxa"/>
              <w:left w:w="110" w:type="dxa"/>
              <w:bottom w:w="90" w:type="dxa"/>
              <w:right w:w="110" w:type="dxa"/>
            </w:tcMar>
          </w:tcPr>
          <w:p w14:paraId="79F40AE6" w14:textId="77777777" w:rsidR="000245AA" w:rsidRDefault="000245AA" w:rsidP="005B352D">
            <w:pPr>
              <w:spacing w:line="276" w:lineRule="auto"/>
            </w:pPr>
            <w:r>
              <w:rPr>
                <w:rFonts w:ascii="Calibri" w:eastAsia="Calibri" w:hAnsi="Calibri" w:cs="Calibri"/>
                <w:color w:val="222222"/>
                <w:sz w:val="20"/>
                <w:szCs w:val="20"/>
              </w:rPr>
              <w:t>CRM and HRIS interfaces kept lightweight</w:t>
            </w:r>
          </w:p>
        </w:tc>
        <w:tc>
          <w:tcPr>
            <w:tcW w:w="2394" w:type="dxa"/>
            <w:shd w:val="clear" w:color="auto" w:fill="FFFFFF"/>
            <w:tcMar>
              <w:top w:w="90" w:type="dxa"/>
              <w:left w:w="110" w:type="dxa"/>
              <w:bottom w:w="90" w:type="dxa"/>
              <w:right w:w="110" w:type="dxa"/>
            </w:tcMar>
          </w:tcPr>
          <w:p w14:paraId="22531783" w14:textId="77777777" w:rsidR="000245AA" w:rsidRDefault="000245AA" w:rsidP="005B352D">
            <w:pPr>
              <w:spacing w:line="276" w:lineRule="auto"/>
            </w:pPr>
            <w:r>
              <w:rPr>
                <w:rFonts w:ascii="Calibri" w:eastAsia="Calibri" w:hAnsi="Calibri" w:cs="Calibri"/>
                <w:color w:val="222222"/>
                <w:sz w:val="20"/>
                <w:szCs w:val="20"/>
              </w:rPr>
              <w:t>A managed event bus with serverless functions</w:t>
            </w:r>
          </w:p>
        </w:tc>
        <w:tc>
          <w:tcPr>
            <w:tcW w:w="4657" w:type="dxa"/>
            <w:shd w:val="clear" w:color="auto" w:fill="FFFFFF"/>
            <w:tcMar>
              <w:top w:w="90" w:type="dxa"/>
              <w:left w:w="110" w:type="dxa"/>
              <w:bottom w:w="90" w:type="dxa"/>
              <w:right w:w="110" w:type="dxa"/>
            </w:tcMar>
          </w:tcPr>
          <w:p w14:paraId="68B9BD1A" w14:textId="29FA407C" w:rsidR="000245AA" w:rsidRDefault="000245AA" w:rsidP="005B352D">
            <w:pPr>
              <w:spacing w:line="276" w:lineRule="auto"/>
            </w:pPr>
            <w:r>
              <w:rPr>
                <w:rFonts w:ascii="Calibri" w:eastAsia="Calibri" w:hAnsi="Calibri" w:cs="Calibri"/>
                <w:color w:val="222222"/>
                <w:sz w:val="20"/>
                <w:szCs w:val="20"/>
              </w:rPr>
              <w:t xml:space="preserve">Sends only the customer, opportunity, and labor-cost fields the ERP </w:t>
            </w:r>
            <w:r>
              <w:rPr>
                <w:rFonts w:ascii="Calibri" w:eastAsia="Calibri" w:hAnsi="Calibri" w:cs="Calibri"/>
                <w:color w:val="222222"/>
                <w:sz w:val="20"/>
                <w:szCs w:val="20"/>
              </w:rPr>
              <w:t>needs</w:t>
            </w:r>
            <w:r>
              <w:rPr>
                <w:rFonts w:ascii="Calibri" w:eastAsia="Calibri" w:hAnsi="Calibri" w:cs="Calibri"/>
                <w:color w:val="222222"/>
                <w:sz w:val="20"/>
                <w:szCs w:val="20"/>
              </w:rPr>
              <w:t>, avoiding a heavy point-to-point integration or a separate middleware license.</w:t>
            </w:r>
          </w:p>
        </w:tc>
      </w:tr>
      <w:tr w:rsidR="000245AA" w14:paraId="609FEA76" w14:textId="77777777" w:rsidTr="00D21CB5">
        <w:tblPrEx>
          <w:tblCellMar>
            <w:top w:w="0" w:type="dxa"/>
            <w:bottom w:w="0" w:type="dxa"/>
          </w:tblCellMar>
        </w:tblPrEx>
        <w:trPr>
          <w:trHeight w:val="238"/>
        </w:trPr>
        <w:tc>
          <w:tcPr>
            <w:tcW w:w="2394" w:type="dxa"/>
            <w:shd w:val="clear" w:color="auto" w:fill="F2F4F7"/>
            <w:tcMar>
              <w:top w:w="90" w:type="dxa"/>
              <w:left w:w="110" w:type="dxa"/>
              <w:bottom w:w="90" w:type="dxa"/>
              <w:right w:w="110" w:type="dxa"/>
            </w:tcMar>
          </w:tcPr>
          <w:p w14:paraId="4C275032" w14:textId="77777777" w:rsidR="000245AA" w:rsidRDefault="000245AA" w:rsidP="005B352D">
            <w:pPr>
              <w:spacing w:line="276" w:lineRule="auto"/>
            </w:pPr>
            <w:r>
              <w:rPr>
                <w:rFonts w:ascii="Calibri" w:eastAsia="Calibri" w:hAnsi="Calibri" w:cs="Calibri"/>
                <w:color w:val="222222"/>
                <w:sz w:val="20"/>
                <w:szCs w:val="20"/>
              </w:rPr>
              <w:t>Parallel month-end close verification</w:t>
            </w:r>
          </w:p>
        </w:tc>
        <w:tc>
          <w:tcPr>
            <w:tcW w:w="2394" w:type="dxa"/>
            <w:shd w:val="clear" w:color="auto" w:fill="FFFFFF"/>
            <w:tcMar>
              <w:top w:w="90" w:type="dxa"/>
              <w:left w:w="110" w:type="dxa"/>
              <w:bottom w:w="90" w:type="dxa"/>
              <w:right w:w="110" w:type="dxa"/>
            </w:tcMar>
          </w:tcPr>
          <w:p w14:paraId="1B3C7737" w14:textId="77777777" w:rsidR="000245AA" w:rsidRDefault="000245AA" w:rsidP="005B352D">
            <w:pPr>
              <w:spacing w:line="276" w:lineRule="auto"/>
            </w:pPr>
            <w:r>
              <w:rPr>
                <w:rFonts w:ascii="Calibri" w:eastAsia="Calibri" w:hAnsi="Calibri" w:cs="Calibri"/>
                <w:color w:val="222222"/>
                <w:sz w:val="20"/>
                <w:szCs w:val="20"/>
              </w:rPr>
              <w:t>Serverless scripts comparing trial balances</w:t>
            </w:r>
          </w:p>
        </w:tc>
        <w:tc>
          <w:tcPr>
            <w:tcW w:w="4657" w:type="dxa"/>
            <w:shd w:val="clear" w:color="auto" w:fill="FFFFFF"/>
            <w:tcMar>
              <w:top w:w="90" w:type="dxa"/>
              <w:left w:w="110" w:type="dxa"/>
              <w:bottom w:w="90" w:type="dxa"/>
              <w:right w:w="110" w:type="dxa"/>
            </w:tcMar>
          </w:tcPr>
          <w:p w14:paraId="79B645C7" w14:textId="77777777" w:rsidR="000245AA" w:rsidRDefault="000245AA" w:rsidP="005B352D">
            <w:pPr>
              <w:spacing w:line="276" w:lineRule="auto"/>
            </w:pPr>
            <w:r>
              <w:rPr>
                <w:rFonts w:ascii="Calibri" w:eastAsia="Calibri" w:hAnsi="Calibri" w:cs="Calibri"/>
                <w:color w:val="222222"/>
                <w:sz w:val="20"/>
                <w:szCs w:val="20"/>
              </w:rPr>
              <w:t>A scheduled job reconciles legacy and new-system output automatically each close, instead of finance staff comparing spreadsheets by hand.</w:t>
            </w:r>
          </w:p>
        </w:tc>
      </w:tr>
    </w:tbl>
    <w:p w14:paraId="1FDC12D1" w14:textId="77777777" w:rsidR="000245AA" w:rsidRDefault="000245AA" w:rsidP="005B352D">
      <w:pPr>
        <w:spacing w:line="276" w:lineRule="auto"/>
      </w:pPr>
    </w:p>
    <w:p w14:paraId="049EF476" w14:textId="77777777" w:rsidR="002F1B04" w:rsidRDefault="002F1B04" w:rsidP="005B352D">
      <w:pPr>
        <w:spacing w:line="276" w:lineRule="auto"/>
      </w:pPr>
      <w:r>
        <w:rPr>
          <w:rFonts w:ascii="Calibri" w:eastAsia="Calibri" w:hAnsi="Calibri" w:cs="Calibri"/>
          <w:color w:val="222222"/>
          <w:sz w:val="22"/>
          <w:szCs w:val="22"/>
        </w:rPr>
        <w:t>None of this requires a large integration platform license. A managed migration service handling change data capture, a low-cost object store paired with a serverless query engine for the archive tier, and an event bus for the CRM and HRIS interfaces are standard, well-documented patterns for exactly this kind of transition, and they map directly onto the Tier 1 and Tier 2 model described in Section 3.</w:t>
      </w:r>
    </w:p>
    <w:p w14:paraId="61150B70" w14:textId="77777777" w:rsidR="002F1B04" w:rsidRDefault="002F1B04" w:rsidP="005B352D">
      <w:pPr>
        <w:pStyle w:val="Heading1"/>
        <w:spacing w:before="320" w:after="140" w:line="276" w:lineRule="auto"/>
      </w:pPr>
      <w:r>
        <w:rPr>
          <w:rFonts w:ascii="Cambria" w:eastAsia="Cambria" w:hAnsi="Cambria" w:cs="Cambria"/>
          <w:b/>
          <w:bCs/>
          <w:color w:val="1B2A4A"/>
          <w:sz w:val="27"/>
          <w:szCs w:val="27"/>
        </w:rPr>
        <w:lastRenderedPageBreak/>
        <w:t>Recommendation and Requested Action</w:t>
      </w:r>
    </w:p>
    <w:p w14:paraId="4105C5BD" w14:textId="43341CB1" w:rsidR="002F1B04" w:rsidRPr="00DA323C" w:rsidRDefault="002F1B04" w:rsidP="005B352D">
      <w:pPr>
        <w:spacing w:line="276" w:lineRule="auto"/>
      </w:pPr>
      <w:r>
        <w:rPr>
          <w:rFonts w:ascii="Calibri" w:eastAsia="Calibri" w:hAnsi="Calibri" w:cs="Calibri"/>
          <w:color w:val="222222"/>
          <w:sz w:val="22"/>
          <w:szCs w:val="22"/>
        </w:rPr>
        <w:t>This memo recommends the Executive Team approve three things: the phased, pilot-first rollout structure described in Section 1, the Day-1 scope and deferrals described in Section 2, and the two-tier data migration and parallel-reporting approach described in Section 3, supported by the technical path in Section 4. With that approval, the next step is finalizing the program charter and moving into Phase 1 discovery.</w:t>
      </w:r>
    </w:p>
    <w:sectPr w:rsidR="002F1B04" w:rsidRPr="00DA323C" w:rsidSect="00182D6A">
      <w:headerReference w:type="even" r:id="rId7"/>
      <w:headerReference w:type="default" r:id="rId8"/>
      <w:footerReference w:type="even" r:id="rId9"/>
      <w:footerReference w:type="default" r:id="rId10"/>
      <w:headerReference w:type="first" r:id="rId11"/>
      <w:footerReference w:type="first" r:id="rId12"/>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AEC35" w14:textId="77777777" w:rsidR="00FD0BD1" w:rsidRDefault="00FD0BD1" w:rsidP="002F1B04">
      <w:pPr>
        <w:spacing w:after="0" w:line="240" w:lineRule="auto"/>
      </w:pPr>
      <w:r>
        <w:separator/>
      </w:r>
    </w:p>
  </w:endnote>
  <w:endnote w:type="continuationSeparator" w:id="0">
    <w:p w14:paraId="05500CBB" w14:textId="77777777" w:rsidR="00FD0BD1" w:rsidRDefault="00FD0BD1" w:rsidP="002F1B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C0160" w14:textId="77777777" w:rsidR="000245AA" w:rsidRDefault="000245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4A91" w14:textId="77777777" w:rsidR="000245AA" w:rsidRDefault="000245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DA9B0" w14:textId="77777777" w:rsidR="000245AA" w:rsidRDefault="00024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5F8E8" w14:textId="77777777" w:rsidR="00FD0BD1" w:rsidRDefault="00FD0BD1" w:rsidP="002F1B04">
      <w:pPr>
        <w:spacing w:after="0" w:line="240" w:lineRule="auto"/>
      </w:pPr>
      <w:r>
        <w:separator/>
      </w:r>
    </w:p>
  </w:footnote>
  <w:footnote w:type="continuationSeparator" w:id="0">
    <w:p w14:paraId="4B8C17B5" w14:textId="77777777" w:rsidR="00FD0BD1" w:rsidRDefault="00FD0BD1" w:rsidP="002F1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62D67" w14:textId="77777777" w:rsidR="000245AA" w:rsidRDefault="000245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C793" w14:textId="77777777" w:rsidR="000245AA" w:rsidRDefault="000245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B7D5" w14:textId="77777777" w:rsidR="000245AA" w:rsidRDefault="000245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8581A"/>
    <w:multiLevelType w:val="hybridMultilevel"/>
    <w:tmpl w:val="52AE5896"/>
    <w:lvl w:ilvl="0" w:tplc="D5641632">
      <w:start w:val="1"/>
      <w:numFmt w:val="bullet"/>
      <w:lvlText w:val="•"/>
      <w:lvlJc w:val="left"/>
      <w:pPr>
        <w:ind w:left="630" w:hanging="260"/>
      </w:pPr>
    </w:lvl>
    <w:lvl w:ilvl="1" w:tplc="FA4CE14C">
      <w:start w:val="1"/>
      <w:numFmt w:val="bullet"/>
      <w:lvlText w:val="–"/>
      <w:lvlJc w:val="left"/>
      <w:pPr>
        <w:ind w:left="990" w:hanging="260"/>
      </w:pPr>
    </w:lvl>
    <w:lvl w:ilvl="2" w:tplc="B0240970">
      <w:numFmt w:val="decimal"/>
      <w:lvlText w:val=""/>
      <w:lvlJc w:val="left"/>
    </w:lvl>
    <w:lvl w:ilvl="3" w:tplc="8180AE18">
      <w:numFmt w:val="decimal"/>
      <w:lvlText w:val=""/>
      <w:lvlJc w:val="left"/>
    </w:lvl>
    <w:lvl w:ilvl="4" w:tplc="5DD4E7AE">
      <w:numFmt w:val="decimal"/>
      <w:lvlText w:val=""/>
      <w:lvlJc w:val="left"/>
    </w:lvl>
    <w:lvl w:ilvl="5" w:tplc="7B2239FC">
      <w:numFmt w:val="decimal"/>
      <w:lvlText w:val=""/>
      <w:lvlJc w:val="left"/>
    </w:lvl>
    <w:lvl w:ilvl="6" w:tplc="C03A03AA">
      <w:numFmt w:val="decimal"/>
      <w:lvlText w:val=""/>
      <w:lvlJc w:val="left"/>
    </w:lvl>
    <w:lvl w:ilvl="7" w:tplc="FA145FC0">
      <w:numFmt w:val="decimal"/>
      <w:lvlText w:val=""/>
      <w:lvlJc w:val="left"/>
    </w:lvl>
    <w:lvl w:ilvl="8" w:tplc="9B9082A6">
      <w:numFmt w:val="decimal"/>
      <w:lvlText w:val=""/>
      <w:lvlJc w:val="left"/>
    </w:lvl>
  </w:abstractNum>
  <w:abstractNum w:abstractNumId="1" w15:restartNumberingAfterBreak="0">
    <w:nsid w:val="2C6A1D7B"/>
    <w:multiLevelType w:val="hybridMultilevel"/>
    <w:tmpl w:val="47087F2E"/>
    <w:lvl w:ilvl="0" w:tplc="D5641632">
      <w:start w:val="1"/>
      <w:numFmt w:val="bullet"/>
      <w:lvlText w:val="•"/>
      <w:lvlJc w:val="left"/>
      <w:pPr>
        <w:ind w:left="460" w:hanging="260"/>
      </w:p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33173B38"/>
    <w:multiLevelType w:val="hybridMultilevel"/>
    <w:tmpl w:val="341C8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683C08"/>
    <w:multiLevelType w:val="hybridMultilevel"/>
    <w:tmpl w:val="8932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E231C4"/>
    <w:multiLevelType w:val="hybridMultilevel"/>
    <w:tmpl w:val="3342CD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281001">
    <w:abstractNumId w:val="0"/>
    <w:lvlOverride w:ilvl="0">
      <w:startOverride w:val="1"/>
    </w:lvlOverride>
  </w:num>
  <w:num w:numId="2" w16cid:durableId="2049446393">
    <w:abstractNumId w:val="0"/>
  </w:num>
  <w:num w:numId="3" w16cid:durableId="960304950">
    <w:abstractNumId w:val="1"/>
  </w:num>
  <w:num w:numId="4" w16cid:durableId="939332858">
    <w:abstractNumId w:val="4"/>
  </w:num>
  <w:num w:numId="5" w16cid:durableId="674497880">
    <w:abstractNumId w:val="2"/>
  </w:num>
  <w:num w:numId="6" w16cid:durableId="595598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B04"/>
    <w:rsid w:val="000245AA"/>
    <w:rsid w:val="00182D6A"/>
    <w:rsid w:val="002F1B04"/>
    <w:rsid w:val="00422A28"/>
    <w:rsid w:val="00443C7C"/>
    <w:rsid w:val="005B352D"/>
    <w:rsid w:val="006C7DCE"/>
    <w:rsid w:val="00A24061"/>
    <w:rsid w:val="00AD5A59"/>
    <w:rsid w:val="00C06B2F"/>
    <w:rsid w:val="00C43332"/>
    <w:rsid w:val="00CE42D0"/>
    <w:rsid w:val="00DA323C"/>
    <w:rsid w:val="00DA4DE1"/>
    <w:rsid w:val="00FD0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D218"/>
  <w15:chartTrackingRefBased/>
  <w15:docId w15:val="{4F995C0D-FAE0-4160-9197-3AF7A592E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2D6A"/>
  </w:style>
  <w:style w:type="paragraph" w:styleId="Heading1">
    <w:name w:val="heading 1"/>
    <w:basedOn w:val="Normal"/>
    <w:next w:val="Normal"/>
    <w:link w:val="Heading1Char"/>
    <w:uiPriority w:val="9"/>
    <w:qFormat/>
    <w:rsid w:val="002F1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F1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F1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B04"/>
    <w:rPr>
      <w:rFonts w:eastAsiaTheme="majorEastAsia" w:cstheme="majorBidi"/>
      <w:color w:val="272727" w:themeColor="text1" w:themeTint="D8"/>
    </w:rPr>
  </w:style>
  <w:style w:type="paragraph" w:styleId="Title">
    <w:name w:val="Title"/>
    <w:basedOn w:val="Normal"/>
    <w:next w:val="Normal"/>
    <w:link w:val="TitleChar"/>
    <w:uiPriority w:val="10"/>
    <w:qFormat/>
    <w:rsid w:val="002F1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B04"/>
    <w:pPr>
      <w:spacing w:before="160"/>
      <w:jc w:val="center"/>
    </w:pPr>
    <w:rPr>
      <w:i/>
      <w:iCs/>
      <w:color w:val="404040" w:themeColor="text1" w:themeTint="BF"/>
    </w:rPr>
  </w:style>
  <w:style w:type="character" w:customStyle="1" w:styleId="QuoteChar">
    <w:name w:val="Quote Char"/>
    <w:basedOn w:val="DefaultParagraphFont"/>
    <w:link w:val="Quote"/>
    <w:uiPriority w:val="29"/>
    <w:rsid w:val="002F1B04"/>
    <w:rPr>
      <w:i/>
      <w:iCs/>
      <w:color w:val="404040" w:themeColor="text1" w:themeTint="BF"/>
    </w:rPr>
  </w:style>
  <w:style w:type="paragraph" w:styleId="ListParagraph">
    <w:name w:val="List Paragraph"/>
    <w:basedOn w:val="Normal"/>
    <w:qFormat/>
    <w:rsid w:val="002F1B04"/>
    <w:pPr>
      <w:ind w:left="720"/>
      <w:contextualSpacing/>
    </w:pPr>
  </w:style>
  <w:style w:type="character" w:styleId="IntenseEmphasis">
    <w:name w:val="Intense Emphasis"/>
    <w:basedOn w:val="DefaultParagraphFont"/>
    <w:uiPriority w:val="21"/>
    <w:qFormat/>
    <w:rsid w:val="002F1B04"/>
    <w:rPr>
      <w:i/>
      <w:iCs/>
      <w:color w:val="0F4761" w:themeColor="accent1" w:themeShade="BF"/>
    </w:rPr>
  </w:style>
  <w:style w:type="paragraph" w:styleId="IntenseQuote">
    <w:name w:val="Intense Quote"/>
    <w:basedOn w:val="Normal"/>
    <w:next w:val="Normal"/>
    <w:link w:val="IntenseQuoteChar"/>
    <w:uiPriority w:val="30"/>
    <w:qFormat/>
    <w:rsid w:val="002F1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B04"/>
    <w:rPr>
      <w:i/>
      <w:iCs/>
      <w:color w:val="0F4761" w:themeColor="accent1" w:themeShade="BF"/>
    </w:rPr>
  </w:style>
  <w:style w:type="character" w:styleId="IntenseReference">
    <w:name w:val="Intense Reference"/>
    <w:basedOn w:val="DefaultParagraphFont"/>
    <w:uiPriority w:val="32"/>
    <w:qFormat/>
    <w:rsid w:val="002F1B04"/>
    <w:rPr>
      <w:b/>
      <w:bCs/>
      <w:smallCaps/>
      <w:color w:val="0F4761" w:themeColor="accent1" w:themeShade="BF"/>
      <w:spacing w:val="5"/>
    </w:rPr>
  </w:style>
  <w:style w:type="paragraph" w:styleId="Header">
    <w:name w:val="header"/>
    <w:basedOn w:val="Normal"/>
    <w:link w:val="HeaderChar"/>
    <w:uiPriority w:val="99"/>
    <w:unhideWhenUsed/>
    <w:rsid w:val="002F1B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1B04"/>
  </w:style>
  <w:style w:type="paragraph" w:styleId="Footer">
    <w:name w:val="footer"/>
    <w:basedOn w:val="Normal"/>
    <w:link w:val="FooterChar"/>
    <w:uiPriority w:val="99"/>
    <w:unhideWhenUsed/>
    <w:rsid w:val="002F1B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1B04"/>
  </w:style>
  <w:style w:type="table" w:styleId="TableGrid">
    <w:name w:val="Table Grid"/>
    <w:basedOn w:val="TableNormal"/>
    <w:uiPriority w:val="39"/>
    <w:rsid w:val="00AD5A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5</Pages>
  <Words>1784</Words>
  <Characters>10170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Desmond Anane</dc:creator>
  <cp:keywords/>
  <dc:description/>
  <cp:lastModifiedBy>Desmond Anane</cp:lastModifiedBy>
  <cp:revision>10</cp:revision>
  <cp:lastPrinted>2026-07-17T23:26:00Z</cp:lastPrinted>
  <dcterms:created xsi:type="dcterms:W3CDTF">2026-07-17T17:20:00Z</dcterms:created>
  <dcterms:modified xsi:type="dcterms:W3CDTF">2026-07-17T23:27:00Z</dcterms:modified>
</cp:coreProperties>
</file>