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r>
        <w:t>Thuật ngữ</w:t>
      </w:r>
    </w:p>
    <w:tbl>
      <w:tblPr/>
      <w:tblGrid>
        <w:gridCol w:w="4000"/>
        <w:gridCol w:w="4000"/>
      </w:tblGrid>
      <w:tr>
        <w:tc>
          <w:p>
            <w:r>
              <w:t>CPU</w:t>
            </w:r>
          </w:p>
        </w:tc>
        <w:tc>
          <w:p>
            <w:r>
              <w:t>Central Processing Unit</w:t>
            </w:r>
          </w:p>
        </w:tc>
      </w:tr>
      <w:tr>
        <w:tc>
          <w:p>
            <w:r>
              <w:t>RAM</w:t>
            </w:r>
          </w:p>
        </w:tc>
        <w:tc>
          <w:p>
            <w:r>
              <w:t>Random Access Memory</w:t>
            </w:r>
          </w:p>
        </w:tc>
      </w:tr>
    </w:tbl>
    <w:p>
      <w:r>
        <w:t>Virtual Memory cho phép hệ thống sử dụng ổ đĩa như phần mở rộng của RAM.</w:t>
      </w:r>
    </w:p>
  </w:body>
</w:document>
</file>