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504" w:after="0" w:line="199" w:lineRule="auto"/>
        <w:jc w:val="right"/>
        <w:rPr>
          <w:b w:val="true"/>
          <w:color w:val="#000000"/>
          <w:sz w:val="24"/>
          <w:lang w:val="id-ID"/>
          <w:spacing w:val="-15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3879850</wp:posOffset>
            </wp:positionH>
            <wp:positionV relativeFrom="page">
              <wp:posOffset>0</wp:posOffset>
            </wp:positionV>
            <wp:extent cx="511810" cy="895985"/>
            <wp:wrapThrough wrapText="bothSides">
              <wp:wrapPolygon>
                <wp:start x="0" y="0"/>
                <wp:lineTo x="0" y="18153"/>
                <wp:lineTo x="17089" y="18153"/>
                <wp:lineTo x="17089" y="21596"/>
                <wp:lineTo x="21589" y="21596"/>
                <wp:lineTo x="21589" y="0"/>
                <wp:lineTo x="0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9.45pt;height:9.85pt;z-index:-999;margin-left:26.35pt;margin-top:601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page" w:vAnchor="page" w:x="527" w:y="12035" w:w="6389" w:h="197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182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-15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71" w:lineRule="auto"/>
        <w:jc w:val="left"/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Dari Anas, ia berkata : "Telah datang seorang tua, ingin men </w:t>
      </w:r>
      <w:r>
        <w:rPr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Rasulullah tetapi orang-orang lambat memberi kesempatan kepatlanyaL </w:t>
      </w:r>
      <w:r>
        <w:rPr>
          <w:color w:val="#000000"/>
          <w:sz w:val="22"/>
          <w:lang w:val="id-ID"/>
          <w:spacing w:val="17"/>
          <w:w w:val="100"/>
          <w:strike w:val="false"/>
          <w:vertAlign w:val="baseline"/>
          <w:rFonts w:ascii="Times New Roman" w:hAnsi="Times New Roman"/>
        </w:rPr>
        <w:t xml:space="preserve">Rasulullah bersabda : ''Bukan golongan </w:t>
      </w:r>
      <w:r>
        <w:rPr>
          <w:color w:val="#000000"/>
          <w:sz w:val="21"/>
          <w:lang w:val="id-ID"/>
          <w:spacing w:val="17"/>
          <w:w w:val="100"/>
          <w:strike w:val="false"/>
          <w:vertAlign w:val="baseline"/>
          <w:rFonts w:ascii="Times New Roman" w:hAnsi="Times New Roman"/>
        </w:rPr>
        <w:t xml:space="preserve">kami orang tidak </w:t>
      </w:r>
      <w:r>
        <w:rPr>
          <w:color w:val="#000000"/>
          <w:sz w:val="2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menyayangi ...dst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id-ID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144" w:left="0" w:firstLine="0"/>
        <w:spacing w:before="108" w:after="288" w:line="268" w:lineRule="auto"/>
        <w:jc w:val="left"/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Menyayangi si kecillmuda dan atau menghormati yang besar/tua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hakikatnya memberikan hak mereka untuk disayangi dan dihormati,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496"/>
        <w:gridCol w:w="893"/>
      </w:tblGrid>
      <w:tr>
        <w:trPr>
          <w:trHeight w:val="13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96" w:type="auto"/>
            <w:textDirection w:val="lrTb"/>
            <w:vAlign w:val="top"/>
          </w:tcPr>
          <w:p>
            <w:pPr>
              <w:ind w:right="120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4"/>
                <w:lang w:val="id-ID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id-ID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1425. BERGAIRAH DALAM SHALAT</w:t>
            </w:r>
          </w:p>
          <w:p>
            <w:pPr>
              <w:ind w:right="571" w:left="0" w:firstLine="0"/>
              <w:spacing w:before="288" w:after="0" w:line="157" w:lineRule="exact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8"/>
                <w:lang w:val="id-ID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id-ID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)1</w:t>
            </w:r>
            <w:r>
              <w:rPr>
                <w:b w:val="true"/>
                <w:color w:val="#000000"/>
                <w:sz w:val="6"/>
                <w:lang w:val="id-ID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841" w:left="0" w:firstLine="0"/>
              <w:spacing w:before="0" w:after="0" w:line="240" w:lineRule="auto"/>
              <w:jc w:val="right"/>
              <w:tabs>
                <w:tab w:val="clear" w:pos="720"/>
                <w:tab w:val="decimal" w:pos="720"/>
                <w:tab w:val="right" w:leader="none" w:pos="4575"/>
              </w:tabs>
              <w:numPr>
                <w:ilvl w:val="0"/>
                <w:numId w:val="3"/>
              </w:numPr>
              <w:rPr>
                <w:b w:val="true"/>
                <w:i w:val="true"/>
                <w:color w:val="#000000"/>
                <w:sz w:val="31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i w:val="true"/>
                <w:color w:val="#000000"/>
                <w:sz w:val="31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„	</w:t>
            </w:r>
            <w:r>
              <w:rPr>
                <w:b w:val="true"/>
                <w:i w:val="true"/>
                <w:color w:val="#000000"/>
                <w:sz w:val="31"/>
                <w:lang w:val="id-ID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  <w:t xml:space="preserve">Ae 4</w:t>
            </w:r>
            <w:r>
              <w:rPr>
                <w:b w:val="true"/>
                <w:i w:val="true"/>
                <w:color w:val="#000000"/>
                <w:sz w:val="31"/>
                <w:lang w:val="id-ID"/>
                <w:spacing w:val="-40"/>
                <w:w w:val="100"/>
                <w:strike w:val="false"/>
                <w:vertAlign w:val="subscript"/>
                <w:rFonts w:ascii="Arial" w:hAnsi="Arial"/>
              </w:rPr>
              <w:t xml:space="preserve">7</w:t>
            </w:r>
            <w:r>
              <w:rPr>
                <w:b w:val="true"/>
                <w:i w:val="true"/>
                <w:color w:val="#000000"/>
                <w:sz w:val="31"/>
                <w:lang w:val="id-ID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  <w:t xml:space="preserve">b-U</w:t>
            </w:r>
            <w:r>
              <w:rPr>
                <w:b w:val="true"/>
                <w:i w:val="true"/>
                <w:color w:val="#000000"/>
                <w:sz w:val="31"/>
                <w:lang w:val="id-ID"/>
                <w:spacing w:val="-40"/>
                <w:w w:val="100"/>
                <w:strike w:val="false"/>
                <w:vertAlign w:val="subscript"/>
                <w:rFonts w:ascii="Arial" w:hAnsi="Arial"/>
              </w:rPr>
              <w:t xml:space="preserve">s</w:t>
            </w:r>
            <w:r>
              <w:rPr>
                <w:b w:val="true"/>
                <w:i w:val="true"/>
                <w:color w:val="#000000"/>
                <w:sz w:val="31"/>
                <w:lang w:val="id-ID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  <w:t xml:space="preserve">„).'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89" w:type="auto"/>
            <w:textDirection w:val="lrTb"/>
            <w:vAlign w:val="top"/>
          </w:tcPr>
          <w:p>
            <w:pPr>
              <w:ind w:right="168" w:left="0"/>
              <w:spacing w:before="720" w:after="30" w:line="240" w:lineRule="auto"/>
              <w:jc w:val="left"/>
            </w:pPr>
            <w:r>
              <w:drawing>
                <wp:inline>
                  <wp:extent cx="460375" cy="38100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268" w:line="20" w:lineRule="exact"/>
      </w:pPr>
    </w:p>
    <w:p>
      <w:pPr>
        <w:ind w:right="144" w:left="0" w:firstLine="0"/>
        <w:spacing w:before="0" w:after="0" w:line="264" w:lineRule="auto"/>
        <w:jc w:val="left"/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"Hendaklah setiap orang melakukan shalat dengan penuh semangat. </w:t>
      </w: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Jika dalam keadaan malas atau lesu duduklah".</w:t>
      </w:r>
    </w:p>
    <w:p>
      <w:pPr>
        <w:ind w:right="0" w:left="0" w:firstLine="0"/>
        <w:spacing w:before="216" w:after="0" w:line="196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144" w:left="0" w:firstLine="0"/>
        <w:spacing w:before="144" w:after="0" w:line="268" w:lineRule="auto"/>
        <w:jc w:val="left"/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DiriWayatkan oleh Imam Ahmad dan Perawi Hadist yang ke enam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kecuali Tirmidzi bersumber dari Anas bin Malik.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144" w:left="0" w:firstLine="0"/>
        <w:spacing w:before="144" w:after="0" w:line="266" w:lineRule="auto"/>
        <w:jc w:val="both"/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Sebagaimana diterangkan didalam "Shahih Bukhari" dari Anas bahwa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Rasulullah telah masuk kedalam masjid, terlihatlah oleh beliau tali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terikat diantara dua buah tiang. Rasulullah bertanya : "Tali apa ini?".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Jawab yang hadir : "Ini tali Zainab, digunakannya untuk shalat.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Manakala lesu ia bergelayut". Rasulullah bersabda : "Hendaknya setiap </w:t>
      </w:r>
      <w:r>
        <w:rPr>
          <w:color w:val="#000000"/>
          <w:sz w:val="2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orang melakukan shalat dengan dst".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144" w:left="0" w:firstLine="0"/>
        <w:spacing w:before="108" w:after="0" w:line="266" w:lineRule="auto"/>
        <w:jc w:val="both"/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Hendaknya setiap orang melakukan shalat dengan penuh semangat dan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gairah sebab dengan shalat ia bermunajat kepada Tuhannya. Jika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memang dalam kondisi lesu, malas tidak bersemangat atau sakit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hendaknya (boleh) ia lakukan sambil duduk atau boleh juga diringkas </w:t>
      </w:r>
      <w:r>
        <w:rPr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(di qashar), (Yakni shalat fardhu yang empat rakaat menjadi dua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rakaat - pent).</w:t>
      </w:r>
    </w:p>
    <w:sectPr>
      <w:pgSz w:w="7445" w:h="12686" w:orient="portrait"/>
      <w:type w:val="nextPage"/>
      <w:textDirection w:val="lrTb"/>
      <w:pgMar w:bottom="321" w:top="0" w:right="469" w:left="5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8"/>
        <w:lang w:val="id-ID"/>
        <w:spacing w:val="0"/>
        <w:w w:val="100"/>
        <w:strike w:val="false"/>
        <w:vertAlign w:val="superscript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720"/>
        </w:tabs>
      </w:pPr>
      <w:rPr>
        <w:b w:val="true"/>
        <w:i w:val="true"/>
        <w:color w:val="#000000"/>
        <w:sz w:val="31"/>
        <w:lang w:val="id-ID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