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06" w:lineRule="auto"/>
        <w:jc w:val="left"/>
        <w:rPr>
          <w:b w:val="true"/>
          <w:color w:val="#000000"/>
          <w:sz w:val="26"/>
          <w:lang w:val="en-US"/>
          <w:spacing w:val="0"/>
          <w:w w:val="95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7pt;height:9.8pt;z-index:-1000;margin-left:0pt;margin-top:580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y="11605" w:w="6340" w:h="196" w:hSpace="0" w:vSpace="0" w:wrap="3"/>
                    <w:rPr>
                      <w:b w:val="true"/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32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6"/>
          <w:lang w:val="en-US"/>
          <w:spacing w:val="0"/>
          <w:w w:val="95"/>
          <w:strike w:val="false"/>
          <w:vertAlign w:val="baseline"/>
          <w:rFonts w:ascii="Times New Roman" w:hAnsi="Times New Roman"/>
        </w:rPr>
        <w:t xml:space="preserve">1215. BERWUDHU SATU KALI</w:t>
      </w:r>
    </w:p>
    <w:p>
      <w:pPr>
        <w:ind w:right="123" w:left="3600"/>
        <w:spacing w:before="0" w:after="144" w:line="240" w:lineRule="auto"/>
        <w:jc w:val="left"/>
      </w:pPr>
      <w:r>
        <w:drawing>
          <wp:inline>
            <wp:extent cx="1654810" cy="27178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16548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3168" w:left="0" w:firstLine="0"/>
        <w:spacing w:before="0" w:after="0" w:line="480" w:lineRule="auto"/>
        <w:jc w:val="left"/>
        <w:rPr>
          <w:i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"Sengaja kulakukan itu hai Umar". </w:t>
      </w:r>
      <w:r>
        <w:rPr>
          <w:b w:val="true"/>
          <w:color w:val="#000000"/>
          <w:sz w:val="23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72" w:left="0" w:firstLine="0"/>
        <w:spacing w:before="108" w:after="0" w:line="240" w:lineRule="auto"/>
        <w:jc w:val="left"/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Diriwayatkan oleh : Imam Ahmad, Muslim dan Imam Hadits Yang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Empat dan Buraidah bin Husshaib.</w:t>
      </w:r>
    </w:p>
    <w:p>
      <w:pPr>
        <w:ind w:right="0" w:left="0" w:firstLine="0"/>
        <w:spacing w:before="144" w:after="0" w:line="196" w:lineRule="auto"/>
        <w:jc w:val="left"/>
        <w:rPr>
          <w:b w:val="true"/>
          <w:color w:val="#000000"/>
          <w:sz w:val="23"/>
          <w:lang w:val="en-US"/>
          <w:spacing w:val="-8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-8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72" w:left="0" w:firstLine="0"/>
        <w:spacing w:before="144" w:after="0" w:line="240" w:lineRule="auto"/>
        <w:jc w:val="both"/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Diriwayatkan dalam kitab Muslim dan Buraidah bahwa Nabi telah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melakukan beberapa shalat pada hari Fath dengan satu wudhu dan </w:t>
      </w:r>
      <w:r>
        <w:rPr>
          <w:color w:val="#000000"/>
          <w:sz w:val="23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mengusap kedua sepatunya; maka berkatalah Umar : "Engkau telah </w:t>
      </w:r>
      <w:r>
        <w:rPr>
          <w:color w:val="#000000"/>
          <w:sz w:val="2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melakukan sesuatu pada hari ini yang belum pernah engkau lakukan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sebelumnya". Maka beliaupun bersabda : "Sengaja kulakukan dst".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3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72" w:left="0" w:firstLine="0"/>
        <w:spacing w:before="72" w:after="0" w:line="240" w:lineRule="auto"/>
        <w:jc w:val="both"/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Didalamnya berisi penjelasan tentang kebolehan berwudhu satu kali </w:t>
      </w:r>
      <w:r>
        <w:rPr>
          <w:color w:val="#000000"/>
          <w:sz w:val="2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untuk beberapa shalat baik shalat fardhu maupun shalat sunnah, jugs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kebolehan tentang mengusap kedua sepatu (tanpa dibuka diwaktu berwudhu, - pent). Sekaligus menolak pendapat yang mewajibkan </w:t>
      </w:r>
      <w:r>
        <w:rPr>
          <w:color w:val="#000000"/>
          <w:sz w:val="23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berwudhu setiap akan shalat.</w:t>
      </w:r>
    </w:p>
    <w:p>
      <w:pPr>
        <w:ind w:right="0" w:left="0" w:firstLine="0"/>
        <w:spacing w:before="324" w:after="0" w:line="192" w:lineRule="auto"/>
        <w:jc w:val="left"/>
        <w:rPr>
          <w:b w:val="true"/>
          <w:color w:val="#000000"/>
          <w:sz w:val="26"/>
          <w:lang w:val="en-US"/>
          <w:spacing w:val="0"/>
          <w:w w:val="9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6"/>
          <w:lang w:val="en-US"/>
          <w:spacing w:val="0"/>
          <w:w w:val="95"/>
          <w:strike w:val="false"/>
          <w:vertAlign w:val="baseline"/>
          <w:rFonts w:ascii="Times New Roman" w:hAnsi="Times New Roman"/>
        </w:rPr>
        <w:t xml:space="preserve">1216. UMRAH PADA BULAN RAMADHAN</w:t>
      </w:r>
    </w:p>
    <w:p>
      <w:pPr>
        <w:ind w:right="0" w:left="2520" w:firstLine="0"/>
        <w:spacing w:before="288" w:after="0" w:line="360" w:lineRule="auto"/>
        <w:jc w:val="left"/>
        <w:tabs>
          <w:tab w:val="left" w:leader="none" w:pos="3575"/>
          <w:tab w:val="left" w:leader="none" w:pos="4630"/>
          <w:tab w:val="right" w:leader="none" w:pos="6228"/>
        </w:tabs>
        <w:rPr>
          <w:b w:val="true"/>
          <w:color w:val="#000000"/>
          <w:sz w:val="19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A.'414	</w:t>
      </w:r>
      <w:r>
        <w:rPr>
          <w:b w:val="true"/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IA	</w:t>
      </w:r>
      <w:r>
        <w:rPr>
          <w:b w:val="true"/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/i</w:t>
      </w:r>
      <w:r>
        <w:rPr>
          <w:i w:val="true"/>
          <w:color w:val="#000000"/>
          <w:sz w:val="20"/>
          <w:lang w:val="en-US"/>
          <w:spacing w:val="18"/>
          <w:w w:val="80"/>
          <w:strike w:val="false"/>
          <w:vertAlign w:val="baseline"/>
          <w:rFonts w:ascii="Times New Roman" w:hAnsi="Times New Roman"/>
        </w:rPr>
        <w:t xml:space="preserve">ce	</w:t>
      </w:r>
      <w:r>
        <w:rPr>
          <w:b w:val="true"/>
          <w:color w:val="#000000"/>
          <w:sz w:val="19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4:01</w:t>
      </w:r>
    </w:p>
    <w:p>
      <w:pPr>
        <w:ind w:right="72" w:left="0" w:firstLine="72"/>
        <w:spacing w:before="252" w:after="0" w:line="240" w:lineRule="auto"/>
        <w:jc w:val="left"/>
        <w:rPr>
          <w:i w:val="true"/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"Satu (kali) umrah pada bulan Ramadhan mengimbangi satu </w:t>
      </w:r>
      <w:r>
        <w:rPr>
          <w:i w:val="true"/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(kali) haji".</w:t>
      </w:r>
    </w:p>
    <w:p>
      <w:pPr>
        <w:ind w:right="0" w:left="0" w:firstLine="0"/>
        <w:spacing w:before="288" w:after="0" w:line="204" w:lineRule="auto"/>
        <w:jc w:val="left"/>
        <w:rPr>
          <w:b w:val="true"/>
          <w:color w:val="#000000"/>
          <w:sz w:val="23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08" w:after="216" w:line="240" w:lineRule="auto"/>
        <w:jc w:val="both"/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Diriwayatkan oleh : Imam Ahmad, Bukhari, Muslim, Abu Daud dan </w:t>
      </w:r>
      <w:r>
        <w:rPr>
          <w:color w:val="#000000"/>
          <w:sz w:val="23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Ibnu Majah dan Ibnu Abbas. Para Ashabu Sunan kecuali Nasai telah </w:t>
      </w:r>
      <w:r>
        <w:rPr>
          <w:color w:val="#000000"/>
          <w:sz w:val="23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meriwayatkan pula dan Ummu Ma'qil. Ibnu Majah dari Wahab bin </w:t>
      </w:r>
      <w:r>
        <w:rPr>
          <w:color w:val="#000000"/>
          <w:sz w:val="23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Khinbisy. Thabrani di dalam "Al Kabir" meriwayatkannya dan Zubair </w:t>
      </w:r>
      <w:r>
        <w:rPr>
          <w:color w:val="#000000"/>
          <w:sz w:val="23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bin 'Awwam. Dan Al Bazar meriwayatkan hadits ini dan Annas.</w:t>
      </w:r>
    </w:p>
    <w:p>
      <w:pPr>
        <w:ind w:right="4745" w:left="0" w:firstLine="0"/>
        <w:spacing w:before="0" w:after="0" w:line="164" w:lineRule="exact"/>
        <w:jc w:val="right"/>
        <w:shd w:val="solid" w:color="#E7E7E8" w:fill="#E7E7E8"/>
        <w:rPr>
          <w:b w:val="true"/>
          <w:color w:val="#000000"/>
          <w:sz w:val="23"/>
          <w:lang w:val="en-US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-10"/>
          <w:w w:val="105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44" w:after="0" w:line="240" w:lineRule="auto"/>
        <w:jc w:val="right"/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Diriwayatkan di dalam Shahih Muslim dan Ibnu Juraij dari 'Atha</w:t>
      </w:r>
    </w:p>
    <w:sectPr>
      <w:pgSz w:w="7697" w:h="12722" w:orient="portrait"/>
      <w:type w:val="nextPage"/>
      <w:textDirection w:val="lrTb"/>
      <w:pgMar w:bottom="347" w:top="440" w:right="612" w:left="68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