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99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1.5pt;height:10.05pt;z-index:-1000;margin-left:0pt;margin-top:578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right"/>
                    <w:framePr w:hAnchor="text" w:vAnchor="text" w:y="11570" w:w="6230" w:h="201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453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80" w:lineRule="auto"/>
        <w:jc w:val="left"/>
        <w:rPr>
          <w:color w:val="#000000"/>
          <w:sz w:val="23"/>
          <w:lang w:val="id-ID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Diriwayatkan oleh Thabrany dalam al Jami'ul Kabir dari Abu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Thalhah r.a.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71" w:lineRule="auto"/>
        <w:jc w:val="both"/>
        <w:rPr>
          <w:color w:val="#000000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Abu Thalhah berkata : "Aku berjalan bersama Rasulullah SAW dengan maksud hendak mengerjakan shalat, dan langkah-langkah (kami) sudah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berdekatan (dengan waktu shalat). Maka beliau bertanya : "Apakah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kalian mengetahui kenapa aku tidak ingin langkah-langkah kita tidak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berdekatan dengan (kedatangan waktu shalat) ?. Aku menjawab : "Allah </w:t>
      </w: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dan Rasul-Nya yang lebih mengetahui. Beliau bersabda : "Senantiasa </w:t>
      </w: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seorang hamba berada dalam keadaan shalat dst".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73" w:lineRule="auto"/>
        <w:jc w:val="center"/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Hadits ini menunjukkan bahwa menanti kedatangan waktu shalat
</w:t>
        <w:br/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memberikan pahala mengerjakan shalat bagi orang yang menantinya.</w:t>
      </w:r>
    </w:p>
    <w:p>
      <w:pPr>
        <w:ind w:right="0" w:left="0" w:firstLine="0"/>
        <w:spacing w:before="324" w:after="0" w:line="216" w:lineRule="auto"/>
        <w:jc w:val="left"/>
        <w:rPr>
          <w:b w:val="true"/>
          <w:color w:val="#000000"/>
          <w:sz w:val="24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1776. MELAKSANAKAN SUNNAH</w:t>
      </w:r>
    </w:p>
    <w:p>
      <w:pPr>
        <w:ind w:right="0" w:left="1080" w:firstLine="0"/>
        <w:spacing w:before="144" w:after="0" w:line="266" w:lineRule="auto"/>
        <w:jc w:val="left"/>
        <w:rPr>
          <w:b w:val="true"/>
          <w:color w:val="#000000"/>
          <w:sz w:val="6"/>
          <w:lang w:val="id-ID"/>
          <w:spacing w:val="0"/>
          <w:w w:val="100"/>
          <w:strike w:val="false"/>
          <w:vertAlign w:val="superscript"/>
          <w:rFonts w:ascii="Arial" w:hAnsi="Arial"/>
        </w:rPr>
      </w:pPr>
      <w:r>
        <w:rPr>
          <w:b w:val="true"/>
          <w:color w:val="#000000"/>
          <w:sz w:val="6"/>
          <w:lang w:val="id-ID"/>
          <w:spacing w:val="0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000000"/>
          <w:sz w:val="6"/>
          <w:lang w:val="id-ID"/>
          <w:spacing w:val="0"/>
          <w:w w:val="105"/>
          <w:strike w:val="false"/>
          <w:vertAlign w:val="subscript"/>
          <w:rFonts w:ascii="Arial" w:hAnsi="Arial"/>
        </w:rPr>
        <w:t xml:space="preserve">t</w:t>
      </w:r>
      <w:r>
        <w:rPr>
          <w:b w:val="true"/>
          <w:color w:val="#000000"/>
          <w:sz w:val="18"/>
          <w:lang w:val="id-ID"/>
          <w:spacing w:val="0"/>
          <w:w w:val="300"/>
          <w:strike w:val="false"/>
          <w:vertAlign w:val="baseline"/>
          <w:rFonts w:ascii="Arial" w:hAnsi="Arial"/>
        </w:rPr>
        <w:t xml:space="preserve">/</w:t>
      </w:r>
    </w:p>
    <w:p>
      <w:pPr>
        <w:ind w:right="0" w:left="1224" w:firstLine="0"/>
        <w:spacing w:before="0" w:after="0" w:line="199" w:lineRule="auto"/>
        <w:jc w:val="left"/>
        <w:rPr>
          <w:color w:val="#000000"/>
          <w:sz w:val="17"/>
          <w:lang w:val="id-ID"/>
          <w:spacing w:val="-20"/>
          <w:w w:val="85"/>
          <w:strike w:val="false"/>
          <w:vertAlign w:val="superscript"/>
          <w:rFonts w:ascii="Arial" w:hAnsi="Arial"/>
        </w:rPr>
      </w:pPr>
      <w:r>
        <w:rPr>
          <w:color w:val="#000000"/>
          <w:sz w:val="17"/>
          <w:lang w:val="id-ID"/>
          <w:spacing w:val="-20"/>
          <w:w w:val="85"/>
          <w:strike w:val="false"/>
          <w:vertAlign w:val="superscript"/>
          <w:rFonts w:ascii="Arial" w:hAnsi="Arial"/>
        </w:rPr>
        <w:t xml:space="preserve">1</w:t>
      </w:r>
      <w:r>
        <w:rPr>
          <w:color w:val="#000000"/>
          <w:sz w:val="37"/>
          <w:lang w:val="id-ID"/>
          <w:spacing w:val="-20"/>
          <w:w w:val="110"/>
          <w:strike w:val="false"/>
          <w:vertAlign w:val="baseline"/>
          <w:rFonts w:ascii="Arial" w:hAnsi="Arial"/>
        </w:rPr>
        <w:t xml:space="preserve">5v</w:t>
      </w:r>
      <w:r>
        <w:rPr>
          <w:color w:val="#000000"/>
          <w:sz w:val="37"/>
          <w:lang w:val="id-ID"/>
          <w:spacing w:val="-20"/>
          <w:w w:val="100"/>
          <w:strike w:val="false"/>
          <w:vertAlign w:val="superscript"/>
          <w:rFonts w:ascii="Times New Roman" w:hAnsi="Times New Roman"/>
        </w:rPr>
        <w:t xml:space="preserve">92</w:t>
      </w:r>
      <w:r>
        <w:rPr>
          <w:color w:val="#000000"/>
          <w:sz w:val="6"/>
          <w:lang w:val="id-ID"/>
          <w:spacing w:val="-2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824" w:firstLine="0"/>
        <w:spacing w:before="0" w:after="0" w:line="233" w:lineRule="exact"/>
        <w:jc w:val="left"/>
        <w:tabs>
          <w:tab w:val="right" w:leader="none" w:pos="5836"/>
        </w:tabs>
        <w:rPr>
          <w:color w:val="#000000"/>
          <w:sz w:val="34"/>
          <w:lang w:val="id-ID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34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•	</w:t>
      </w:r>
      <w:r>
        <w:rPr>
          <w:color w:val="#000000"/>
          <w:sz w:val="34"/>
          <w:lang w:val="id-ID"/>
          <w:spacing w:val="-40"/>
          <w:w w:val="100"/>
          <w:strike w:val="false"/>
          <w:vertAlign w:val="baseline"/>
          <w:rFonts w:ascii="Arial" w:hAnsi="Arial"/>
        </w:rPr>
        <w:t xml:space="preserve">„.•</w:t>
      </w:r>
    </w:p>
    <w:p>
      <w:pPr>
        <w:ind w:right="0" w:left="0" w:firstLine="0"/>
        <w:spacing w:before="468" w:after="0" w:line="271" w:lineRule="auto"/>
        <w:jc w:val="both"/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"Tiada Allah meminta pertanggung jawab kepadaku mengenai sunnah </w:t>
      </w: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yang aku mengada-ngada terhadap kaum, yang Dia tidak </w:t>
      </w:r>
      <w:r>
        <w:rPr>
          <w:i w:val="true"/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memerintahkannya, dan akan tetapi bermohonlah kepada Allah dari karunia-Nya".</w:t>
      </w:r>
    </w:p>
    <w:p>
      <w:pPr>
        <w:ind w:right="0" w:left="0" w:firstLine="0"/>
        <w:spacing w:before="288" w:after="0" w:line="173" w:lineRule="exact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80" w:after="0" w:line="273" w:lineRule="auto"/>
        <w:jc w:val="left"/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Thabrany dalam al Jami'ul Kabir dan al Baghawi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dari Ubaid ibnu Fadhilah r.a.</w:t>
      </w:r>
    </w:p>
    <w:p>
      <w:pPr>
        <w:ind w:right="0" w:left="0" w:firstLine="0"/>
        <w:spacing w:before="288" w:after="0" w:line="178" w:lineRule="exact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68" w:lineRule="auto"/>
        <w:jc w:val="both"/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Ubaid ibnu Fadhilah berkata : "Orang-orang melakukan suatu sunnah,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maka mereka berkata : "Wahai Rasulullah tentukanlah bagi kami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(melaksanakan sunnah yang benar - pent). Beliau menjelaskan seperti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bunyi hadits di atas.</w:t>
      </w:r>
    </w:p>
    <w:sectPr>
      <w:pgSz w:w="7406" w:h="12288" w:orient="portrait"/>
      <w:type w:val="nextPage"/>
      <w:textDirection w:val="lrTb"/>
      <w:pgMar w:bottom="159" w:top="340" w:right="539" w:left="58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