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21"/>
          <w:szCs w:val="21"/>
          <w:rtl w:val="0"/>
        </w:rPr>
        <w:t xml:space="preserve">Ôn tập lại các câu lệnh SQL như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rtl w:val="0"/>
        </w:rPr>
        <w:t xml:space="preserve">INSERT INTO table () VALUES 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rtl w:val="0"/>
        </w:rPr>
        <w:t xml:space="preserve">UPDATE table SET column=value WHERE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rtl w:val="0"/>
        </w:rPr>
        <w:t xml:space="preserve">DELETE FROM table WHERE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contextualSpacing w:val="0"/>
        <w:rPr>
          <w:rFonts w:ascii="Helvetica Neue" w:cs="Helvetica Neue" w:eastAsia="Helvetica Neue" w:hAnsi="Helvetica Neue"/>
          <w:b w:val="0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333333"/>
          <w:sz w:val="21"/>
          <w:szCs w:val="21"/>
          <w:rtl w:val="0"/>
        </w:rPr>
        <w:t xml:space="preserve">Khi sử dụng class Database, tất cả các lệnh sql đều có thể được thực hiện theo từng bước: tạo một sql query, prepare query, bind value cho các parameter, execute sql đó.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