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3CC" w:rsidRDefault="006773DE">
      <w:pPr>
        <w:spacing w:line="259" w:lineRule="auto"/>
        <w:ind w:left="106" w:firstLine="0"/>
        <w:jc w:val="center"/>
      </w:pPr>
      <w:bookmarkStart w:id="0" w:name="_GoBack"/>
      <w:bookmarkEnd w:id="0"/>
      <w:r>
        <w:rPr>
          <w:b/>
          <w:sz w:val="36"/>
        </w:rPr>
        <w:t xml:space="preserve">2025-2026 </w:t>
      </w:r>
      <w:r>
        <w:rPr>
          <w:b/>
          <w:sz w:val="36"/>
        </w:rPr>
        <w:t>第二学期离散数学期末试题</w:t>
      </w:r>
      <w:r>
        <w:rPr>
          <w:b/>
          <w:sz w:val="36"/>
        </w:rPr>
        <w:t xml:space="preserve">  </w:t>
      </w:r>
    </w:p>
    <w:p w:rsidR="00C623CC" w:rsidRDefault="006773DE">
      <w:pPr>
        <w:spacing w:after="120" w:line="259" w:lineRule="auto"/>
        <w:ind w:left="169" w:firstLine="0"/>
        <w:jc w:val="center"/>
      </w:pPr>
      <w:r>
        <w:rPr>
          <w:sz w:val="22"/>
        </w:rPr>
        <w:t xml:space="preserve"> </w:t>
      </w:r>
    </w:p>
    <w:p w:rsidR="00C623CC" w:rsidRDefault="006773DE">
      <w:pPr>
        <w:numPr>
          <w:ilvl w:val="0"/>
          <w:numId w:val="1"/>
        </w:numPr>
        <w:ind w:hanging="360"/>
      </w:pPr>
      <w:r>
        <w:t>根据运算是否封闭，在相应位置填</w:t>
      </w:r>
      <w:r>
        <w:t>“</w:t>
      </w:r>
      <w:r>
        <w:t>是</w:t>
      </w:r>
      <w:r>
        <w:t>”</w:t>
      </w:r>
      <w:r>
        <w:t>或</w:t>
      </w:r>
      <w:r>
        <w:t>“</w:t>
      </w:r>
      <w:r>
        <w:t>否</w:t>
      </w:r>
      <w:r>
        <w:t>”</w:t>
      </w:r>
      <w:r>
        <w:t>。</w:t>
      </w:r>
      <w:r>
        <w:t xml:space="preserve">  </w:t>
      </w:r>
    </w:p>
    <w:p w:rsidR="00C623CC" w:rsidRDefault="006773DE">
      <w:pPr>
        <w:spacing w:after="97" w:line="259" w:lineRule="auto"/>
        <w:ind w:left="2080" w:firstLine="0"/>
      </w:pPr>
      <w:r>
        <w:rPr>
          <w:noProof/>
        </w:rPr>
        <w:drawing>
          <wp:inline distT="0" distB="0" distL="0" distR="0">
            <wp:extent cx="2616200" cy="206502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C" w:rsidRDefault="006773DE">
      <w:pPr>
        <w:numPr>
          <w:ilvl w:val="0"/>
          <w:numId w:val="1"/>
        </w:numPr>
        <w:ind w:hanging="360"/>
      </w:pPr>
      <w:r>
        <w:t>设</w:t>
      </w:r>
      <w:r>
        <w:t xml:space="preserve"> G=</w:t>
      </w:r>
      <w:r>
        <w:rPr>
          <w:rFonts w:ascii="Cambria Math" w:eastAsia="Cambria Math" w:hAnsi="Cambria Math" w:cs="Cambria Math"/>
        </w:rPr>
        <w:t>𝛼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𝛽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𝛾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𝛿</w:t>
      </w:r>
      <w:r>
        <w:t>在</w:t>
      </w:r>
      <w:r>
        <w:t xml:space="preserve"> G </w:t>
      </w:r>
      <w:r>
        <w:t>上定义的二元运算</w:t>
      </w:r>
      <w:r>
        <w:t>*</w:t>
      </w:r>
      <w:r>
        <w:t>定义如下表</w:t>
      </w:r>
      <w:r>
        <w:t>,</w:t>
      </w:r>
      <w:r>
        <w:t>请说明</w:t>
      </w:r>
      <w:r>
        <w:t>&lt;G,*&gt;</w:t>
      </w:r>
      <w:r>
        <w:t>是一个循环群</w:t>
      </w:r>
      <w:r>
        <w:t>,</w:t>
      </w:r>
      <w:r>
        <w:t>列出其生成元。</w:t>
      </w:r>
      <w:r>
        <w:t xml:space="preserve"> </w:t>
      </w:r>
    </w:p>
    <w:p w:rsidR="00C623CC" w:rsidRDefault="006773DE">
      <w:pPr>
        <w:spacing w:after="126" w:line="259" w:lineRule="auto"/>
        <w:ind w:left="2294" w:firstLine="0"/>
      </w:pPr>
      <w:r>
        <w:rPr>
          <w:noProof/>
        </w:rPr>
        <w:drawing>
          <wp:inline distT="0" distB="0" distL="0" distR="0">
            <wp:extent cx="2209800" cy="193992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C" w:rsidRDefault="006773DE">
      <w:pPr>
        <w:numPr>
          <w:ilvl w:val="0"/>
          <w:numId w:val="1"/>
        </w:numPr>
        <w:ind w:hanging="360"/>
      </w:pPr>
      <w:r>
        <w:t>设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) = 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) ∨ 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 xml:space="preserve">∧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) ∨ (</w:t>
      </w:r>
      <w:r>
        <w:rPr>
          <w:rFonts w:ascii="Cambria Math" w:eastAsia="Cambria Math" w:hAnsi="Cambria Math" w:cs="Cambria Math"/>
        </w:rPr>
        <w:t>𝑥̅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 xml:space="preserve">∧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)</w:t>
      </w:r>
      <w:r>
        <w:t>是布尔代数</w:t>
      </w:r>
      <w:r>
        <w:t>&lt;{0,1},</w:t>
      </w:r>
      <w:r>
        <w:rPr>
          <w:rFonts w:ascii="Cambria Math" w:eastAsia="Cambria Math" w:hAnsi="Cambria Math" w:cs="Cambria Math"/>
        </w:rPr>
        <w:t>∨</w:t>
      </w:r>
      <w:r>
        <w:t>,</w:t>
      </w:r>
      <w:r>
        <w:rPr>
          <w:rFonts w:ascii="Cambria Math" w:eastAsia="Cambria Math" w:hAnsi="Cambria Math" w:cs="Cambria Math"/>
        </w:rPr>
        <w:t>∧</w:t>
      </w:r>
      <w:r>
        <w:t>,-&gt;</w:t>
      </w:r>
      <w:r>
        <w:rPr>
          <w:rFonts w:ascii="Cambria Math" w:eastAsia="Cambria Math" w:hAnsi="Cambria Math" w:cs="Cambria Math"/>
          <w:sz w:val="25"/>
        </w:rPr>
        <w:t xml:space="preserve"> </w:t>
      </w:r>
      <w:r>
        <w:t>上的一个布尔表达式</w:t>
      </w:r>
      <w:r>
        <w:t>,</w:t>
      </w:r>
      <w:r>
        <w:t>请计算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)</w:t>
      </w:r>
      <w:r>
        <w:t>的主析取范式与主合取范式</w:t>
      </w:r>
      <w:r>
        <w:t xml:space="preserve"> </w:t>
      </w:r>
    </w:p>
    <w:p w:rsidR="00C623CC" w:rsidRDefault="006773DE">
      <w:pPr>
        <w:numPr>
          <w:ilvl w:val="0"/>
          <w:numId w:val="1"/>
        </w:numPr>
        <w:ind w:hanging="360"/>
      </w:pPr>
      <w:r>
        <w:t>写出该有向图的邻接矩阵</w:t>
      </w:r>
      <w:r>
        <w:t xml:space="preserve"> A,</w:t>
      </w:r>
      <w:r>
        <w:rPr>
          <w:sz w:val="22"/>
        </w:rPr>
        <w:t xml:space="preserve"> </w:t>
      </w:r>
      <w:r>
        <w:t>并利用矩阵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>,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t>,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vertAlign w:val="superscript"/>
        </w:rPr>
        <w:t>4</w:t>
      </w:r>
      <w:r>
        <w:t>运算计算从</w:t>
      </w:r>
      <w:r>
        <w:rPr>
          <w:rFonts w:ascii="Cambria Math" w:eastAsia="Cambria Math" w:hAnsi="Cambria Math" w:cs="Cambria Math"/>
        </w:rPr>
        <w:t>𝑣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到</w:t>
      </w:r>
      <w:r>
        <w:rPr>
          <w:rFonts w:ascii="Cambria Math" w:eastAsia="Cambria Math" w:hAnsi="Cambria Math" w:cs="Cambria Math"/>
        </w:rPr>
        <w:t>𝑣</w:t>
      </w:r>
      <w:r>
        <w:rPr>
          <w:rFonts w:ascii="Cambria Math" w:eastAsia="Cambria Math" w:hAnsi="Cambria Math" w:cs="Cambria Math"/>
          <w:vertAlign w:val="subscript"/>
        </w:rPr>
        <w:t>4</w:t>
      </w:r>
      <w:r>
        <w:t>的长度</w:t>
      </w:r>
    </w:p>
    <w:p w:rsidR="00C623CC" w:rsidRDefault="006773DE">
      <w:pPr>
        <w:spacing w:after="96" w:line="259" w:lineRule="auto"/>
        <w:ind w:left="2532" w:firstLine="0"/>
      </w:pPr>
      <w:r>
        <w:rPr>
          <w:noProof/>
        </w:rPr>
        <w:lastRenderedPageBreak/>
        <w:drawing>
          <wp:inline distT="0" distB="0" distL="0" distR="0">
            <wp:extent cx="2070100" cy="188785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C" w:rsidRDefault="006773DE">
      <w:pPr>
        <w:spacing w:after="391"/>
        <w:ind w:left="430" w:firstLine="0"/>
      </w:pPr>
      <w:r>
        <w:t>为</w:t>
      </w:r>
      <w:r>
        <w:t xml:space="preserve"> 2 </w:t>
      </w:r>
      <w:r>
        <w:t>和</w:t>
      </w:r>
      <w:r>
        <w:t xml:space="preserve"> 4 </w:t>
      </w:r>
      <w:r>
        <w:t>的路径数量。</w:t>
      </w:r>
      <w:r>
        <w:t xml:space="preserve"> </w:t>
      </w:r>
    </w:p>
    <w:p w:rsidR="00C623CC" w:rsidRDefault="006773DE">
      <w:pPr>
        <w:numPr>
          <w:ilvl w:val="0"/>
          <w:numId w:val="1"/>
        </w:numPr>
        <w:spacing w:after="385"/>
        <w:ind w:hanging="360"/>
      </w:pPr>
      <w:r>
        <w:t>设</w:t>
      </w:r>
      <w:r>
        <w:t xml:space="preserve"> R </w:t>
      </w:r>
      <w:r>
        <w:t>为实数集合</w:t>
      </w:r>
      <w:r>
        <w:t>,</w:t>
      </w:r>
      <w:r>
        <w:t>在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  <w:vertAlign w:val="superscript"/>
        </w:rPr>
        <w:t>∗</w:t>
      </w:r>
      <w:r>
        <w:rPr>
          <w:rFonts w:ascii="Cambria Math" w:eastAsia="Cambria Math" w:hAnsi="Cambria Math" w:cs="Cambria Math"/>
          <w:vertAlign w:val="superscript"/>
        </w:rPr>
        <w:t xml:space="preserve"> </w:t>
      </w:r>
      <w:r>
        <w:rPr>
          <w:rFonts w:ascii="Cambria Math" w:eastAsia="Cambria Math" w:hAnsi="Cambria Math" w:cs="Cambria Math"/>
        </w:rPr>
        <w:t xml:space="preserve">× </w:t>
      </w:r>
      <w:r>
        <w:rPr>
          <w:rFonts w:ascii="Cambria Math" w:eastAsia="Cambria Math" w:hAnsi="Cambria Math" w:cs="Cambria Math"/>
        </w:rPr>
        <w:t>𝑅</w:t>
      </w:r>
      <w:r>
        <w:t>上定义二元运算</w:t>
      </w:r>
      <w:r>
        <w:rPr>
          <w:rFonts w:ascii="Cambria Math" w:eastAsia="Cambria Math" w:hAnsi="Cambria Math" w:cs="Cambria Math"/>
        </w:rPr>
        <w:t>∘</w:t>
      </w:r>
      <w:r>
        <w:t>为</w:t>
      </w:r>
      <w:r>
        <w:t>: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</w:rPr>
        <w:t>) ∘ (</w:t>
      </w:r>
      <w:r>
        <w:rPr>
          <w:rFonts w:ascii="Cambria Math" w:eastAsia="Cambria Math" w:hAnsi="Cambria Math" w:cs="Cambria Math"/>
        </w:rPr>
        <w:t>𝑐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</w:rPr>
        <w:t>) = (</w:t>
      </w:r>
      <w:r>
        <w:rPr>
          <w:rFonts w:ascii="Cambria Math" w:eastAsia="Cambria Math" w:hAnsi="Cambria Math" w:cs="Cambria Math"/>
        </w:rPr>
        <w:t>𝑎𝑐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𝑏𝑐</w:t>
      </w:r>
      <w:r>
        <w:rPr>
          <w:rFonts w:ascii="Cambria Math" w:eastAsia="Cambria Math" w:hAnsi="Cambria Math" w:cs="Cambria Math"/>
        </w:rPr>
        <w:t xml:space="preserve"> + </w:t>
      </w: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</w:rPr>
        <w:t>)</w:t>
      </w:r>
      <w:r>
        <w:t xml:space="preserve">, </w:t>
      </w:r>
      <w:r>
        <w:t>试证明</w:t>
      </w:r>
      <w:r>
        <w:t>&lt;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  <w:vertAlign w:val="superscript"/>
        </w:rPr>
        <w:t>∗</w:t>
      </w:r>
      <w:r>
        <w:rPr>
          <w:rFonts w:ascii="Cambria Math" w:eastAsia="Cambria Math" w:hAnsi="Cambria Math" w:cs="Cambria Math"/>
          <w:vertAlign w:val="superscript"/>
        </w:rPr>
        <w:t xml:space="preserve"> </w:t>
      </w:r>
      <w:r>
        <w:rPr>
          <w:rFonts w:ascii="Cambria Math" w:eastAsia="Cambria Math" w:hAnsi="Cambria Math" w:cs="Cambria Math"/>
        </w:rPr>
        <w:t xml:space="preserve">×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</w:rPr>
        <w:t>,∘</w:t>
      </w:r>
      <w:r>
        <w:t>&gt;</w:t>
      </w:r>
      <w:r>
        <w:t>是一个群。判断其是否为阿贝尔群。</w:t>
      </w:r>
      <w:r>
        <w:t xml:space="preserve"> </w:t>
      </w:r>
    </w:p>
    <w:p w:rsidR="00C623CC" w:rsidRDefault="006773DE">
      <w:pPr>
        <w:numPr>
          <w:ilvl w:val="0"/>
          <w:numId w:val="1"/>
        </w:numPr>
        <w:spacing w:after="401"/>
        <w:ind w:hanging="360"/>
      </w:pPr>
      <w:r>
        <w:t>设</w:t>
      </w:r>
      <w:r>
        <w:t>&lt;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</w:rPr>
        <w:t>,∗</w:t>
      </w:r>
      <w:r>
        <w:t>&gt;</w:t>
      </w:r>
      <w:r>
        <w:t>是一个半群</w:t>
      </w:r>
      <w:r>
        <w:t>,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</w:rPr>
        <w:t xml:space="preserve"> ∈ </w:t>
      </w:r>
      <w:r>
        <w:rPr>
          <w:rFonts w:ascii="Cambria Math" w:eastAsia="Cambria Math" w:hAnsi="Cambria Math" w:cs="Cambria Math"/>
        </w:rPr>
        <w:t>𝑆</w:t>
      </w:r>
      <w:r>
        <w:t>,</w:t>
      </w:r>
      <w:r>
        <w:t>在</w:t>
      </w:r>
      <w:r>
        <w:t xml:space="preserve"> S </w:t>
      </w:r>
      <w:r>
        <w:t>上定义一个二元运算</w:t>
      </w:r>
      <w:r>
        <w:rPr>
          <w:rFonts w:ascii="Cambria Math" w:eastAsia="Cambria Math" w:hAnsi="Cambria Math" w:cs="Cambria Math"/>
        </w:rPr>
        <w:t>∎</w:t>
      </w:r>
      <w:r>
        <w:t>,</w:t>
      </w:r>
      <w:r>
        <w:t>使对于</w:t>
      </w:r>
      <w:r>
        <w:t xml:space="preserve"> S </w:t>
      </w:r>
      <w:r>
        <w:t>中任意元素</w:t>
      </w:r>
      <w:r>
        <w:t xml:space="preserve"> x </w:t>
      </w:r>
      <w:r>
        <w:t>和</w:t>
      </w:r>
      <w:r>
        <w:t xml:space="preserve"> y </w:t>
      </w:r>
      <w:r>
        <w:t>都有</w:t>
      </w:r>
      <w:r>
        <w:t xml:space="preserve"> x</w:t>
      </w:r>
      <w:r>
        <w:rPr>
          <w:rFonts w:ascii="Cambria Math" w:eastAsia="Cambria Math" w:hAnsi="Cambria Math" w:cs="Cambria Math"/>
        </w:rPr>
        <w:t>∎</w:t>
      </w:r>
      <w:r>
        <w:t>y=x*a*y,</w:t>
      </w:r>
      <w:r>
        <w:t>证明</w:t>
      </w:r>
      <w:r>
        <w:t>:</w:t>
      </w:r>
      <w:r>
        <w:t>二元运算是可结合的。</w:t>
      </w:r>
      <w:r>
        <w:t xml:space="preserve"> </w:t>
      </w:r>
    </w:p>
    <w:p w:rsidR="00C623CC" w:rsidRDefault="006773DE">
      <w:pPr>
        <w:numPr>
          <w:ilvl w:val="0"/>
          <w:numId w:val="1"/>
        </w:numPr>
        <w:spacing w:after="404"/>
        <w:ind w:hanging="360"/>
      </w:pPr>
      <w:r>
        <w:t>设</w:t>
      </w:r>
      <w:r>
        <w:rPr>
          <w:rFonts w:ascii="Cambria Math" w:eastAsia="Cambria Math" w:hAnsi="Cambria Math" w:cs="Cambria Math"/>
        </w:rPr>
        <w:t>𝑎̇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 xml:space="preserve">, … ,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𝑟</w:t>
      </w:r>
      <w:r>
        <w:t>都是布尔代数</w:t>
      </w:r>
      <w:r>
        <w:t>&lt;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</w:rPr>
        <w:t>,∨,∧, −</w:t>
      </w:r>
      <w:r>
        <w:t>&gt;</w:t>
      </w:r>
      <w:r>
        <w:t>的原子</w:t>
      </w:r>
      <w:r>
        <w:t>,</w:t>
      </w:r>
      <w:r>
        <w:t>证明</w:t>
      </w:r>
      <w:r>
        <w:t>: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</w:rPr>
        <w:t xml:space="preserve"> ≼ (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 xml:space="preserve">1 </w:t>
      </w:r>
      <w:r>
        <w:rPr>
          <w:rFonts w:ascii="Cambria Math" w:eastAsia="Cambria Math" w:hAnsi="Cambria Math" w:cs="Cambria Math"/>
        </w:rPr>
        <w:t xml:space="preserve">∨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 xml:space="preserve">2 </w:t>
      </w:r>
      <w:r>
        <w:rPr>
          <w:rFonts w:ascii="Cambria Math" w:eastAsia="Cambria Math" w:hAnsi="Cambria Math" w:cs="Cambria Math"/>
        </w:rPr>
        <w:t xml:space="preserve">∨ … ∨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𝑟</w:t>
      </w:r>
      <w:r>
        <w:rPr>
          <w:rFonts w:ascii="Cambria Math" w:eastAsia="Cambria Math" w:hAnsi="Cambria Math" w:cs="Cambria Math"/>
        </w:rPr>
        <w:t xml:space="preserve">) </w:t>
      </w:r>
      <w:r>
        <w:t>当且仅当存在着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 xml:space="preserve">(1 ≤ 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 xml:space="preserve"> ≤ </w:t>
      </w:r>
      <w:r>
        <w:rPr>
          <w:rFonts w:ascii="Cambria Math" w:eastAsia="Cambria Math" w:hAnsi="Cambria Math" w:cs="Cambria Math"/>
        </w:rPr>
        <w:t>𝑟</w:t>
      </w:r>
      <w:r>
        <w:rPr>
          <w:rFonts w:ascii="Cambria Math" w:eastAsia="Cambria Math" w:hAnsi="Cambria Math" w:cs="Cambria Math"/>
        </w:rPr>
        <w:t>)</w:t>
      </w:r>
      <w:r>
        <w:t>使得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t>。</w:t>
      </w:r>
      <w:r>
        <w:t xml:space="preserve"> </w:t>
      </w:r>
    </w:p>
    <w:p w:rsidR="00C623CC" w:rsidRDefault="006773DE">
      <w:pPr>
        <w:numPr>
          <w:ilvl w:val="0"/>
          <w:numId w:val="1"/>
        </w:numPr>
        <w:ind w:hanging="360"/>
      </w:pPr>
      <w:r>
        <w:t>如图所示的格</w:t>
      </w:r>
      <w:r>
        <w:t>&lt;L,</w:t>
      </w:r>
      <w:r>
        <w:rPr>
          <w:rFonts w:ascii="Cambria Math" w:eastAsia="Cambria Math" w:hAnsi="Cambria Math" w:cs="Cambria Math"/>
        </w:rPr>
        <w:t>≤</w:t>
      </w:r>
      <w:r>
        <w:t>&gt;</w:t>
      </w:r>
      <w:r>
        <w:t>中考虑如下子集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,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>,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3</w:t>
      </w:r>
      <w:r>
        <w:t>,</w:t>
      </w:r>
      <w:r>
        <w:t>判断</w:t>
      </w:r>
    </w:p>
    <w:p w:rsidR="00C623CC" w:rsidRDefault="006773DE">
      <w:pPr>
        <w:ind w:left="430" w:firstLine="0"/>
      </w:pPr>
      <w:r>
        <w:t>&lt;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, ≤</w:t>
      </w:r>
      <w:r>
        <w:t>&gt;&lt;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, ≤</w:t>
      </w:r>
      <w:r>
        <w:t>&gt;&lt;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, ≤</w:t>
      </w:r>
      <w:r>
        <w:t>&gt;</w:t>
      </w:r>
      <w:r>
        <w:t>能否构成</w:t>
      </w:r>
      <w:r>
        <w:t>&lt;L,</w:t>
      </w:r>
      <w:r>
        <w:rPr>
          <w:rFonts w:ascii="Cambria Math" w:eastAsia="Cambria Math" w:hAnsi="Cambria Math" w:cs="Cambria Math"/>
        </w:rPr>
        <w:t>≤</w:t>
      </w:r>
      <w:r>
        <w:t>&gt;</w:t>
      </w:r>
      <w:r>
        <w:t>的子格并说明理由。</w:t>
      </w:r>
      <w:r>
        <w:t>(1).</w:t>
      </w:r>
      <w:r>
        <w:rPr>
          <w:rFonts w:ascii="Cambria Math" w:eastAsia="Cambria Math" w:hAnsi="Cambria Math" w:cs="Cambria Math"/>
          <w:sz w:val="25"/>
        </w:rPr>
        <w:t xml:space="preserve"> </w:t>
      </w:r>
    </w:p>
    <w:p w:rsidR="00C623CC" w:rsidRDefault="006773DE">
      <w:pPr>
        <w:spacing w:after="115" w:line="259" w:lineRule="auto"/>
        <w:ind w:left="2830" w:firstLine="0"/>
      </w:pPr>
      <w:r>
        <w:rPr>
          <w:noProof/>
        </w:rPr>
        <w:drawing>
          <wp:inline distT="0" distB="0" distL="0" distR="0">
            <wp:extent cx="1663700" cy="169862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C" w:rsidRDefault="006773DE">
      <w:pPr>
        <w:spacing w:after="404"/>
        <w:ind w:left="430" w:firstLine="0"/>
      </w:pP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={a,b,g,h} (2).</w:t>
      </w:r>
      <w:r>
        <w:rPr>
          <w:rFonts w:ascii="Cambria Math" w:eastAsia="Cambria Math" w:hAnsi="Cambria Math" w:cs="Cambria Math"/>
          <w:sz w:val="25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>={a,b,c,d}  (3).</w:t>
      </w:r>
      <w:r>
        <w:rPr>
          <w:rFonts w:ascii="Cambria Math" w:eastAsia="Cambria Math" w:hAnsi="Cambria Math" w:cs="Cambria Math"/>
          <w:sz w:val="25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</w:rPr>
        <w:t>={a,b,d,h}</w:t>
      </w:r>
      <w:r>
        <w:t>。</w:t>
      </w:r>
      <w:r>
        <w:t xml:space="preserve"> </w:t>
      </w:r>
    </w:p>
    <w:p w:rsidR="00C623CC" w:rsidRDefault="006773DE">
      <w:pPr>
        <w:numPr>
          <w:ilvl w:val="0"/>
          <w:numId w:val="1"/>
        </w:numPr>
        <w:ind w:hanging="360"/>
      </w:pPr>
      <w:r>
        <w:t>如图有向图，试求</w:t>
      </w:r>
      <w:r>
        <w:t>(1).</w:t>
      </w:r>
      <w:r>
        <w:t>该图的邻接矩阵</w:t>
      </w:r>
      <w:r>
        <w:t>(2).</w:t>
      </w:r>
      <w:r>
        <w:t>可达性矩阵</w:t>
      </w:r>
      <w:r>
        <w:t>(3).</w:t>
      </w:r>
      <w:r>
        <w:t>通过可达性矩阵计算强分图。</w:t>
      </w:r>
      <w:r>
        <w:t xml:space="preserve"> </w:t>
      </w:r>
    </w:p>
    <w:p w:rsidR="00C623CC" w:rsidRDefault="006773DE">
      <w:pPr>
        <w:spacing w:after="108" w:line="259" w:lineRule="auto"/>
        <w:ind w:left="1355" w:firstLine="0"/>
      </w:pPr>
      <w:r>
        <w:rPr>
          <w:noProof/>
        </w:rPr>
        <w:drawing>
          <wp:inline distT="0" distB="0" distL="0" distR="0">
            <wp:extent cx="3321050" cy="1744980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C" w:rsidRDefault="006773DE">
      <w:pPr>
        <w:numPr>
          <w:ilvl w:val="0"/>
          <w:numId w:val="1"/>
        </w:numPr>
        <w:spacing w:after="365"/>
        <w:ind w:hanging="360"/>
      </w:pPr>
      <w:r>
        <w:t>校园内有</w:t>
      </w:r>
      <w:r>
        <w:t xml:space="preserve"> A B C D E F </w:t>
      </w:r>
      <w:r>
        <w:t>六个需要供水的点，每两点间可能存在多种铺设情况，铺设成本如下：</w:t>
      </w:r>
      <w:r>
        <w:t>AB:1 AC:11 AE:6 AF:2 BC:9 BE:3 CD:8 CF:7 DE:10 DF:5 EF:4</w:t>
      </w:r>
      <w:r>
        <w:t>；试给出一种铺设方案，要求保证任意两点，可以直接或间接连通，同时总成本最低。</w:t>
      </w:r>
      <w:r>
        <w:t xml:space="preserve"> </w:t>
      </w:r>
    </w:p>
    <w:p w:rsidR="00C623CC" w:rsidRDefault="006773DE">
      <w:pPr>
        <w:spacing w:line="259" w:lineRule="auto"/>
        <w:ind w:left="0" w:firstLine="0"/>
      </w:pPr>
      <w:r>
        <w:t xml:space="preserve"> </w:t>
      </w:r>
    </w:p>
    <w:sectPr w:rsidR="00C623CC">
      <w:pgSz w:w="11906" w:h="16838"/>
      <w:pgMar w:top="1697" w:right="1890" w:bottom="2592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3D741A"/>
    <w:multiLevelType w:val="hybridMultilevel"/>
    <w:tmpl w:val="9ECCA1B4"/>
    <w:lvl w:ilvl="0" w:tplc="DF00C616">
      <w:start w:val="1"/>
      <w:numFmt w:val="decimal"/>
      <w:lvlText w:val="%1."/>
      <w:lvlJc w:val="left"/>
      <w:pPr>
        <w:ind w:left="41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7CD870">
      <w:start w:val="1"/>
      <w:numFmt w:val="lowerLetter"/>
      <w:lvlText w:val="%2"/>
      <w:lvlJc w:val="left"/>
      <w:pPr>
        <w:ind w:left="109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1C9A2C">
      <w:start w:val="1"/>
      <w:numFmt w:val="lowerRoman"/>
      <w:lvlText w:val="%3"/>
      <w:lvlJc w:val="left"/>
      <w:pPr>
        <w:ind w:left="181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0C83C4">
      <w:start w:val="1"/>
      <w:numFmt w:val="decimal"/>
      <w:lvlText w:val="%4"/>
      <w:lvlJc w:val="left"/>
      <w:pPr>
        <w:ind w:left="253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4635C">
      <w:start w:val="1"/>
      <w:numFmt w:val="lowerLetter"/>
      <w:lvlText w:val="%5"/>
      <w:lvlJc w:val="left"/>
      <w:pPr>
        <w:ind w:left="325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5ABC62">
      <w:start w:val="1"/>
      <w:numFmt w:val="lowerRoman"/>
      <w:lvlText w:val="%6"/>
      <w:lvlJc w:val="left"/>
      <w:pPr>
        <w:ind w:left="39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A929A">
      <w:start w:val="1"/>
      <w:numFmt w:val="decimal"/>
      <w:lvlText w:val="%7"/>
      <w:lvlJc w:val="left"/>
      <w:pPr>
        <w:ind w:left="469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5ED552">
      <w:start w:val="1"/>
      <w:numFmt w:val="lowerLetter"/>
      <w:lvlText w:val="%8"/>
      <w:lvlJc w:val="left"/>
      <w:pPr>
        <w:ind w:left="541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9666E2">
      <w:start w:val="1"/>
      <w:numFmt w:val="lowerRoman"/>
      <w:lvlText w:val="%9"/>
      <w:lvlJc w:val="left"/>
      <w:pPr>
        <w:ind w:left="613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3CC"/>
    <w:rsid w:val="006773DE"/>
    <w:rsid w:val="00C6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73C552E-A2EE-442A-B00C-FE7337D8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1" w:lineRule="auto"/>
      <w:ind w:left="440" w:hanging="370"/>
    </w:pPr>
    <w:rPr>
      <w:rFonts w:ascii="Microsoft YaHei UI" w:eastAsia="Microsoft YaHei UI" w:hAnsi="Microsoft YaHei UI" w:cs="Microsoft YaHei U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797</Characters>
  <Application>Microsoft Office Word</Application>
  <DocSecurity>4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